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7193d424b5.htm"/>
      <w:bookmarkStart w:id="1" w:name="ksd137193d424b5"/>
      <w:bookmarkEnd w:id="0"/>
      <w:bookmarkEnd w:id="1"/>
      <w:r>
        <w:rPr>
          <w:rFonts w:ascii="Times New Roman" w:hAnsi="Times New Roman"/>
          <w:b/>
          <w:sz w:val="20"/>
        </w:rPr>
        <w:t>Filed Pursuant to Rule 424(b)(5)</w:t>
        <w:br/>
        <w:t xml:space="preserve">Registration No. 333-294402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18,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2514600" cy="1181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11817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 Controlled Equity OfferingSM Sales Agreement, or the Sales Agreement, with Cantor Fitzgerald &amp; Co., or Cantor, relating to shares of our common stock offered by this prospectus supplement and the accompanying base prospectus. In accordance with the terms of the Sales Agreement, pursuant to this prospectus supplement and the accompanying base prospectus, we may offer and sell shares of our common stock having an aggregate offering price of up to $200,000,000 from time to time through Cantor acting as our agent. As of the date of this prospectus supplement, we previously issued and sold under the Sales Agreement approximately 4.7 million shares of our common stock for aggregate net proceeds of $146.4 million pursuant to the prospectus supplement and accompanying base prospectus dated March 18, 2026. This prospectus supplement replaces and supersedes in its entirety the prior prospectus supplement and we will not make any further offers or sales of our common stock pursuant to the prior prospectus supplement following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Select Market under the symbol “STOK.” The last reported sales price of our common stock on The Nasdaq Global Select Market on July 31, 2026 was $28.86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may be made in sales deemed to be an “at the market offering” as defined in Rule 415(a)(4) promulgated under the Securities Act of 1933, as amended, or the Securities Act. Cantor is not required to sell any specific number or dollar amount of securities, but will act as a sales agent using commercially reasonable efforts consistent with its normal trading and sales practices, on mutually agreed terms between Cantor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to Cantor for sales of common stock sold pursuant to the Sales Agreement will be up to 3.0% of the aggregate gross proceeds of any shares of common stock sold under the Sales Agreement. In connection with the sale of the common stock on our behalf, Cantor will be deemed to be an “underwriter” within the meaning of the Securities Act and the compensation of Cantor will be deemed to be underwriting commissions or discounts. We have also agreed to provide indemnification and contribution to Cantor with respect to certain liabilities, including liabilities under the Securities Act or the Securities Exchange Act of 1934, as amended, or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referenced under the heading “</w:t>
      </w:r>
      <w:hyperlink w:anchor="suptx137193_5">
        <w:r>
          <w:rPr>
            <w:rStyle w:val="InternetLink"/>
            <w:rFonts w:ascii="Times New Roman" w:hAnsi="Times New Roman"/>
            <w:b/>
            <w:sz w:val="24"/>
          </w:rPr>
          <w:t>Risk Factors</w:t>
        </w:r>
      </w:hyperlink>
      <w:r>
        <w:rPr>
          <w:rFonts w:ascii="Times New Roman" w:hAnsi="Times New Roman"/>
          <w:b/>
          <w:sz w:val="24"/>
        </w:rPr>
        <w:t xml:space="preserve">” on page S-7 of this prospectus supplement as well as those contained in any accompanying prospectus and any related free writing prospectus or prospectus supplement we prepare or authorize in connection with this offering, and in the other documents that are incorporated by reference into this prospectus supplement or the accompanying base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2400" cy="2844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2400" cy="284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3,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tx137193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6">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9">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137193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4">
              <w:r>
                <w:rPr>
                  <w:rStyle w:val="InternetLink"/>
                  <w:rFonts w:ascii="Times New Roman" w:hAnsi="Times New Roman"/>
                  <w:sz w:val="20"/>
                </w:rPr>
                <w:t>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5">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6">
              <w:r>
                <w:rPr>
                  <w:rStyle w:val="InternetLink"/>
                  <w:rFonts w:ascii="Times New Roman" w:hAnsi="Times New Roman"/>
                  <w:sz w:val="20"/>
                </w:rPr>
                <w:t>INCORPORATION OF INFORMATION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7">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8">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9">
              <w:r>
                <w:rPr>
                  <w:rStyle w:val="InternetLink"/>
                  <w:rFonts w:ascii="Times New Roman" w:hAnsi="Times New Roman"/>
                  <w:sz w:val="20"/>
                </w:rPr>
                <w:t>DESCRIPTION OF CAPITAL STOCK</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0">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2">
              <w:r>
                <w:rPr>
                  <w:rStyle w:val="InternetLink"/>
                  <w:rFonts w:ascii="Times New Roman" w:hAnsi="Times New Roman"/>
                  <w:sz w:val="20"/>
                </w:rPr>
                <w:t>DESCRIPTION OF SUBSCRIPTION RIGHTS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3">
              <w:r>
                <w:rPr>
                  <w:rStyle w:val="InternetLink"/>
                  <w:rFonts w:ascii="Times New Roman" w:hAnsi="Times New Roman"/>
                  <w:sz w:val="20"/>
                </w:rPr>
                <w:t>DESCRIPTION OF UNITS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suptx13719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filed with the Securities and Exchange Commission, or SEC, using a “shelf” registration process. Under this shelf registration process, we may from time to time sell shares of our common stock. Under this prospectus supplement, we may from time to time sell shares of our common stock having an aggregate offering price of up to $200,000,000, at prices and on terms to be determined by market conditions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shares of our common stock in two separate documents: (1) this prospectus supplement, which describes the specific details regarding this offering; and (2) the base prospectus referred to on the cover page of this prospectus supplement, which provides general information, some of which may not apply to this offering. Generally, when we refer to the “prospectus,” we are referring to both documents combined. You should read both this prospectus supplement and the base prospectus as well as the additional information described in this prospectus supplement under the headings “Where You Can Find More Information; Incorporation by Reference” before investing in our common stock. 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Cantor has authorized anyone to provide you with any information other than that contained or incorporated by reference in this prospectus supplement, the accompanying base prospectus or related free writing prospectus to which we have referred you. Neither we nor Cantor takes any responsibility for, and can provide no assurance as to the reliability of, any other information others may give you. Neither we nor Cantor is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“Stoke,” “Stoke Therapeutics,” “we,” “our,” “us,” the “Registrant,” the “Company” and “our company” in this prospectus supplement, we mean Stoke Therapeutics, Inc., a Delaware corporation,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The mark “Stoke Therapeutics” is our registered trademark. The Stoke logo and all product names are our common law trademarks. All other service marks, trademarks and tradenames appearing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are the property of their respective owners. Solely for convenience, the trademarks and tradenames referred to in this prospectus supplement appear without the ®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tx137193_2"/>
      <w:bookmarkEnd w:id="4"/>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http://www.stoketherapeutics.com</w:t>
      </w:r>
      <w:r>
        <w:rPr>
          <w:rFonts w:ascii="Times New Roman" w:hAnsi="Times New Roman"/>
          <w:sz w:val="20"/>
        </w:rPr>
        <w:t xml:space="preserve">. The information on our website, however, is not, and should not be deemed to be, a part of this prospectus supplement. We have included our website address in this prospectus supplement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that we filed with the SEC and does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information we file later with the SEC will automatically update and supersede this information. A Current Report (or portion thereof) furnished, but not filed, on Form 8-K shall not be incorporated by reference into this prospectus supplement. We incorporate by reference the documents listed below and any future filings we make with the SEC under Section 13(a), 13(c), 14, or 15(d) of the Exchange Act prior to the termination of any offering of securities made by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4">
              <w:r>
                <w:rPr>
                  <w:rStyle w:val="InternetLink"/>
                  <w:rFonts w:ascii="Times New Roman" w:hAnsi="Times New Roman"/>
                  <w:sz w:val="20"/>
                </w:rPr>
                <w:t>March 16,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5">
              <w:r>
                <w:rPr>
                  <w:rStyle w:val="InternetLink"/>
                  <w:rFonts w:ascii="Times New Roman" w:hAnsi="Times New Roman"/>
                  <w:sz w:val="20"/>
                </w:rPr>
                <w:t>April  22, 2026</w:t>
              </w:r>
            </w:hyperlink>
            <w:r>
              <w:rPr>
                <w:rFonts w:ascii="Times New Roman" w:hAnsi="Times New Roman"/>
                <w:sz w:val="20"/>
              </w:rPr>
              <w:t xml:space="preserve"> (but only with respect to information specifically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on </w:t>
            </w:r>
            <w:hyperlink r:id="rId6">
              <w:r>
                <w:rPr>
                  <w:rStyle w:val="InternetLink"/>
                  <w:rFonts w:ascii="Times New Roman" w:hAnsi="Times New Roman"/>
                  <w:sz w:val="20"/>
                </w:rPr>
                <w:t>May  7, 2026</w:t>
              </w:r>
            </w:hyperlink>
            <w:r>
              <w:rPr>
                <w:rFonts w:ascii="Times New Roman" w:hAnsi="Times New Roman"/>
                <w:sz w:val="20"/>
              </w:rPr>
              <w:t xml:space="preserve"> and </w:t>
            </w:r>
            <w:hyperlink r:id="rId7">
              <w:r>
                <w:rPr>
                  <w:rStyle w:val="InternetLink"/>
                  <w:rFonts w:ascii="Times New Roman" w:hAnsi="Times New Roman"/>
                  <w:sz w:val="20"/>
                </w:rPr>
                <w:t>August 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January  12, 2026</w:t>
              </w:r>
            </w:hyperlink>
            <w:r>
              <w:rPr>
                <w:rFonts w:ascii="Times New Roman" w:hAnsi="Times New Roman"/>
                <w:sz w:val="20"/>
              </w:rPr>
              <w:t xml:space="preserve"> (but only with respect to Item 8.01), </w:t>
            </w:r>
            <w:hyperlink r:id="rId9">
              <w:r>
                <w:rPr>
                  <w:rStyle w:val="InternetLink"/>
                  <w:rFonts w:ascii="Times New Roman" w:hAnsi="Times New Roman"/>
                  <w:sz w:val="20"/>
                </w:rPr>
                <w:t>January  26, 2026</w:t>
              </w:r>
            </w:hyperlink>
            <w:r>
              <w:rPr>
                <w:rFonts w:ascii="Times New Roman" w:hAnsi="Times New Roman"/>
                <w:sz w:val="20"/>
              </w:rPr>
              <w:t xml:space="preserve">, </w:t>
            </w:r>
            <w:hyperlink r:id="rId10">
              <w:r>
                <w:rPr>
                  <w:rStyle w:val="InternetLink"/>
                  <w:rFonts w:ascii="Times New Roman" w:hAnsi="Times New Roman"/>
                  <w:sz w:val="20"/>
                </w:rPr>
                <w:t>March  3, 2026</w:t>
              </w:r>
            </w:hyperlink>
            <w:r>
              <w:rPr>
                <w:rFonts w:ascii="Times New Roman" w:hAnsi="Times New Roman"/>
                <w:sz w:val="20"/>
              </w:rPr>
              <w:t xml:space="preserve">, </w:t>
            </w:r>
            <w:hyperlink r:id="rId11">
              <w:r>
                <w:rPr>
                  <w:rStyle w:val="InternetLink"/>
                  <w:rFonts w:ascii="Times New Roman" w:hAnsi="Times New Roman"/>
                  <w:sz w:val="20"/>
                </w:rPr>
                <w:t>March  27, 2026</w:t>
              </w:r>
            </w:hyperlink>
            <w:r>
              <w:rPr>
                <w:rFonts w:ascii="Times New Roman" w:hAnsi="Times New Roman"/>
                <w:sz w:val="20"/>
              </w:rPr>
              <w:t xml:space="preserve">, </w:t>
            </w:r>
            <w:hyperlink r:id="rId12">
              <w:r>
                <w:rPr>
                  <w:rStyle w:val="InternetLink"/>
                  <w:rFonts w:ascii="Times New Roman" w:hAnsi="Times New Roman"/>
                  <w:sz w:val="20"/>
                </w:rPr>
                <w:t>April  7, 2026</w:t>
              </w:r>
            </w:hyperlink>
            <w:r>
              <w:rPr>
                <w:rFonts w:ascii="Times New Roman" w:hAnsi="Times New Roman"/>
                <w:sz w:val="20"/>
              </w:rPr>
              <w:t xml:space="preserve"> (but only with respect to Item 5.02), </w:t>
            </w:r>
            <w:hyperlink r:id="rId13">
              <w:r>
                <w:rPr>
                  <w:rStyle w:val="InternetLink"/>
                  <w:rFonts w:ascii="Times New Roman" w:hAnsi="Times New Roman"/>
                  <w:sz w:val="20"/>
                </w:rPr>
                <w:t>June  4, 2026</w:t>
              </w:r>
            </w:hyperlink>
            <w:r>
              <w:rPr>
                <w:rFonts w:ascii="Times New Roman" w:hAnsi="Times New Roman"/>
                <w:sz w:val="20"/>
              </w:rPr>
              <w:t xml:space="preserve"> and </w:t>
            </w:r>
            <w:hyperlink r:id="rId14">
              <w:r>
                <w:rPr>
                  <w:rStyle w:val="InternetLink"/>
                  <w:rFonts w:ascii="Times New Roman" w:hAnsi="Times New Roman"/>
                  <w:sz w:val="20"/>
                </w:rPr>
                <w:t>June 30, 2026</w:t>
              </w:r>
            </w:hyperlink>
            <w:r>
              <w:rPr>
                <w:rFonts w:ascii="Times New Roman" w:hAnsi="Times New Roman"/>
                <w:sz w:val="20"/>
              </w:rPr>
              <w:t xml:space="preserve"> (but only with respect to Item 8.01);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June 11, 2019 under Section  12(b) of the Exchange Act, including any amendment or report filed for the purpose of updating such description, including </w:t>
            </w:r>
            <w:hyperlink r:id="rId16">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2025, filed with the SEC on </w:t>
            </w:r>
            <w:hyperlink r:id="rId17">
              <w:r>
                <w:rPr>
                  <w:rStyle w:val="InternetLink"/>
                  <w:rFonts w:ascii="Times New Roman" w:hAnsi="Times New Roman"/>
                  <w:sz w:val="20"/>
                </w:rPr>
                <w:t>March 16,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supplement incorporates).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(other than an exhibit to a filing unless that exhibit is specifically incorporated by reference into that filing) at no cost by writing, telephoning or e-mailing us at the following address, telephone number or e-mail address: </w:t>
      </w:r>
    </w:p>
    <w:p>
      <w:pPr>
        <w:pStyle w:val="TextBody"/>
        <w:bidi w:val="0"/>
        <w:spacing w:before="120" w:after="0"/>
        <w:jc w:val="center"/>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45 Wiggins Ave </w:t>
      </w:r>
    </w:p>
    <w:p>
      <w:pPr>
        <w:pStyle w:val="TextBody"/>
        <w:bidi w:val="0"/>
        <w:spacing w:before="0" w:after="0"/>
        <w:jc w:val="center"/>
        <w:rPr>
          <w:rFonts w:ascii="Times New Roman" w:hAnsi="Times New Roman"/>
          <w:sz w:val="20"/>
        </w:rPr>
      </w:pPr>
      <w:r>
        <w:rPr>
          <w:rFonts w:ascii="Times New Roman" w:hAnsi="Times New Roman"/>
          <w:sz w:val="20"/>
        </w:rPr>
        <w:t xml:space="preserve">Bedford, Massachusetts 01730 </w:t>
      </w:r>
    </w:p>
    <w:p>
      <w:pPr>
        <w:pStyle w:val="TextBody"/>
        <w:bidi w:val="0"/>
        <w:spacing w:before="0" w:after="0"/>
        <w:jc w:val="center"/>
        <w:rPr>
          <w:rFonts w:ascii="Times New Roman" w:hAnsi="Times New Roman"/>
          <w:sz w:val="20"/>
        </w:rPr>
      </w:pPr>
      <w:r>
        <w:rPr>
          <w:rFonts w:ascii="Times New Roman" w:hAnsi="Times New Roman"/>
          <w:sz w:val="20"/>
        </w:rPr>
        <w:t xml:space="preserve">Tel: (781) 430-8200 </w:t>
      </w:r>
    </w:p>
    <w:p>
      <w:pPr>
        <w:pStyle w:val="TextBody"/>
        <w:bidi w:val="0"/>
        <w:spacing w:before="0" w:after="0"/>
        <w:jc w:val="center"/>
        <w:rPr>
          <w:rFonts w:ascii="Times New Roman" w:hAnsi="Times New Roman"/>
          <w:sz w:val="20"/>
        </w:rPr>
      </w:pPr>
      <w:r>
        <w:rPr>
          <w:rFonts w:ascii="Times New Roman" w:hAnsi="Times New Roman"/>
          <w:sz w:val="20"/>
        </w:rPr>
        <w:t xml:space="preserve">corporatesecretary@stoketherapeutics.com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through the “Investors &amp; News” section of our website at </w:t>
      </w:r>
      <w:r>
        <w:rPr>
          <w:rFonts w:ascii="Times New Roman" w:hAnsi="Times New Roman"/>
          <w:i/>
          <w:sz w:val="20"/>
        </w:rPr>
        <w:t>www.stoketherapeutics.com.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tx137193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including the information incorporated by reference in this prospectus supplement, and the information included in any free writing prospectus that we have authorized for use in connection with this offering, including the information under the heading “Risk Factors” in this prospectus supplement on page S-7 and under similar headings in the documents incorporated by reference into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late-stage clinical company dedicated to addressing the underlying causes of severe diseases by upregulating protein expression with RNA-based medicines. Using our proprietary protein upregulation platform, we are developing antisense oligonucleotides to selectively restore protein levels. Our first investigational new medicine in development, zorevunersen, has demonstrated the potential for disease modification in patients with Dravet syndrome and is currently being evaluated in a Phase 3 study. Our initial focus is diseases of the central nervous system and the eye that are caused by a loss of ~50% of normal protein levels (haploinsufficiency). Proof of concept has been demonstrated in other organs, tissues, and systems, supporting broad potential for our proprietary approach.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Stoke Therapeutics, Inc. was founded in June 2014 and was incorporated under the laws of the State of Delaware. Our principal executive offices are located at 45 Wiggins Ave, Bedford, Massachusetts 01730, and our telephone number is (781) 430-8200. Our website address is www.stoketherapeutics.com. We make available free of charge on our website our annual report on Form 10-K, quarterly reports on Form 10-Q, current reports on Form 8-K and amendments to those reports as soon as reasonably practicable after we electronically file or furnish such materials to the SEC. The reports are also available at www.sec.gov. The information contained on, or that can be accessed through, our website is not part of, and is not incorporated by reference into, this prospectus supplement.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tx137193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Shares of our common stock having an aggregate offering price of up to $200,000,000.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8" w:type="dxa"/>
            <w:tcBorders/>
          </w:tcPr>
          <w:p>
            <w:pPr>
              <w:pStyle w:val="TableContents"/>
              <w:bidi w:val="0"/>
              <w:spacing w:before="0" w:after="283"/>
              <w:jc w:val="left"/>
              <w:rPr/>
            </w:pPr>
            <w:r>
              <w:rPr/>
              <w:t xml:space="preserve">Up to 69,332,601 shares (as more fully described in the notes following this table), assuming sales of 6,930,006 shares of our common stock in this offering at an offering price of $28.86 per share, which was the last reported sale price of our common shares on The Nasdaq Global Select Market on July 31,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9" w:type="dxa"/>
            <w:tcBorders/>
          </w:tcPr>
          <w:p>
            <w:pPr>
              <w:pStyle w:val="TableContents"/>
              <w:bidi w:val="0"/>
              <w:spacing w:before="0" w:after="283"/>
              <w:jc w:val="left"/>
              <w:rPr/>
            </w:pPr>
            <w:r>
              <w:rPr/>
              <w:t>“</w:t>
            </w:r>
            <w:r>
              <w:rPr/>
              <w:t xml:space="preserve">At the market offering” that may be made from time to time through our sales agent, Cantor Fitzgerald &amp; Co.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currently intend to use the net proceeds of this offering primarily for general corporate purposes, which may include funding research, clinical and process development and manufacturing of our product candidates, commercialization preparations, increasing our working capital, reducing indebtedness as applicable, acquisitions, collaborations, investments in businesses, products or technologies that are complementary to our own and capital expenditures.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common stock involves significant risks. See the disclosure under the heading “Risk Factors” in this prospectus supplement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6327" w:type="dxa"/>
            <w:tcBorders/>
          </w:tcPr>
          <w:p>
            <w:pPr>
              <w:pStyle w:val="TableContents"/>
              <w:bidi w:val="0"/>
              <w:spacing w:before="0" w:after="283"/>
              <w:jc w:val="left"/>
              <w:rPr/>
            </w:pPr>
            <w:r>
              <w:rPr/>
              <w:t>“</w:t>
            </w:r>
            <w:r>
              <w:rPr/>
              <w:t xml:space="preserve">STOK”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shown above to be outstanding after this offering is based on 62,402,595 shares of our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11,532,638 shares of common stock issuable upon exercise of options outstanding as of June 30, 2026 with a weighted average exercise price of $16.72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368,070 shares of common stock issuable upon exercise of options outstanding that were granted after June 30, 2026 with a weighted average exercise price of $29.91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2,157,698 shares of common stock subject to restricted stock units and performance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26,000 shares of common stock subject to restricted stock units outstanding that were granted after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3,703,730 shares of common stock issuable upon the exercise of pre-funded warrants outstanding as of June 30, 2026, with an exercise price of $0.0001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6,846,953 shares of common stock reserved and available for future issuance as of June 30, 2026, under our equity incentive plans, consisting of (1) 2,078,770 shares of common stock reserved and available for issuance under our 2019 Equity Incentive Plan as of June 30, 2026 (which number is prior to the options granted after June 30, 2026 in the preceding bullet), (2) 2,160,047 shares of common stock reserved and available for issuance under our 2023 Inducement Plan as of June 30, 2026, and (3) 2,608,136 shares of common stock reserved for issuance under our 2019 Employee Stock Purchase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tx137193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Investment in any securities offered pursuant to this prospectus supplement and the accompanying base prospectus involves risks. You should carefully consider the risk factors described below, in our Quarterly Report on Form 10-Q for the quarter ended June 30, 2026, any amendment or update thereto reflected in subsequent filings with the SEC, and all other information contained or incorporated by reference in this prospectus supplement and the accompanying base prospectus, as updated by our subsequent filings under the Exchange Act. The occurrence of any of these risks might cause you to lose all or part of your investment in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may be higher than the net tangible book value per share of our outstanding common stock prior to this offering. Assuming that an aggregate of 6,930,006 shares of our common stock are sold at a price of $28.86 per share, the last reported sale price of our common stock on The Nasdaq Global Select Market on July 31, 2026, for aggregate gross proceeds of approximately $200.0 million, and after deducting commissions and estimated offering expenses payable by us, new investors in this offering will incur immediate dilution of $21.05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currently intend to use the net proceeds of this offering primarily for general corporate purposes, which may include funding research, clinical and process development and manufacturing of our product candidates, commercialization preparations, increasing our working capital, reducing indebtedness as applicable, acquisitions, collaborations, investments in businesses, products or technologies that are complementary to our own and capital expenditures.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Cantor at any time throughout the term of the Sales Agreement. The number of shares that are sold by Cantor after delivering a placement notice will fluctuate based on the market price of the common shares during the sales period and limits we set with Cantor.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market price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stock markets in general, and the markets for pharmaceutical, biopharmaceutical and biotechnology stocks in particular, have experienced extreme price and volume fluctuations that have often been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tx137193_6"/>
      <w:bookmarkEnd w:id="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Such statements include, but are not limited to, statements regarding the ability of zorevunersen (STK-001) to treat the underlying causes of Dravet syndrome and reduce seizures or show improvements in behavior or cognition at the indicated dosing levels or at all, the clinical development of STK-002 and our other product candidates, including the initiation, timing and expected progress of clinical trials (including our EMPEROR Phase 3 study and our OSPREY Phase 1 study), our efforts to expand our pipeline using our proprietary protein upregulation platform, the receipt of potential milestone or royalty payments or the exercise of options under our collaboration agreement with Biogen International GmbH and our collaboration agreement with Acadia Pharmaceuticals Inc., our future results of operations and financial position, business strategy, prospective products, planned preclinical studies and clinical or field trials, regulatory approvals, research and development costs, and timing and likelihood of success, as well as plans and objectives of management for future operations, and other statements that are not historical facts. You can find many of these statements by looking for words like “believes,” “expects,” “anticipates,” “estimates,” “may,” “might,” “should,” “will,” “could,” “plan,” “intend,” “project,” “seek” or similar expressions in this prospectus supplement, in documents incorporated by reference into this prospectus supplement or any free writing prospectus. We intend that such forward-looking statements be subject to the safe harbors created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our Quarterly Report on Form 10-Q for the quarter ended June 30, 2026, any amendment or update thereto reflected in subsequent filings with the SEC, and those discussed in this prospectus supplement, the documents incorporated by reference into this prospectus supplement and any free writing prospectus. You are cautioned not to place undue reliance on these forward-looking statements, which speak only as of the date of this prospectus supplement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tx13719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Cantor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primarily for general corporate purposes, which may include funding research, clinical and process development and manufacturing of our product candidates, commercialization preparations, increasing our working capital, reducing indebtedness as applicable, acquisitions, collaborations, investments in businesses, products or technologies that are complementary to our own and capital expenditures. Additionally, we may use a portion of the net proceeds from this offering to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or long-term,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tx137193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2026 was approximately $345.5 million, or approximately $5.54 per share of common stock based upon 62,402,595 shares outstanding as of June 30, 2026. Net tangible book value per share is equal to our total tangible assets, less our total liabilities, divided by the total number of shares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our common stock in the aggregate amount of $200,000,000 at an assumed offering price of $28.86 per share, the last reported sale price of our common stock on The Nasdaq Global Select Market on July 31, 2026, and after deducting commissions and estimated offering expenses payable by us, our as adjusted net tangible book value as of June 30, 2026 would have been approximately $541.2 million, or $7.81 per share of common stock. This represents an immediate increase in net tangible book value of $2.27 per share to our existing stockholders and an immediate dilution in net tangible book value of $21.05 per share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The as-adjusted information is illustrative only and will adjust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$200,000,000 is sold at the assumed offering price of $28.86 per share, the last reported sale price of our common stock on The Nasdaq Global Select Market on July 31, 2026. The shares sold in this offering, if any, will be sold from time to time at various prices.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8"/>
        <w:gridCol w:w="248"/>
        <w:gridCol w:w="140"/>
        <w:gridCol w:w="444"/>
        <w:gridCol w:w="60"/>
        <w:gridCol w:w="248"/>
        <w:gridCol w:w="140"/>
        <w:gridCol w:w="605"/>
        <w:gridCol w:w="62"/>
      </w:tblGrid>
      <w:tr>
        <w:trPr/>
        <w:tc>
          <w:tcPr>
            <w:tcW w:w="8258"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28.86</w:t>
            </w:r>
          </w:p>
        </w:tc>
        <w:tc>
          <w:tcPr>
            <w:tcW w:w="62" w:type="dxa"/>
            <w:tcBorders/>
            <w:shd w:fill="CCEEFF" w:val="clear"/>
            <w:vAlign w:val="bottom"/>
          </w:tcPr>
          <w:p>
            <w:pPr>
              <w:pStyle w:val="TableContents"/>
              <w:bidi w:val="0"/>
              <w:spacing w:before="0" w:after="283"/>
              <w:jc w:val="left"/>
              <w:rPr/>
            </w:pPr>
            <w:r>
              <w:rPr/>
              <w:t> </w:t>
            </w:r>
          </w:p>
        </w:tc>
      </w:tr>
      <w:tr>
        <w:trPr/>
        <w:tc>
          <w:tcPr>
            <w:tcW w:w="825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5.54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5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7.81</w:t>
            </w:r>
          </w:p>
        </w:tc>
        <w:tc>
          <w:tcPr>
            <w:tcW w:w="62" w:type="dxa"/>
            <w:tcBorders/>
            <w:vAlign w:val="bottom"/>
          </w:tcPr>
          <w:p>
            <w:pPr>
              <w:pStyle w:val="TableContents"/>
              <w:bidi w:val="0"/>
              <w:spacing w:before="0" w:after="283"/>
              <w:jc w:val="left"/>
              <w:rPr/>
            </w:pPr>
            <w:r>
              <w:rPr/>
              <w:t> </w:t>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the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21.05</w:t>
            </w:r>
          </w:p>
        </w:tc>
        <w:tc>
          <w:tcPr>
            <w:tcW w:w="62" w:type="dxa"/>
            <w:tcBorders/>
            <w:shd w:fill="CCEEFF" w:val="clear"/>
            <w:vAlign w:val="bottom"/>
          </w:tcPr>
          <w:p>
            <w:pPr>
              <w:pStyle w:val="TableContents"/>
              <w:bidi w:val="0"/>
              <w:spacing w:before="0" w:after="283"/>
              <w:jc w:val="left"/>
              <w:rPr/>
            </w:pPr>
            <w:r>
              <w:rPr/>
              <w:t> </w:t>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shown above to be outstanding after this offering is based on 62,402,595 shares of our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11,532,638 shares of common stock issuable upon exercise of options outstanding as of June 30, 2026 with a weighted average exercise price of $16.72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368,070 shares of common stock issuable upon exercise of options outstanding that were granted after June 30, 2026 with a weighted average exercise price of $29.91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2,157,698 shares of common stock subject to restricted stock units and performance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26,000 shares of common stock subject to restricted stock units outstanding that were granted after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3,703,730 shares of common stock issuable upon the exercise of pre-funded warrants outstanding as of June 30, 2026, with an exercise price of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6,846,953 shares of common stock reserved and available for future issuance as of June 30, 2026, under our equity incentive plans, consisting of (1) 2,078,770 shares of common stock reserved and available for issuance under our 2019 Equity Incentive Plan as of June 30, 2026 (which number is prior to the options granted after June 30, 2026 in the preceding bullet), (2) 2,160,047 shares of common stock reserved and available for issuance under our 2023 Inducement Plan as of June 30, 2026, and (3) 2,608,136 shares of common stock reserved for issuance under our 2019 Employee Stock Purchase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tx137193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 Controlled Equity OfferingSM Sales Agreement, or the Sales Agreement, with Cantor Fitzgerald &amp; Co., or Cantor, under which from time to time we may issue and sell shares of our common stock. In accordance with the terms of the Sales Agreement, pursuant to this prospectus supplement, we may offer and sell shares of our common stock having an aggregate gross sales price of up to $200.0 million through Cantor acting as agent. As of the date of this prospectus supplement, we previously issued and sold under the Sales Agreement approximately 4.7 million shares of our common stock for aggregate net proceeds of $146.4 million pursuant to the prospectus supplement and accompanying base prospectus dated March 18, 2026. This prospectus supplement replaces and supersedes in its entirety the prior prospectus supplement and we will not make any further offers or sales of our common stock pursuant to the prior prospectus supplement following the date of this prospectus supplement. Sales of the shares of common stock, if any, may be made on The Nasdaq Global Select Market at market prices and such other sales as agreed upon by us and Cantor. The Sales Agreement has been filed as an exhibit to our registration statement on Form S-3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Upon delivery of a placement notice to Cantor and subject to the terms and conditions of the Sales Agreement, Cantor may offer and sell shares of our common stock by any method permitted by law deemed to be an “at the market offering” as defined in Rule 415(a)(4) promulgated under the Securities Act. We may instruct Cantor not to sell common stock if the sales cannot be effected at or above the price designated by us from time to time. We or Cantor may suspend or terminate the offering of our common stock upon notice and subject to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We will pay Cantor commissions, in cash, for its services in acting as sales agent in the sale of our common stock. Cantor will be entitled to a commission of up to 3.0% of the gross sales price per share sold under the Sales Agreement. Because there is no minimum offering amount required as a condition to this offering, the actual total public offering amount, commissions and proceeds to us, if any, are not determinable at this time. We agreed to reimburse a portion of Cantor’s expenses, including legal fees, in connection with this offering up to a maximum of $50,000. We estimate that the total expenses for the offering, excluding commissions and expense reimbursement payable to Cantor under the terms of the Sales Agreement, will be approximately $0.3 million.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shares of our common stock will occur on the trading day following the date on which any sales are made (or such earlier day as is industry practice for regular-way trading), or on some other date that is agreed upon by us and Cantor in connection with a particular transaction, in return for payment of the net proceeds to us. There is no arrangement for funds to be received in an escrow, trust or similar arrangement. Sales of our common stock as contemplated in this prospectus supplement will be settled through the facilities of The Depository Trust Company or by such other means as we and Cantor may agree upon. </w:t>
      </w:r>
    </w:p>
    <w:p>
      <w:pPr>
        <w:pStyle w:val="TextBody"/>
        <w:bidi w:val="0"/>
        <w:spacing w:before="240" w:after="0"/>
        <w:jc w:val="left"/>
        <w:rPr>
          <w:rFonts w:ascii="Times New Roman" w:hAnsi="Times New Roman"/>
          <w:sz w:val="20"/>
        </w:rPr>
      </w:pPr>
      <w:r>
        <w:rPr>
          <w:rFonts w:ascii="Times New Roman" w:hAnsi="Times New Roman"/>
          <w:sz w:val="20"/>
        </w:rPr>
        <w:t xml:space="preserve">Cantor will act as our sales agent and use commercially reasonable efforts, consistent with its normal trading and sales practices. In connection with the sale of the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shares of our common stock pursuant to the Sales Agreement will terminate upon the earlier of (1) the sale of all shares of our common stock subject to the Sales Agreement, or (2) termination of the Sales Agreement as permitted therein. We may terminate the Sales Agreement at any time upon one day’s prior notice. Cantor may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the offering is ongoing under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 electronic format may be made available on a website maintained by Cantor, and Cantor may distribute this prospectus supplement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tx137193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San Francisco, California, will pass upon certain legal matters relating to the issuance and sale of the securities offered hereby on behalf of Stoke Therapeutics, Inc. Cantor Fitzgerald &amp; Co. is being represented in connection with this offering by Paul Hastings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tx137193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Stoke Therapeutics, Inc. and its subsidiary as of December 31, 2025 and 2024, and for the years then ended,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14600" cy="1181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514600" cy="11817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Stoke Therapeutics,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Warrants, Subscription Rights and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information incorporated, or deemed to be incorporated, by reference in this prospectus, and any applicable prospectus supplement and related free writing prospectus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Select Market under the symbol “STOK.” On March 16, 2026, the last reported sales price for our common stock was $33.96 per share.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exchange of the securities covered by the prospectus supplement and any related free writing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An investment in our securities involves a high degree of risk. You should carefully consider the information under the heading “</w:t>
      </w:r>
      <w:hyperlink w:anchor="toc137193_3">
        <w:r>
          <w:rPr>
            <w:rStyle w:val="InternetLink"/>
            <w:rFonts w:ascii="Times New Roman" w:hAnsi="Times New Roman"/>
            <w:b/>
            <w:sz w:val="24"/>
          </w:rPr>
          <w:t>Risk Factors</w:t>
        </w:r>
      </w:hyperlink>
      <w:r>
        <w:rPr>
          <w:rFonts w:ascii="Times New Roman" w:hAnsi="Times New Roman"/>
          <w:b/>
          <w:sz w:val="24"/>
        </w:rPr>
        <w:t xml:space="preserve">” beginning on page 5 of this prospectus, contained in the applicable prospectus supplement and any related free writing prospectus, and under similar headings in the other documents that are incorporated by reference into this prospectus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and the applicable prospectus supplement.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March 18,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4">
              <w:r>
                <w:rPr>
                  <w:rStyle w:val="InternetLink"/>
                  <w:rFonts w:ascii="Times New Roman" w:hAnsi="Times New Roman"/>
                  <w:sz w:val="20"/>
                </w:rPr>
                <w:t>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5">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6">
              <w:r>
                <w:rPr>
                  <w:rStyle w:val="InternetLink"/>
                  <w:rFonts w:ascii="Times New Roman" w:hAnsi="Times New Roman"/>
                  <w:sz w:val="20"/>
                </w:rPr>
                <w:t>INCORPORATION OF INFORMATION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7">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8">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9">
              <w:r>
                <w:rPr>
                  <w:rStyle w:val="InternetLink"/>
                  <w:rFonts w:ascii="Times New Roman" w:hAnsi="Times New Roman"/>
                  <w:sz w:val="20"/>
                </w:rPr>
                <w:t>DESCRIPTION OF CAPITAL STOCK</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0">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2">
              <w:r>
                <w:rPr>
                  <w:rStyle w:val="InternetLink"/>
                  <w:rFonts w:ascii="Times New Roman" w:hAnsi="Times New Roman"/>
                  <w:sz w:val="20"/>
                </w:rPr>
                <w:t>DESCRIPTION OF SUBSCRIPTION RIGHTS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3">
              <w:r>
                <w:rPr>
                  <w:rStyle w:val="InternetLink"/>
                  <w:rFonts w:ascii="Times New Roman" w:hAnsi="Times New Roman"/>
                  <w:sz w:val="20"/>
                </w:rPr>
                <w:t>DESCRIPTION OF UNITS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7193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5" w:name="toc137193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or the SEC, as a “well-known seasoned issuer” as defined in Rule 405 under the Securities Act of 1933, as amended, or the Securities Act. Under this shelf registration process, from time to time, we may sell any combination of the securities described in this prospectus in one or more offerings.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hAnsi="Times New Roman"/>
          <w:i/>
          <w:sz w:val="20"/>
        </w:rPr>
        <w:t>provided</w:t>
      </w:r>
      <w:r>
        <w:rPr>
          <w:rFonts w:ascii="Times New Roman" w:hAnsi="Times New Roman"/>
          <w:sz w:val="20"/>
        </w:rPr>
        <w:t xml:space="preserve">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headings “Where You Can Find More Information” and “Incorporation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AND SELL SECURITIES UNLESS IT IS ACCOMPANIED BY AN ADDITIONAL PROSPECTUS OR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the context otherwise requires, the terms “Stoke,” “Stoke Therapeutics,” the “Company,” “we,” “us,” and “our” refer to Stoke Therapeutics,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6" w:name="toc137193_2"/>
      <w:bookmarkEnd w:id="1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in other parts of this prospectus or incorporated by reference in this prospectus from our Annual Report on Form 10-K for the year ended December 31, 2025 and our other filings with the SEC listed below under the heading “Incorporation of Information by Reference.” This summary may not contain all the information that you should consider before investing in our securities. You should read the entire prospectus and the information incorporated by reference in this prospectus carefully, including “Risk Factors” and the financial data and related notes and other information incorporated by reference, before making an investment decision. See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late-stage clinical company dedicated to addressing the underlying causes of severe diseases by upregulating protein expression with RNA-based medicines. Using our proprietary TANGO (Targeted Augmentation of Nuclear Gene Output) approach, we are developing antisense oligonucleotides, or ASOs, to selectively restore protein levels.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first investigational, new medicine in development, zorevunersen (STK-001), is a potential disease modifying medicine that is in late-stage clinical testing for the treatment of Dravet syndrome, a severe and progressive genetic epilepsy. Dravet syndrome is characterized by frequent, prolonged and refractory seizures beginning within the first year of life. The disease is classified as a developmental and epileptic encephalopathy due to the developmental delays and cognitive impairment associated with it. There are currently no disease modifying medicines approved for the treatment of Dravet syndrome.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Dravet syndrome is one of many diseases caused by a haploinsufficiency in which a loss of approximately 50% of normal protein levels leads to disease. Our initial focus is on haploinsufficiencies and diseases of the central nervous system and the eye, although proof of concept has been demonstrated in other organs, tissues, and systems, supporting our belief in the broad potential for our proprietary approach.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Zorevunersen is currently being evaluated in our global Phase 3 clinical study, EMPEROR, which was initiated in May 2025, with the first patient dosed in August 2025. We expect to complete enrollment of approximately 150 patients in the second quarter of 2026, with pivotal Phase 3 data anticipated in mid-2027 to support the submission of a New Drug Application, or NDA, to the U.S. Food and Drug Administration. We plan to initiate a rolling NDA submission in the first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trial follows the completion of two open-label Phase 1/2a studies, MONARCH in the United States and ADMIRAL in the United Kingdom, and further evaluates the efficacy and safety of zorevunersen in children and adolescents ages 2 to up to 18 with Dravet syndrome. The Phase 1/2a and open-label extension studies in patients with Dravet syndrome have provided positive data, showing substantial and durable reductions in convulsive seizure frequency on top of currently available anti-seizure medicines. Additionally, ongoing treatment has led to continuous improvements in cognition and behavior, as measured by Vineland-3 (Vineland Adaptive Behavior Scale, Third Edition), a standardized assessment of behavioral outcomes. Zorevunersen was generally well tolerated across the studies.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advancing STK-002, our lead clinical candidate for the treatment of Autosomal Dominant Optic Atrophy, or ADOA. STK-002 is currently being evaluated in the Phase 1 OSPREY study in children and adults ages 6 to 55 who have an established diagnosis of ADOA and have evidence of a genetic mutation in the </w:t>
      </w:r>
      <w:r>
        <w:rPr>
          <w:rFonts w:ascii="Times New Roman" w:hAnsi="Times New Roman"/>
          <w:i/>
          <w:sz w:val="20"/>
          <w:bdr w:val="single" w:sz="8" w:space="1" w:color="000000"/>
        </w:rPr>
        <w:t xml:space="preserve">OPA1 </w:t>
      </w:r>
      <w:r>
        <w:rPr>
          <w:rFonts w:ascii="Times New Roman" w:hAnsi="Times New Roman"/>
          <w:sz w:val="20"/>
          <w:bdr w:val="single" w:sz="8" w:space="1" w:color="000000"/>
        </w:rPr>
        <w:t xml:space="preserve">gene. STK-002 is designed to upregulate OPA1 protein expression by leveraging the non-mutant (wild-type) copy of the </w:t>
      </w:r>
      <w:r>
        <w:rPr>
          <w:rFonts w:ascii="Times New Roman" w:hAnsi="Times New Roman"/>
          <w:i/>
          <w:sz w:val="20"/>
          <w:bdr w:val="single" w:sz="8" w:space="1" w:color="000000"/>
        </w:rPr>
        <w:t>OPA1</w:t>
      </w:r>
      <w:r>
        <w:rPr>
          <w:rFonts w:ascii="Times New Roman" w:hAnsi="Times New Roman"/>
          <w:sz w:val="20"/>
          <w:bdr w:val="single" w:sz="8" w:space="1" w:color="000000"/>
        </w:rPr>
        <w:t xml:space="preserve"> gene to restore OPA1 protein expression with the aim to stop or slow vision loss in patients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with ADOA. To date, we have generated preclinical data demonstrating proof-of-mechanism and proof-of-concept for STK-002.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14, 2025, we entered into a License and Collaboration Agreement, or the Biogen Agreement, with Biogen International GmbH, or Biogen, for the joint development and commercialization of zorevunersen and other compounds targeting the SCN1A gene, or the Licensed Product. Under the terms of the Biogen Agreement, we granted Biogen an exclusive, royalty-bearing license to develop, manufacture, and export Licensed Products in all territories outside the U.S., Canada, and Mexico. In addition, Biogen has the option to exercise an exclusive, royalty-bearing, sublicensable and transferable license for certain future follow-on ASOs directed to SCN1A controlled by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Biogen Agreement, the parties are jointly developing zorevunersen, and we are leading global development. We and Biogen share global development costs based on an agreed budget. We are responsible for 70% of these development costs and Biogen is responsible for the remaining 30% of these development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closing of this transaction in February 2025, we received an upfront payment of $165.0 million and are eligible to receive development and commercial milestone payments that could total up to approximately $50.0 million and $335.0 million, respectively, if all the specified milestones set forth in the Biogen Agreement are achieved. In addition, we are eligible to receive tiered, double-digit royalties ranging from the low double-digit to high teen percentages of future net sales on the Licensed Product. Royalties payable under the Biogen Agreement are subject to standard royalty reductions. As of December 31, 2025 no milestones have been met.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this prospectus, we may offer common stock, preferred stock, debt securities, warrants to purchase our common stock, preferred stock or debt securities, subscription rights to purchase our common stock, preferred stock or debt securities, and/or units consisting of some or all of these securities in any combination. Each time we offer securities with this prospectus, we will provide offerees with a prospectus supplement that will contain the specific terms of the securities being offered. The following is a summary of the securities we may offer with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$0.0001 per share.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preferred stock, par value $0.0001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general obligations, which may be secured or unsecured, senior or subordinated and convertible into shares of our common stock or preferred stock. In this prospectus, we refer to the senior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and the subordinated debt securities together as the “debt securities.” Our board of directors will determine the terms of each series of debt securities being offered.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debt securities, shares of preferred stock or shares of common stock. We may issue warrants independently or together with other securities. Our board of directors will determine the terms of the warrants.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for the purchase of common stock, preferred stock or debt securities. We may issue subscription rights independently or together with other securities. Our board of directors will determine the terms of the subscription rights.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Stoke Therapeutics, Inc. was founded in June 2014 and was incorporated under the laws of the State of Delaware. Our principal executive offices are located at 45 Wiggins Ave, Bedford, Massachusetts 01730, and our telephone number is (781) 430-8200. Our website address is www.stoketherapeutics.com. We make available free of charge on our website our annual report on Form 10-K, quarterly reports on Form 10-Q, current reports on Form 8-K and amendments to those reports as soon as reasonably practicable after we electronically file or furnish such materials to the SEC. The reports are also available at www.sec.gov. The information contained on, or that can be accessed through, our website is not part of, and is not incorporated by reference into,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137193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in our Annual Report on Form 10-K for the year ended December 31, 2025 and any other filings we make with the SEC from time to time,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37193_4"/>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Such statements include, but are not limited to, statements regarding the receipt of potential milestone or royalty payments or the exercise of the option under the Biogen Agreement; the ability of zorevunersen to treat the underlying causes of Dravet syndrome and reduce seizures or show improvements in behavior or cognition at the indicated dosing levels or at all, the timing and expected progress of clinical trials, our future results of operations and financial position, business strategy, prospective products, planned preclinical studies and clinical or field trials, regulatory approvals, research and development costs, and timing and likelihood of success, as well as plans and objectives of management for future operations, and other statements that are not historical facts. You can find many of these statements by looking for words like “believes,” “expects,” “anticipates,” “estimates,” “may,” “might,” “should,” “will,” “could,” “plan,” “intend,” “project,” “seek” or similar expressions in this prospectus, in documents incorporated by reference into this prospectus or any free writing prospectus. We intend that such forward-looking statements be subject to the safe harbors created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our Annual Report on Form 10-K for the year ended December 31, 2025 and those discussed in this prospectus, the documents incorporated by reference into this prospectus and any free writing prospectus. You are cautioned not to place undue reliance on these forward-looking statements, which speak only as of the date of this prospectus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37193_5"/>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or the Exchange Act, and are required to file annual, quarterly and other reports, proxy statements and other information with the SEC. The SEC maintains an Internet site (http://www.sec.gov) that contains reports, proxy and information statements, and various other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http://www.stoketherapeutics.com. However, the information on our website is not a part of this prospectus and is not incorporated by reference into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137193_6"/>
      <w:bookmarkEnd w:id="20"/>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19">
              <w:r>
                <w:rPr>
                  <w:rStyle w:val="InternetLink"/>
                  <w:rFonts w:ascii="Times New Roman" w:hAnsi="Times New Roman"/>
                  <w:sz w:val="20"/>
                </w:rPr>
                <w:t>March 16,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20">
              <w:r>
                <w:rPr>
                  <w:rStyle w:val="InternetLink"/>
                  <w:rFonts w:ascii="Times New Roman" w:hAnsi="Times New Roman"/>
                  <w:sz w:val="20"/>
                </w:rPr>
                <w:t>April 22, 2025</w:t>
              </w:r>
            </w:hyperlink>
            <w:r>
              <w:rPr>
                <w:rFonts w:ascii="Times New Roman" w:hAnsi="Times New Roman"/>
                <w:sz w:val="20"/>
              </w:rPr>
              <w:t xml:space="preserve"> (but only with respect to information specifically incorporated by reference into our Annual Report on Form 10-K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21">
              <w:r>
                <w:rPr>
                  <w:rStyle w:val="InternetLink"/>
                  <w:rFonts w:ascii="Times New Roman" w:hAnsi="Times New Roman"/>
                  <w:sz w:val="20"/>
                </w:rPr>
                <w:t>January 12, 2026</w:t>
              </w:r>
            </w:hyperlink>
            <w:r>
              <w:rPr>
                <w:rFonts w:ascii="Times New Roman" w:hAnsi="Times New Roman"/>
                <w:sz w:val="20"/>
              </w:rPr>
              <w:t xml:space="preserve"> (but only with respect to Item 8.01), </w:t>
            </w:r>
            <w:hyperlink r:id="rId22">
              <w:r>
                <w:rPr>
                  <w:rStyle w:val="InternetLink"/>
                  <w:rFonts w:ascii="Times New Roman" w:hAnsi="Times New Roman"/>
                  <w:sz w:val="20"/>
                </w:rPr>
                <w:t>January  26, 2026</w:t>
              </w:r>
            </w:hyperlink>
            <w:r>
              <w:rPr>
                <w:rFonts w:ascii="Times New Roman" w:hAnsi="Times New Roman"/>
                <w:sz w:val="20"/>
              </w:rPr>
              <w:t xml:space="preserve"> and </w:t>
            </w:r>
            <w:hyperlink r:id="rId23">
              <w:r>
                <w:rPr>
                  <w:rStyle w:val="InternetLink"/>
                  <w:rFonts w:ascii="Times New Roman" w:hAnsi="Times New Roman"/>
                  <w:sz w:val="20"/>
                </w:rPr>
                <w:t>March 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4">
              <w:r>
                <w:rPr>
                  <w:rStyle w:val="InternetLink"/>
                  <w:rFonts w:ascii="Times New Roman" w:hAnsi="Times New Roman"/>
                  <w:sz w:val="20"/>
                </w:rPr>
                <w:t>Form 8-A</w:t>
              </w:r>
            </w:hyperlink>
            <w:r>
              <w:rPr>
                <w:rFonts w:ascii="Times New Roman" w:hAnsi="Times New Roman"/>
                <w:sz w:val="20"/>
              </w:rPr>
              <w:t xml:space="preserve"> filed with the SEC on June 11, 2019 under Section  12(b) of the Exchange Act, including any amendment or report filed for the purpose of updating such description, including </w:t>
            </w:r>
            <w:hyperlink r:id="rId25">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2025, filed with the SEC on </w:t>
            </w:r>
            <w:hyperlink r:id="rId26">
              <w:r>
                <w:rPr>
                  <w:rStyle w:val="InternetLink"/>
                  <w:rFonts w:ascii="Times New Roman" w:hAnsi="Times New Roman"/>
                  <w:sz w:val="20"/>
                </w:rPr>
                <w:t>March 16,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filings we make with the SEC pursuant to the Exchange Act after the date of the initial registration statement, of which this prospectus is a part, and prior to the effectiveness of 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You may request a copy of these filings (other than an exhibit to a filing unless that exhibit is specifically incorporated by reference into that filing) at no cost by writing, telephoning or e-mailing us at the following address, telephone number or e-mail address:</w:t>
      </w:r>
    </w:p>
    <w:p>
      <w:pPr>
        <w:pStyle w:val="TextBody"/>
        <w:bidi w:val="0"/>
        <w:spacing w:before="240" w:after="0"/>
        <w:jc w:val="center"/>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45 Wiggins Ave </w:t>
      </w:r>
    </w:p>
    <w:p>
      <w:pPr>
        <w:pStyle w:val="TextBody"/>
        <w:bidi w:val="0"/>
        <w:spacing w:before="0" w:after="0"/>
        <w:jc w:val="center"/>
        <w:rPr>
          <w:rFonts w:ascii="Times New Roman" w:hAnsi="Times New Roman"/>
          <w:sz w:val="20"/>
        </w:rPr>
      </w:pPr>
      <w:r>
        <w:rPr>
          <w:rFonts w:ascii="Times New Roman" w:hAnsi="Times New Roman"/>
          <w:sz w:val="20"/>
        </w:rPr>
        <w:t xml:space="preserve">Bedford, Massachusetts 01730 </w:t>
      </w:r>
    </w:p>
    <w:p>
      <w:pPr>
        <w:pStyle w:val="TextBody"/>
        <w:bidi w:val="0"/>
        <w:spacing w:before="0" w:after="0"/>
        <w:jc w:val="center"/>
        <w:rPr>
          <w:rFonts w:ascii="Times New Roman" w:hAnsi="Times New Roman"/>
          <w:sz w:val="20"/>
        </w:rPr>
      </w:pPr>
      <w:r>
        <w:rPr>
          <w:rFonts w:ascii="Times New Roman" w:hAnsi="Times New Roman"/>
          <w:sz w:val="20"/>
        </w:rPr>
        <w:t xml:space="preserve">Tel: (781) 430-8200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through the “Investors &amp; News” section of our website at www.stoketherapeutics.com. See the section of this prospectus entitled “Where You Can Find More Information” for information concerning how to obtain copies of materials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37193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clinical and process development and manufacturing of our product candidates, increasing our working capital, reducing indebtedness as applicable, acquisitions, collaborations or investments in businesses, products or technologies that are complementary to our own and capital expenditures. We will set forth in the applicable prospectus supplement our intended use for the net proceeds received from the sale of any securities. Pending the application of the net proceeds, we intend to invest the net proceeds in short-term or long-term,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37193_8"/>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stock, and they may use securities received from us in settlement of those derivatives to close out any related open borrowings of stock.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file a prospectus supplement to describe the terms of any offering of our securities covered by this prospectus. The prospectus supplement will disclose: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including any managing underwriters, as well as any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if any,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or other items constituting underwriters’ compensation, and any commissions paid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subscription rights offering, whether we have engaged dealer-managers to facilitate the offering or subscription, including their name or names and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facts material to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bear all or substantially all of the costs, expenses and fees in connection with the registration of our securities under this prospectus. The underwriters, dealers and agents may engage in transactions with us,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or the securities are sold by us to an underwriter in a firm commitment underwritten offering.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37193_9"/>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300,000,000 shares of common stock, $0.0001 par value per share, and 10,000,000 shares of undesignated preferred stock, $0.0001 par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most important terms of our capital stock. Because it is only a summary, it does not contain all the information that may be important to you. For a complete description, you should refer to our restated certificate of incorporation, as amended, and our restated bylaws, as amended, which are included as exhibits to the registration statement of which this prospectus forms a part, and to the applicable provisions of Delaware law.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were 58,921,999 shares of our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For more information about our dividend policy, see “Dividends” in our Annual Report on Form 10-K for the year ended December 31, 2025, which is incorporated by reference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are able to elect all of our directors. Our restated certificate of incorporation provides for a classified board of directors, divided into three classes with staggered three-year terms. Only one class of directors is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subject to limitations prescribed by Delaware law, to issue up to 10,000,000 shares of preferred stock in one or more series, to establish from time to time the number of shares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the number of shares of any series of preferred stock, but not above the total number of authorized shares of preferred stock, or decrease the number of shares of any series of preferred stock, but not below the number of shares of that series then outstanding, in each case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General Corporation Law, or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our restated bylaws include a number of provisions that could deter hostile takeovers or delay or prevent changes in control of our company,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Board of directors vacancies</w:t>
            </w:r>
            <w:r>
              <w:rPr>
                <w:rFonts w:ascii="Times New Roman" w:hAnsi="Times New Roman"/>
                <w:sz w:val="20"/>
              </w:rPr>
              <w:t xml:space="preserve">. Our restated certificate of incorporation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Classified board</w:t>
            </w:r>
            <w:r>
              <w:rPr>
                <w:rFonts w:ascii="Times New Roman" w:hAnsi="Times New Roman"/>
                <w:sz w:val="20"/>
              </w:rPr>
              <w:t xml:space="preserve">. Our restated certificate of incorporation and restated bylaws provide that our board of 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Stockholder action; special meetings of stockholders</w:t>
            </w:r>
            <w:r>
              <w:rPr>
                <w:rFonts w:ascii="Times New Roman" w:hAnsi="Times New Roman"/>
                <w:sz w:val="20"/>
              </w:rPr>
              <w:t xml:space="preserve">. Our restated certificate of incorporation provides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the lead independent director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i/>
                <w:sz w:val="20"/>
              </w:rPr>
              <w:t>Advance notice requirements for stockholder proposals and director nominations</w:t>
            </w:r>
            <w:r>
              <w:rPr>
                <w:rFonts w:ascii="Times New Roman" w:hAnsi="Times New Roman"/>
                <w:sz w:val="20"/>
              </w:rPr>
              <w:t xml:space="preserve">. Our restated bylaws provide advance notice 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restated certificate of incorporation and restated bylaws do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Directors removed only for cause</w:t>
            </w:r>
            <w:r>
              <w:rPr>
                <w:rFonts w:ascii="Times New Roman" w:hAnsi="Times New Roman"/>
                <w:sz w:val="20"/>
              </w:rPr>
              <w:t xml:space="preserve">. Our restated certificate of incorporation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Amendment of charter provisions</w:t>
            </w:r>
            <w:r>
              <w:rPr>
                <w:rFonts w:ascii="Times New Roman" w:hAnsi="Times New Roman"/>
                <w:sz w:val="20"/>
              </w:rPr>
              <w:t xml:space="preserve">. Any amendment of the above expected provisions in our restated certificate of incorporation requires approval by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 or to discourage an attempt to obtain control of us by merger, tender offer, proxy contest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i/>
                <w:sz w:val="20"/>
              </w:rPr>
              <w:t>Choice of forum</w:t>
            </w:r>
            <w:r>
              <w:rPr>
                <w:rFonts w:ascii="Times New Roman" w:hAnsi="Times New Roman"/>
                <w:sz w:val="20"/>
              </w:rPr>
              <w:t xml:space="preserve">. Our restated certificate of incorporation provides 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This exclusive forum provision does not apply to suits brought to enforce a duty or liability created by the Exchange Act. In addition, our restated bylaws provide that unless we consent in writing to the selection of an alternate forum, the federal district courts of the United States are the exclusive forum for the resolution of any complaint asserting a cause of action arising under the Securities Act. Nothing in our restated certificate of incorporation or restated bylaws precludes stockholders from asserting claims to enforce any liability or duty created by the Exchange Act, or any other claim for which the federal courts of the United States have exclusive jurisdiction.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6201 15th Avenue, Brooklyn, New York 11219.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Nasdaq Global Select Market under the symbol “STOK.”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37193_10"/>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the debt securities will represent our direct, unsecured obligations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or prices, expressed as a percentage of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if applicable, the method used to determine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if any, will be payable and any regular record date for the interest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and, if applicable, premium and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or the holders may require us to,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may be issuable, if other than denominations of $1,000 or any integral multiple of that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issuable in the form of certificated securities (as described below) or global securities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that will be payable upon declaration of acceleration of the maturity date if other than the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and, if applicable, premium and interest,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if applicable, premium or interest, on the debt securities are to be made in one or more currencies or currency units other than the currency of denomination, the manner in which the exchange rate with respect to such payments will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collateral provided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and/or the acceleration provisions described in this prospectus or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if not otherwise described below under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into or exchange for shares of our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depositories, interest rate calculation agents, exchange rate calculation agents or other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debt securities shall be subordinated in right of payment to our other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convertible into or exchangeable for shares of our common stock. The terms and conditions of conversion or exchange will be stated in the applicable prospectus supplement. The terms will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the convertibility or exchangeability of the debt securities, including who may convert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requiring adjustment to the conversion or exchange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our redemption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provisions, if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form of indenture provides that we will not consolidate with or merge into any other person or convey, transfer, sell or lease our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the transaction on a pro forma basis, no event of default, and no event which, after notice or lapse of time or both, would become an event of default, has occurred and is continuing under the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following events will be events of default under the indenture with respect to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any principal or premium, if any, when it becomes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any interest within 30 days after it becomes due;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involving bankruptcy, insolvency or reorganization of us or any of our significant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nonpayment of accelerated principal, premium or interest) have been cured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interest on overdue interest and overdue principal has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would not conflict with any judgment or decree.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 series will have any right to institute any proceeding with respect to the indenture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to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the affected series make a written request and offer reasonable indemnity to the trustee to institute a proceeding as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fails to institute a proceeding within 60 days after such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the affected series do not give the trustee a direction inconsistent with such request during such 60-day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limitations do not, however, apply to a suit instituted for payment on debt securities of any series on or after the due dates expressed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deliver certificates to the trustee regarding our compliance with our obligations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the surviving entity following a change of control permitted under the indenture will assume all of our obligations under the indenture and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certificated debt securities in addition to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under the Trust Indenture Act of 1939;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or make any other change that does not materially and adversely affect the rights of any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under the indenture with respect to one or more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to the indenture or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change the time for payment of interest or reduce the amount of or postpone the date for payment of sinking fund or analogous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stated maturity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debt security payable in money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amount or time of any payment required or reduce the premium payable upon any redemption, or change the time before which no such redemption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if any, or interest on the debt securities or a redemption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securities or change any provision with respect to redemption of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other action otherwise prohibited by the indenture to be taken without the consent of each holder affected by the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of our obligations with respect to any debt securities except for the following obligations (which discharge is referred to as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or exchange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temporary or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compensate and indemnify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an office or agency in respect of the debt securities and to hold monies for payment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the debt securities under certain covenants contained in the indenture, as well as any additional covenants which may be contained in the applicable supplemental indenture (which release is referred to as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defeasance option, we must irrevocably deposit with the trustee or other qualifying trustee, in trust for that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(as described below) or Foreign Government Obligations (as described below) that through the scheduled payment of principal and interest in accordance with their terms will provide money;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and/or U.S. Government Obligations and/or Foreign Government Obligations sufficient in the written opinion of a nationally-recognized firm of independent accountants to provide money;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that, in each case specified above, provides a sufficient amount to pay the principal of, premium, if any, and interest, if any, on the debt securities of the series, on the scheduled due dates or on a selected date of redemption in accordance with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defeasance may be effected only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described in the indenture are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before="240" w:after="0"/>
        <w:jc w:val="left"/>
        <w:rPr>
          <w:rFonts w:ascii="Times New Roman" w:hAnsi="Times New Roman"/>
          <w:sz w:val="20"/>
        </w:rPr>
      </w:pPr>
      <w:r>
        <w:rPr>
          <w:rFonts w:ascii="Times New Roman" w:hAnsi="Times New Roman"/>
          <w:sz w:val="20"/>
        </w:rPr>
        <w:t xml:space="preserve">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 </w:t>
      </w:r>
    </w:p>
    <w:p>
      <w:pPr>
        <w:pStyle w:val="TextBody"/>
        <w:bidi w:val="0"/>
        <w:spacing w:before="240" w:after="0"/>
        <w:jc w:val="left"/>
        <w:rPr>
          <w:rFonts w:ascii="Times New Roman" w:hAnsi="Times New Roman"/>
          <w:sz w:val="20"/>
        </w:rPr>
      </w:pPr>
      <w:r>
        <w:rPr>
          <w:rFonts w:ascii="Times New Roman" w:hAnsi="Times New Roman"/>
          <w:sz w:val="20"/>
        </w:rPr>
        <w:t xml:space="preserve">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Incorporators, Stockholders, Officers or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37193_11"/>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purchase debt securities will describe the terms of the debt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debt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debt securities, including any conversion rights, purchasable upon exercise of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debt warrants and any debt securities issued with them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debt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debt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represented by the debt warrant certificates or debt securities that may be issued upon exercise of the debt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debt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debt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debt warrants, including procedures and limitations relating to the exchange, exercise, and settlement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rights of holders of the debt securities purchasable upon exercise and will not be entitled to payment of principal or any premium, if any, or interest on the debt securities purchasable upon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Equity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series of warrants to purchase our common stock or preferred stock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common stock or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a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equity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pre-funded warrants will begin, generally on the date of issuance, and the date on which that right will expire, generally when the pre-funded warrant is exercised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 may only be exercised pursuant to a cashless exercise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fundamental transaction,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37193_12"/>
      <w:bookmarkEnd w:id="26"/>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or debt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or debt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37193_13"/>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37193_14"/>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San Francisco, California, will issue an opinion about certain legal matters with respect to the securities. Any underwriters or agents will be advised about legal matters relating to any offering by their own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37193_15"/>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Stoke Therapeutics, Inc. and its subsidiary as of December 31, 2025 and 2024, and for the years then ended,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14600" cy="1181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2514600" cy="118173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Up to $200,000,000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2400" cy="2844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8"/>
                    <a:stretch>
                      <a:fillRect/>
                    </a:stretch>
                  </pic:blipFill>
                  <pic:spPr bwMode="auto">
                    <a:xfrm>
                      <a:off x="0" y="0"/>
                      <a:ext cx="1422400" cy="2844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0" w:name="d137193dexfilingfees.htm"/>
      <w:bookmarkStart w:id="31" w:name="ksd137193dexfilingfees"/>
      <w:bookmarkStart w:id="32" w:name="d137193dexfilingfees.htm"/>
      <w:bookmarkStart w:id="33" w:name="ksd137193dexfilingfees"/>
      <w:bookmarkEnd w:id="32"/>
      <w:bookmarkEnd w:id="33"/>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Stoke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2"/>
        <w:gridCol w:w="8705"/>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Consists of shares to be issued pursuant to that certain Controlled Equity Offering Sales Agreement, dated as of May 20, 2022, between the registrant and Cantor Fitzgerald &amp; Co. The proposed maximum aggregate offering price is being used to calculate the registration fee pursuant to Rule 457(o) under the Securities Act of 1933, as amended (the "Securities Act"). The fee is calculated in accordance with Rule 456(b) and Rule 457(r) of the Securities Act.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623526/000119312526108362/stok-20251231.htm" TargetMode="External"/><Relationship Id="rId5" Type="http://schemas.openxmlformats.org/officeDocument/2006/relationships/hyperlink" Target="http://www.sec.gov/Archives/edgar/data/../../../ix?doc=/Archives/edgar/data/0001623526/000119312526170362/d941184ddef14a.htm" TargetMode="External"/><Relationship Id="rId6" Type="http://schemas.openxmlformats.org/officeDocument/2006/relationships/hyperlink" Target="http://www.sec.gov/Archives/edgar/data/../../../ix?doc=/Archives/edgar/data/0001623526/000119312526211874/stok-20260331.htm" TargetMode="External"/><Relationship Id="rId7" Type="http://schemas.openxmlformats.org/officeDocument/2006/relationships/hyperlink" Target="http://www.sec.gov/Archives/edgar/data/../../../ix?doc=/Archives/edgar/data/0001623526/000119312526330557/stok-20260630.htm" TargetMode="External"/><Relationship Id="rId8" Type="http://schemas.openxmlformats.org/officeDocument/2006/relationships/hyperlink" Target="http://www.sec.gov/Archives/edgar/data/1623526/000119312526009781/d36198d8k.htm" TargetMode="External"/><Relationship Id="rId9" Type="http://schemas.openxmlformats.org/officeDocument/2006/relationships/hyperlink" Target="http://www.sec.gov/Archives/edgar/data/1623526/000119312526022569/d100412d8k.htm" TargetMode="External"/><Relationship Id="rId10" Type="http://schemas.openxmlformats.org/officeDocument/2006/relationships/hyperlink" Target="http://www.sec.gov/Archives/edgar/data/1623526/000119312526088205/d57138d8k.htm" TargetMode="External"/><Relationship Id="rId11" Type="http://schemas.openxmlformats.org/officeDocument/2006/relationships/hyperlink" Target="http://www.sec.gov/Archives/edgar/data/../../../ix?doc=/Archives/edgar/data/0001623526/000119312526129168/d119051d8k.htm" TargetMode="External"/><Relationship Id="rId12" Type="http://schemas.openxmlformats.org/officeDocument/2006/relationships/hyperlink" Target="http://www.sec.gov/Archives/edgar/data/../../../ix?doc=/Archives/edgar/data/0001623526/000119312526145524/d63742d8k.htm" TargetMode="External"/><Relationship Id="rId13" Type="http://schemas.openxmlformats.org/officeDocument/2006/relationships/hyperlink" Target="http://www.sec.gov/Archives/edgar/data/../../../ix?doc=/Archives/edgar/data/0001623526/000119312526257394/d15052d8k.htm" TargetMode="External"/><Relationship Id="rId14" Type="http://schemas.openxmlformats.org/officeDocument/2006/relationships/hyperlink" Target="http://www.sec.gov/Archives/edgar/data/../../../ix?doc=/Archives/edgar/data/0001623526/000119312526289409/d924679d8k.htm" TargetMode="External"/><Relationship Id="rId15" Type="http://schemas.openxmlformats.org/officeDocument/2006/relationships/hyperlink" Target="http://www.sec.gov/Archives/edgar/data/0001623526/000119312519170268/d762657d8a12b.htm" TargetMode="External"/><Relationship Id="rId16" Type="http://schemas.openxmlformats.org/officeDocument/2006/relationships/hyperlink" Target="http://www.sec.gov/Archives/edgar/data/1623526/000119312526108362/stok-ex4_2.htm" TargetMode="External"/><Relationship Id="rId17" Type="http://schemas.openxmlformats.org/officeDocument/2006/relationships/hyperlink" Target="http://www.sec.gov/Archives/edgar/data/1623526/000119312526108362/stok-20251231.htm" TargetMode="External"/><Relationship Id="rId18" Type="http://schemas.openxmlformats.org/officeDocument/2006/relationships/image" Target="media/image3.jpeg"/><Relationship Id="rId19" Type="http://schemas.openxmlformats.org/officeDocument/2006/relationships/hyperlink" Target="http://www.sec.gov/Archives/edgar/data/1623526/000119312526108362/stok-20251231.htm" TargetMode="External"/><Relationship Id="rId20" Type="http://schemas.openxmlformats.org/officeDocument/2006/relationships/hyperlink" Target="http://www.sec.gov/Archives/edgar/data/1623526/000119312525089188/d903924ddef14a.htm" TargetMode="External"/><Relationship Id="rId21" Type="http://schemas.openxmlformats.org/officeDocument/2006/relationships/hyperlink" Target="http://www.sec.gov/Archives/edgar/data/1623526/000119312526009781/d36198d8k.htm" TargetMode="External"/><Relationship Id="rId22" Type="http://schemas.openxmlformats.org/officeDocument/2006/relationships/hyperlink" Target="http://www.sec.gov/Archives/edgar/data/1623526/000119312526022569/d100412d8k.htm" TargetMode="External"/><Relationship Id="rId23" Type="http://schemas.openxmlformats.org/officeDocument/2006/relationships/hyperlink" Target="http://www.sec.gov/Archives/edgar/data/1623526/000119312526088205/d57138d8k.htm" TargetMode="External"/><Relationship Id="rId24" Type="http://schemas.openxmlformats.org/officeDocument/2006/relationships/hyperlink" Target="http://www.sec.gov/Archives/edgar/data/0001623526/000119312519170268/d762657d8a12b.htm" TargetMode="External"/><Relationship Id="rId25" Type="http://schemas.openxmlformats.org/officeDocument/2006/relationships/hyperlink" Target="http://www.sec.gov/Archives/edgar/data/1623526/000119312526108362/stok-ex4_2.htm" TargetMode="External"/><Relationship Id="rId26" Type="http://schemas.openxmlformats.org/officeDocument/2006/relationships/hyperlink" Target="http://www.sec.gov/Archives/edgar/data/1623526/000119312526108362/stok-20251231.htm" TargetMode="External"/><Relationship Id="rId27" Type="http://schemas.openxmlformats.org/officeDocument/2006/relationships/image" Target="media/image1.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20096</Words>
  <Characters>106300</Characters>
  <CharactersWithSpaces>126936</CharactersWithSpaces>
  <Paragraphs>1562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