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STOKE THERAPEUTICS,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4338"/>
        </w:rPr>
        <w:t>PRELIMINARY PROXY STATEMENT DATED APRIL 17, 2023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4338"/>
        </w:rPr>
        <w: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160020</wp:posOffset>
            </wp:positionV>
            <wp:extent cx="1440180" cy="668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1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0020" w:type="dxa"/>
        <w:tblCellMar>
          <w:top w:w="0" w:type="dxa"/>
          <w:left w:w="0" w:type="dxa"/>
          <w:bottom w:w="0" w:type="dxa"/>
          <w:right w:w="0" w:type="dxa"/>
        </w:tblCellMar>
      </w:tblPr>
      <w:tr>
        <w:trPr>
          <w:trHeight w:val="230"/>
        </w:trPr>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 2023</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You are cordially invited to attend the 2023 Annual Meeting of Stockholders of Stoke Therapeutics, Inc. to be held exclusively online via live webcast on Tuesday, June 13, 2023 at 9:00 a.m. (Eastern Time). At our virtual stockholders meeting, you will be able to submit questions and vote online at www.virtualshareholdermeeting.com/STOK2023. We believe that a virtual stockholder meeting provides greater access to those who may want to attend and therefore we have chosen this over an in-person meeting.</w:t>
      </w:r>
    </w:p>
    <w:p>
      <w:pPr>
        <w:spacing w:after="0" w:line="18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April [ ], 2023, we expect to mail a Notice of Internet Availability of Proxy Materials (Notice of Internet Availability) containing instructions on how to access our proxy statement for our 2023 Annual Meeting of Stockholders and our 2022 Annual Report on Form 10-K to stockholders. The Notice of Internet Availability also provides instructions on how to vote and includes instructions on how to receive paper copies of the proxy materials by mail, or an electronic copy of the proxy materials by email, if desired.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matters to be acted upon at the meeting are described in the accompanying notice of Annual Meeting and proxy statement.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vote is important.</w:t>
      </w:r>
    </w:p>
    <w:p>
      <w:pPr>
        <w:spacing w:after="0" w:line="117"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b w:val="1"/>
          <w:bCs w:val="1"/>
          <w:color w:val="auto"/>
        </w:rPr>
        <w:t>Whether or not you plan to attend the virtual Annual Meeting, please vote on the Internet or by telephone, or request, sign and return a proxy card to ensure that your shares are represented at the meeting. Voting now will ensure your representation at the Annual Meeting regardless of whether you attend. You may vote on the Internet, by telephone or by mailing the enclosed proxy card or voting instruction form. You may also attend the Annual Meeting and vote and submit questions during the Annual Meeting via the Internet at www.virtualshareholdermeeting.com/STOK2023. Please review the instructions on page 2 of the Proxy Statement and your proxy card or voting instruction form regarding each of these voting options.</w:t>
      </w:r>
    </w:p>
    <w:p>
      <w:pPr>
        <w:spacing w:after="0" w:line="21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166306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0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Edward M. Kaye, M.D.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140"/>
          </w:cols>
          <w:pgMar w:left="320" w:top="45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4338"/>
        </w:rPr>
        <w:t>PRELIMINARY PROXY STATEMENT DATED APRIL 17, 2023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4338"/>
        </w:rPr>
        <w:t>SUBJECT TO COMPLETION</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STOKE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45 Wiggins Avenue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Bedford, MA 01730</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Tuesday, June 13, 2023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NOTICE IS HEREBY GIVEN that the 2023 Annual Meeting of Stockholders of Stoke Therapeutics, Inc. will be held virtually via the Internet at www.virtualshareholdermeeting.com/STOK2023 on Tuesday, June 13, 2023 at 9:00 a.m. (Eastern Time). To provide access to our stockholders regardless of geographic location and assist in protecting the health and well-being of our stockholders and employees, we have decided to hold the Annual Meeting solely by means of remote communication via live webcast. A virtual meeting also lowers costs and enables participation from our global community, providing greater access to those who may want to attend. It is important that you retain a copy of the 16-digit control number found on the proxy card, voting instruction form or Notice, as such number will be required in order for stockholders to gain access to the annual meeting by means of remote communication.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holding the meeting for the following purposes, which are more fully described in the accompanying proxy statement:</w:t>
      </w:r>
    </w:p>
    <w:p>
      <w:pPr>
        <w:spacing w:after="0" w:line="131" w:lineRule="exact"/>
        <w:rPr>
          <w:sz w:val="20"/>
          <w:szCs w:val="20"/>
          <w:color w:val="auto"/>
        </w:rPr>
      </w:pPr>
    </w:p>
    <w:p>
      <w:pPr>
        <w:ind w:left="1080" w:right="800" w:hanging="532"/>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Adrian R. Krainer, Julie Anne Smith and Garry E. Menzel as Class I directors, to serve until the 2026 annual meeting of stockholders or until their successor has been duly elected and qualified or until their earlier resignation or removal.</w:t>
      </w:r>
    </w:p>
    <w:p>
      <w:pPr>
        <w:spacing w:after="0" w:line="29"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2023.</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Certificate of Incorporation to permit the exculpation of officers in certain circumstances permitted under Delaware law.</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addition, stockholders may be asked to consider and vote upon such other business as may properly come before the meeting or any adjournment or postponement thereof.</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Only stockholders of record at the close of business on April 17, 2023 are entitled to receive notice of, and to vote at, the meeting and any adjournments thereof.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vote as a Stoke Therapeutics, Inc. stockholder is very important. Each share of common stock that you own represents one vote.</w:t>
      </w:r>
    </w:p>
    <w:p>
      <w:pPr>
        <w:spacing w:after="0" w:line="22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For questions regarding your stock ownership, you may contact our Investor Relations department at (781) 303-8302 or IR@StokeTherapeutics.com or, if you are a registered holder, our transfer agent, American Stock Transfer &amp; Trust Company, LLC by email through their website at www.astfinancial.com or by phone at (800) 937-5449. Whether or not you expect to attend the virtual Annual Meeting, we encourage you to read the proxy statement and vote through the Internet or by telephone, or to request, sign and return your proxy card as soon as possible, so that your shares may be represented at the meeting. For specific instructions on how to vote your shares, please refer to the section entitled “General Proxy Information” in the proxy statement and the instructions on the Notice of Internet Availability of Proxy Materials.</w:t>
      </w:r>
    </w:p>
    <w:p>
      <w:pPr>
        <w:sectPr>
          <w:pgSz w:w="11900" w:h="16838" w:orient="portrait"/>
          <w:cols w:equalWidth="0" w:num="1">
            <w:col w:w="11140"/>
          </w:cols>
          <w:pgMar w:left="320" w:top="459"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1663065"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0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Edward M. Kaye, M.D.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Bedford, Massachusetts</w:t>
      </w:r>
    </w:p>
    <w:p>
      <w:pPr>
        <w:spacing w:after="0" w:line="225"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2023</w:t>
      </w:r>
    </w:p>
    <w:p>
      <w:pPr>
        <w:spacing w:after="0" w:line="221"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June 13, 2023: the Proxy Statement and our 2022 Annual Report on Form 10-K are available at https://investor.stoketherapeutics.com/financials-and-sec-filings.</w:t>
      </w:r>
    </w:p>
    <w:p>
      <w:pPr>
        <w:sectPr>
          <w:pgSz w:w="11900" w:h="16838" w:orient="portrait"/>
          <w:cols w:equalWidth="0" w:num="1">
            <w:col w:w="11060"/>
          </w:cols>
          <w:pgMar w:left="320" w:top="459"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STOKE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FOR 2023 ANNUAL MEETING OF STOCKHOLDERS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9220" w:type="dxa"/>
            <w:vAlign w:val="bottom"/>
            <w:gridSpan w:val="17"/>
          </w:tcPr>
          <w:p>
            <w:pPr>
              <w:spacing w:after="0" w:line="190" w:lineRule="exact"/>
              <w:rPr>
                <w:sz w:val="20"/>
                <w:szCs w:val="20"/>
                <w:color w:val="auto"/>
              </w:rPr>
            </w:pPr>
            <w:r>
              <w:rPr>
                <w:rFonts w:ascii="Arial" w:cs="Arial" w:eastAsia="Arial" w:hAnsi="Arial"/>
                <w:sz w:val="18"/>
                <w:szCs w:val="18"/>
                <w:color w:val="0000EE"/>
              </w:rPr>
              <w:t>INFORMATION ABOUT SOLICITATION AND VOTING</w:t>
            </w:r>
          </w:p>
        </w:tc>
        <w:tc>
          <w:tcPr>
            <w:tcW w:w="17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414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8"/>
              </w:rPr>
              <w:t>INTERNET AVAILABILITY OF PROXY MATERIALS</w:t>
            </w:r>
          </w:p>
        </w:tc>
        <w:tc>
          <w:tcPr>
            <w:tcW w:w="180" w:type="dxa"/>
            <w:vAlign w:val="bottom"/>
            <w:tcBorders>
              <w:top w:val="single" w:sz="8" w:color="0000EE"/>
            </w:tcBorders>
          </w:tcPr>
          <w:p>
            <w:pPr>
              <w:spacing w:after="0"/>
              <w:rPr>
                <w:sz w:val="17"/>
                <w:szCs w:val="17"/>
                <w:color w:val="auto"/>
              </w:rPr>
            </w:pPr>
          </w:p>
        </w:tc>
        <w:tc>
          <w:tcPr>
            <w:tcW w:w="4900" w:type="dxa"/>
            <w:vAlign w:val="bottom"/>
            <w:gridSpan w:val="7"/>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0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7"/>
              </w:rPr>
              <w:t>GENERAL INFORMATION ABOUT THE MEETING</w:t>
            </w:r>
          </w:p>
        </w:tc>
        <w:tc>
          <w:tcPr>
            <w:tcW w:w="5180" w:type="dxa"/>
            <w:vAlign w:val="bottom"/>
            <w:gridSpan w:val="9"/>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7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6"/>
              </w:rPr>
              <w:t>GENERAL PROXY INFORMATION</w:t>
            </w:r>
          </w:p>
        </w:tc>
        <w:tc>
          <w:tcPr>
            <w:tcW w:w="6440" w:type="dxa"/>
            <w:vAlign w:val="bottom"/>
            <w:gridSpan w:val="1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2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5"/>
              </w:rPr>
              <w:t>CORPORATE GOVERNANCE STANDARDS AND DIRECTOR INDEPENDENCE</w:t>
            </w:r>
          </w:p>
        </w:tc>
        <w:tc>
          <w:tcPr>
            <w:tcW w:w="298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3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PROPOSAL NO. 1 ELECTION OF CLASS I DIRECTORS</w:t>
            </w:r>
          </w:p>
        </w:tc>
        <w:tc>
          <w:tcPr>
            <w:tcW w:w="4860" w:type="dxa"/>
            <w:vAlign w:val="bottom"/>
            <w:gridSpan w:val="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9220" w:type="dxa"/>
            <w:vAlign w:val="bottom"/>
            <w:gridSpan w:val="17"/>
          </w:tcPr>
          <w:p>
            <w:pPr>
              <w:spacing w:after="0" w:line="196" w:lineRule="exact"/>
              <w:rPr>
                <w:sz w:val="20"/>
                <w:szCs w:val="20"/>
                <w:color w:val="auto"/>
              </w:rPr>
            </w:pPr>
            <w:r>
              <w:rPr>
                <w:rFonts w:ascii="Arial" w:cs="Arial" w:eastAsia="Arial" w:hAnsi="Arial"/>
                <w:sz w:val="18"/>
                <w:szCs w:val="18"/>
                <w:color w:val="0000EE"/>
              </w:rPr>
              <w:t>PROPOSAL NO. 2 RATIFICATION OF INDEPENDENT REGISTERED PUBLIC ACCOUNTING FIRM</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778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PROPOSAL NO. 3 AMENDMENT TO CERTIFICATE OF INCORPORATION</w:t>
            </w:r>
          </w:p>
        </w:tc>
        <w:tc>
          <w:tcPr>
            <w:tcW w:w="144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582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REPORT OF THE AUDIT COMMITTEE</w:t>
            </w:r>
          </w:p>
        </w:tc>
        <w:tc>
          <w:tcPr>
            <w:tcW w:w="3400" w:type="dxa"/>
            <w:vAlign w:val="bottom"/>
            <w:gridSpan w:val="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220" w:type="dxa"/>
            <w:vAlign w:val="bottom"/>
            <w:gridSpan w:val="17"/>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9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EXECUTIVE OFFICERS</w:t>
            </w:r>
          </w:p>
        </w:tc>
        <w:tc>
          <w:tcPr>
            <w:tcW w:w="4820" w:type="dxa"/>
            <w:vAlign w:val="bottom"/>
            <w:tcBorders>
              <w:top w:val="single" w:sz="8" w:color="0000EE"/>
            </w:tcBorders>
            <w:gridSpan w:val="13"/>
          </w:tcPr>
          <w:p>
            <w:pPr>
              <w:spacing w:after="0"/>
              <w:rPr>
                <w:sz w:val="17"/>
                <w:szCs w:val="17"/>
                <w:color w:val="auto"/>
              </w:rPr>
            </w:pPr>
          </w:p>
        </w:tc>
        <w:tc>
          <w:tcPr>
            <w:tcW w:w="2500" w:type="dxa"/>
            <w:vAlign w:val="bottom"/>
            <w:gridSpan w:val="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4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5"/>
              </w:rPr>
              <w:t>EXECUTIVE COMPENSATION</w:t>
            </w:r>
          </w:p>
        </w:tc>
        <w:tc>
          <w:tcPr>
            <w:tcW w:w="6780" w:type="dxa"/>
            <w:vAlign w:val="bottom"/>
            <w:gridSpan w:val="1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9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6"/>
              </w:rPr>
              <w:t>EQUITY COMPENSATION PLAN INFORMATION</w:t>
            </w:r>
          </w:p>
        </w:tc>
        <w:tc>
          <w:tcPr>
            <w:tcW w:w="5320" w:type="dxa"/>
            <w:vAlign w:val="bottom"/>
            <w:gridSpan w:val="10"/>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220" w:type="dxa"/>
            <w:vAlign w:val="bottom"/>
            <w:gridSpan w:val="17"/>
          </w:tcPr>
          <w:p>
            <w:pPr>
              <w:spacing w:after="0" w:line="196" w:lineRule="exact"/>
              <w:rPr>
                <w:sz w:val="20"/>
                <w:szCs w:val="20"/>
                <w:color w:val="auto"/>
              </w:rPr>
            </w:pPr>
            <w:r>
              <w:rPr>
                <w:rFonts w:ascii="Arial" w:cs="Arial" w:eastAsia="Arial" w:hAnsi="Arial"/>
                <w:sz w:val="18"/>
                <w:szCs w:val="18"/>
                <w:color w:val="0000EE"/>
              </w:rPr>
              <w:t>CERTAIN RELATIONSHIPS AND RELATED-PARTY TRANSACTIONS</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4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9"/>
              </w:rPr>
              <w:t>ADDITIONAL INFORMATION</w:t>
            </w:r>
          </w:p>
        </w:tc>
        <w:tc>
          <w:tcPr>
            <w:tcW w:w="3080" w:type="dxa"/>
            <w:vAlign w:val="bottom"/>
            <w:tcBorders>
              <w:top w:val="single" w:sz="8" w:color="0000EE"/>
            </w:tcBorders>
            <w:gridSpan w:val="9"/>
          </w:tcPr>
          <w:p>
            <w:pPr>
              <w:spacing w:after="0"/>
              <w:rPr>
                <w:sz w:val="17"/>
                <w:szCs w:val="17"/>
                <w:color w:val="auto"/>
              </w:rPr>
            </w:pPr>
          </w:p>
        </w:tc>
        <w:tc>
          <w:tcPr>
            <w:tcW w:w="3740" w:type="dxa"/>
            <w:vAlign w:val="bottom"/>
            <w:gridSpan w:val="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220" w:type="dxa"/>
            <w:vAlign w:val="bottom"/>
            <w:gridSpan w:val="17"/>
          </w:tcPr>
          <w:p>
            <w:pPr>
              <w:spacing w:after="0" w:line="196" w:lineRule="exact"/>
              <w:rPr>
                <w:sz w:val="20"/>
                <w:szCs w:val="20"/>
                <w:color w:val="auto"/>
              </w:rPr>
            </w:pPr>
            <w:r>
              <w:rPr>
                <w:rFonts w:ascii="Arial" w:cs="Arial" w:eastAsia="Arial" w:hAnsi="Arial"/>
                <w:sz w:val="18"/>
                <w:szCs w:val="18"/>
                <w:color w:val="0000EE"/>
              </w:rPr>
              <w:t>OTHER MATTERS</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STOKE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45 Wiggins Avenue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Bedford, MA 01730</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FOR THE 2023 Annual Meeting of Stockholders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13, 2023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ABOUT SOLICITATION AND VOTING</w:t>
      </w:r>
    </w:p>
    <w:p>
      <w:pPr>
        <w:spacing w:after="0" w:line="22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accompanying proxy is solicited on behalf of the Board of Directors of Stoke Therapeutics, Inc., (Stoke or the Company), for use at the Company’s 2023 Annual Meeting of Stockholders (Annual Meeting) on Tuesday, June 13, 2023 at 9:00 a.m. (Eastern Time), and any adjournment or postponement thereof. To provide greater access to those who may want to attend the Annual Meeting will be held virtually at www.virtualshareholdermeeting.com/STOK2023. It is important that you retain a copy of the 16-digit control number found on the proxy card, voting instruction form or Notice, as such number will be required in order for stockholders to participate in the virtual Annual Meeting.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22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Under rules adopted by the Securities and Exchange Commission (SEC), we are furnishing proxy materials to our stockholders primarily via the Internet, instead of mailing printed copies to each stockholder. On or about April [ ], 2023, we expect to send to our stockholders a Notice of Internet Availability of Proxy Materials (Notice of Internet Availability) containing instructions on how to access our proxy materials, including our proxy statement and our Annual Report on Form 10-K. The Notice of Internet Availability also provides instructions on how to vote and includes instructions on how to receive paper copies of the proxy materials by mail, or an electronic copy of the proxy materials by email.</w:t>
      </w:r>
    </w:p>
    <w:p>
      <w:pPr>
        <w:spacing w:after="0" w:line="17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This process is designed to reduce our environmental impact and lower the costs of printing and distributing our proxy materials while providing our stockholders timely access to this important information. If you would prefer to receive printed proxy materials, please follow the instructions included in the Notice of Internet Availability.</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Meeting</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Quorum</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Only holders of record of common stock at the close of business on April 17, 2023, the record date, will be entitled to vote at the meeting. At the close of business on April 17, 2023, [●] shares of common stock were outstanding and entitled to vote. For ten days prior to the meeting, a complete list of the stockholders entitled to vote at the meeting will be available for examination upon request by any stockholder for any purpose relating to the meeting by written request via email to our Corporate Secretary at corporatesecretary@stoketherapeutics.com.</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The holders of a majority of the voting power of the shares of stock entitled to vote at the meeting as of the record date must be present or represented by proxy at the meeting in order to hold the meeting and conduct business. This presence is called a quorum. Your shares are counted as present at the meeting if you are present and vote in person at the meeting or if you have properly submitted a proxy.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PROXY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 Required Vote</w:t>
      </w:r>
    </w:p>
    <w:p>
      <w:pPr>
        <w:spacing w:after="0" w:line="121" w:lineRule="exact"/>
        <w:rPr>
          <w:sz w:val="20"/>
          <w:szCs w:val="20"/>
          <w:color w:val="auto"/>
        </w:rPr>
      </w:pPr>
    </w:p>
    <w:p>
      <w:pPr>
        <w:ind w:left="120" w:right="300"/>
        <w:spacing w:after="0" w:line="291" w:lineRule="auto"/>
        <w:rPr>
          <w:sz w:val="20"/>
          <w:szCs w:val="20"/>
          <w:color w:val="auto"/>
        </w:rPr>
      </w:pPr>
      <w:r>
        <w:rPr>
          <w:rFonts w:ascii="Arial" w:cs="Arial" w:eastAsia="Arial" w:hAnsi="Arial"/>
          <w:sz w:val="16"/>
          <w:szCs w:val="16"/>
          <w:color w:val="auto"/>
        </w:rPr>
        <w:t>Each holder of shares of common stock is entitled to one vote for each share of common stock held as of the close of business on April 17, 2023, the record date. You may vote all shares owned by you at such date, including (1) shares held directly in your name as the stockholder of record and</w:t>
      </w:r>
    </w:p>
    <w:p>
      <w:pPr>
        <w:ind w:left="120" w:right="220" w:hanging="4"/>
        <w:spacing w:after="0" w:line="260"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held for you as the beneficial owner in street name through a broker, bank, trustee or other nominee. Dissenters’ rights are not applicable to any of the matters being voted on.</w:t>
      </w:r>
    </w:p>
    <w:p>
      <w:pPr>
        <w:spacing w:after="0" w:line="18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Stockholder of Record: Shares Registered in Your Name. If on April 17, 2023, your shares were registered directly in your name with our transfer agent, American Stock Transfer &amp;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Beneficial Owner: Shares Registered in the Name of a Broker or Nominee. If on April 17, 2023, your shares were held in an account with a brokerage firm, 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spacing w:after="0" w:line="26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strongly recommend that you vote your shares in advance of the Annual Meeting as instructed above, even if you plan to attend the Annual Meeting virtually.</w:t>
      </w:r>
    </w:p>
    <w:p>
      <w:pPr>
        <w:spacing w:after="0" w:line="62"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Each director will be elected by a plurality of the votes cast at the meeting. This means that the three individuals nominated for election to the Board of Directors at the meeting receiving the highest number of “FOR” votes will be elected. You may vote “FOR ALL NOMINEES”, or vote to “WITHHOLD AUTHORITY FOR ALL NOMINEES” or vote “FOR ALL EXCEPT” one or more of the nominees you specify. Shares represented by proxies will be voted “FOR” the election of the Class I nominees, unless the proxy is marked to withhold authority to so vote. You may not cumulate votes in the election of directors. Approval of the ratification of the appointment of our independent registered public accounting firm will be obtained if the holders of a majority of the votes cast at the meeting vote “FOR” the proposal. Approval of the amendment to our restated Certificate of Incorporation will be obtained if the holders of a majority of our outstanding shares entitled to vote at the meeting vote “FOR” the proposal.</w:t>
      </w:r>
    </w:p>
    <w:p>
      <w:pPr>
        <w:spacing w:after="0" w:line="16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broker non-votes will count for purposes of determining the presence of a quorum but are not treated as votes cast and, therefore, will have no effect on the election of directors or the ratification of the appointment of KPMG LLP. Broker non-votes will have the same effect as a vote “against” the approval of the amendment to our Certificate of Incorporation. Abstentions are voted neither “for” nor “against” a matter and, therefore, will have no effect on the election of directors or the ratification of the appointment of KPMG LLP but are counted in the determination of a quorum and will have the same effect as a vote “against” the approval of the amendment to our Certificate of Incorporation.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Recommendations of the Board of Directors on each of the Proposals Scheduled to be Voted on at the Meeting</w:t>
      </w:r>
    </w:p>
    <w:p>
      <w:pPr>
        <w:spacing w:after="0" w:line="117" w:lineRule="exact"/>
        <w:rPr>
          <w:sz w:val="20"/>
          <w:szCs w:val="20"/>
          <w:color w:val="auto"/>
        </w:rPr>
      </w:pPr>
    </w:p>
    <w:p>
      <w:pPr>
        <w:ind w:left="120" w:right="80"/>
        <w:spacing w:after="0" w:line="294" w:lineRule="auto"/>
        <w:rPr>
          <w:sz w:val="20"/>
          <w:szCs w:val="20"/>
          <w:color w:val="auto"/>
        </w:rPr>
      </w:pPr>
      <w:r>
        <w:rPr>
          <w:rFonts w:ascii="Arial" w:cs="Arial" w:eastAsia="Arial" w:hAnsi="Arial"/>
          <w:sz w:val="16"/>
          <w:szCs w:val="16"/>
          <w:color w:val="auto"/>
        </w:rPr>
        <w:t xml:space="preserve">The Board of Directors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Adrian R. Krainer, Julie Anne Smith and Garry E. Menzel to serve as Class I directors until the 2026 annual meeting of stockholders or until their successor has been duly elected and qualified (Proposal 1);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KPMG LLP as our independent registered public accounting firm for the fiscal year ending December 31, 2023 (Proposal 2); and </w:t>
      </w: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amendment to our Certificate of Incorporation (Proposal 3). None of the directors has any substantial interest in any matter to</w:t>
      </w:r>
      <w:r>
        <w:rPr>
          <w:rFonts w:ascii="Arial" w:cs="Arial" w:eastAsia="Arial" w:hAnsi="Arial"/>
          <w:sz w:val="16"/>
          <w:szCs w:val="16"/>
          <w:b w:val="1"/>
          <w:bCs w:val="1"/>
          <w:color w:val="auto"/>
        </w:rPr>
        <w:t xml:space="preserve"> </w:t>
      </w:r>
      <w:r>
        <w:rPr>
          <w:rFonts w:ascii="Arial" w:cs="Arial" w:eastAsia="Arial" w:hAnsi="Arial"/>
          <w:sz w:val="16"/>
          <w:szCs w:val="16"/>
          <w:color w:val="auto"/>
        </w:rPr>
        <w:t>be acted upon, other than elections to office with respect to the director nominated in Proposal 1. None of the executive officers has any substantial interest in any matter to be acted upon, other than elections to office with respect to the amendment to our Certificate of Incorporation in Proposal 3.</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Instructions; Voting of Proxies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of record, you may:</w:t>
      </w:r>
    </w:p>
    <w:p>
      <w:pPr>
        <w:spacing w:after="0" w:line="131" w:lineRule="exact"/>
        <w:rPr>
          <w:sz w:val="20"/>
          <w:szCs w:val="20"/>
          <w:color w:val="auto"/>
        </w:rPr>
      </w:pPr>
    </w:p>
    <w:p>
      <w:pPr>
        <w:ind w:left="1080" w:right="8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via the virtual meeting website—any stockholder can attend the Annual Meeting by visiting www.virtualshareholdermeeting.com/STOK2023, where stockholders may vote and submit questions during the meeting. The meeting starts at 9:00 a.m. Eastern Time. Please have your 16-Digit Control Number to join the Annual Meeting. Instructions on how to attend and participate via the Internet are posted at www.proxyvote.com;</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through the Internet or by telephone—in order to do so, please follow the instructions shown on your proxy card; or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by mail—if you request or receive a paper proxy card and voting instructions by mail, simply complete, sign and date the proxy card and return it as soon as possible before the meeting in the envelope provided.</w:t>
      </w:r>
    </w:p>
    <w:p>
      <w:pPr>
        <w:spacing w:after="0" w:line="170"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Votes submitted through the Internet or by telephone must be received by 11:59 p.m., Eastern Time, on June 12, 2023. Submitting your proxy, whether by telephone, through the Internet or by mail if you requested or received a paper proxy card, will not affect your right to vote via the Internet should you decide to attend the virtual Annual Meeting. If you are not the stockholder of record, please refer to the voting instructions provided by your nominee to direct how to vote your shares. For Proposal 1, you may vote “FOR ALL NOMINEES”, “WITHHOLD AUTHORITY FOR ALL NOMINEES” or vote “FOR ALL EXCEPT” one or more of the nominees you specify. For Proposal 2, you may vote “FOR” or “AGAINST” or “ABSTAIN” from voting. For Proposal 3, you may vote “FOR” or “AGAINST” or “ABSTAIN” from voting.</w:t>
      </w:r>
    </w:p>
    <w:p>
      <w:pPr>
        <w:spacing w:after="0" w:line="178" w:lineRule="exact"/>
        <w:rPr>
          <w:sz w:val="20"/>
          <w:szCs w:val="20"/>
          <w:color w:val="auto"/>
        </w:rPr>
      </w:pPr>
    </w:p>
    <w:p>
      <w:pPr>
        <w:ind w:left="120" w:right="680"/>
        <w:spacing w:after="0" w:line="263" w:lineRule="auto"/>
        <w:rPr>
          <w:sz w:val="20"/>
          <w:szCs w:val="20"/>
          <w:color w:val="auto"/>
        </w:rPr>
      </w:pPr>
      <w:r>
        <w:rPr>
          <w:rFonts w:ascii="Arial" w:cs="Arial" w:eastAsia="Arial" w:hAnsi="Arial"/>
          <w:sz w:val="18"/>
          <w:szCs w:val="18"/>
          <w:color w:val="auto"/>
        </w:rPr>
        <w:t>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of Directors stated above.</w:t>
      </w:r>
    </w:p>
    <w:p>
      <w:pPr>
        <w:spacing w:after="0" w:line="184" w:lineRule="exact"/>
        <w:rPr>
          <w:sz w:val="20"/>
          <w:szCs w:val="20"/>
          <w:color w:val="auto"/>
        </w:rPr>
      </w:pPr>
    </w:p>
    <w:p>
      <w:pPr>
        <w:jc w:val="both"/>
        <w:ind w:left="120" w:right="60"/>
        <w:spacing w:after="0" w:line="279" w:lineRule="auto"/>
        <w:rPr>
          <w:sz w:val="20"/>
          <w:szCs w:val="20"/>
          <w:color w:val="auto"/>
        </w:rPr>
      </w:pPr>
      <w:r>
        <w:rPr>
          <w:rFonts w:ascii="Arial" w:cs="Arial" w:eastAsia="Arial" w:hAnsi="Arial"/>
          <w:sz w:val="17"/>
          <w:szCs w:val="17"/>
          <w:color w:val="auto"/>
        </w:rPr>
        <w:t>If you received a Notice of Internet Availability, please follow the instructions included on the notice on how to access and vote your proxy card.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and vote each proxy card. If you requested or received paper proxy materials by mail, please complete, sign, date and return each proxy card to ensure that all of your shares are voted.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will pay the expenses associated with soliciting proxies. Following the original distribution and mailing of the solicitation materials, we or our agents may solicit proxies by mail, email,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stockholder of record who has given a proxy may revoke it at any time before the closing of the polls by the inspector of elections at the meeting by:</w:t>
      </w:r>
    </w:p>
    <w:p>
      <w:pPr>
        <w:spacing w:after="0" w:line="154"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to our Corporate Secretary (by any means, including facsimile) a written notice stating that the proxy is revoked;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and delivering a proxy bearing a later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virtually and voting during the meeting (although attendance at the meeting will not, by itself, revoke a proxy).</w:t>
      </w:r>
    </w:p>
    <w:p>
      <w:pPr>
        <w:spacing w:after="0" w:line="22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Please note, however, that if your shares are held of record by a brokerage firm, bank or other nominee, and you wish to revoke a proxy, you must contact that firm to revoke or change any prior voting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Access to the Proxy Materials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Notice of Internet Availability will provide you with instructions regarding how to:</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view our proxy materials for the meeting through the Internet;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instruct us to mail paper copies of our future proxy materials to you;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instruct us to send our future proxy materials to you electronically by email.</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Results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Voting results will be tabulated and certified by the inspector of elections appointed for the meeting. The final results will be tallied by the inspector of elections and filed with the SEC in a Current Report on Form 8-K within four business days of the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Participating in the Annual Meeting</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To participate in the virtual meeting, visit www.virtualshareholdermeeting.com/STOK2023 and enter the 16-digit control number included on your proxy card or on the instructions that accompanied your proxy materials.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If you wish to submit a question during the Annual Meeting, log into the virtual meeting platform at www.virtualshareholdermeeting.com/STOK2023, type your question into the “Ask a Question” field, and click “Submit.” If your question is properly submitted during the relevant portion of the meeting agenda, we will respond to your question during the live webcast. A webcast replay of the Annual Meeting, including the Q&amp;A session, will also be archived on the “Investors and News” section of our website, which is located at https://investor.stoketherapeutics.com.</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shareholders of the decision via www.virtualshareholdermeeting.com/STOK2023</w:t>
      </w:r>
      <w:r>
        <w:rPr>
          <w:rFonts w:ascii="Arial" w:cs="Arial" w:eastAsia="Arial" w:hAnsi="Arial"/>
          <w:sz w:val="18"/>
          <w:szCs w:val="18"/>
          <w:i w:val="1"/>
          <w:iCs w:val="1"/>
          <w:color w:val="auto"/>
        </w:rPr>
        <w:t>.</w:t>
      </w:r>
      <w:r>
        <w:rPr>
          <w:rFonts w:ascii="Arial" w:cs="Arial" w:eastAsia="Arial" w:hAnsi="Arial"/>
          <w:sz w:val="18"/>
          <w:szCs w:val="18"/>
          <w:color w:val="auto"/>
        </w:rPr>
        <w:t xml:space="preserve"> If you encounter technical difficulties accessing our meeting or asking questions during the meeting, a support line will be available on the login page of the virtual meeting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These reduced reporting requirements include reduced disclosure about the Company’s executive compensation arrangements and no requirement to have non-binding advisory votes on executive compensation. We will remain an emerging growth company until the earliest of (1) December 31, 2024; (2) the last day of the fiscal year (a) in which we have total annual gross revenue of at least $1.07 billion, or (b) in which we are deemed to be a large accelerated filer, which means the market value of our common stock that is held by non-affiliates exceeds $700 million as of the prior June 30th; and (3) the date on which we have issued more than $1.0 billion in non-convertible debt during the prior three-year period.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GOVERNANCE STANDARDS AND DIRECTOR INDEPENDENCE</w:t>
      </w:r>
    </w:p>
    <w:p>
      <w:pPr>
        <w:spacing w:after="0" w:line="22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are committed to good corporate governance practices. These practices provide an important framework within which our Board of Directors and management pursue our strategic objectives for the benefit of our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 and Code of Conduct</w:t>
      </w:r>
    </w:p>
    <w:p>
      <w:pPr>
        <w:spacing w:after="0" w:line="12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Our Board of Directors has adopted Corporate Governance Guidelines that set forth expectations for directors, director independence standards, Board committee structure and functions, and other policies for the governance of the Company. In addition, our Board of Directors has adopted a Code of Conduct that applies to all of our employees, officers, and directors, including our Chief Executive Officer, Chief Financial Officer, and other executive and senior financial officers. The full text of our Corporate Governance Guidelines and Code of Conduct are available without charge on the investor relations section of our website at https://investor.stoketherapeutics.com/governance. We intend to disclose any amendments to our Code of Conduct, or waivers of its requirements, on our website, or in filings under the Exchange Act.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Anti-Hedging and Pledging</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adopted an Insider Trading Policy that applies to all of our employees, officers and directors, including our Chief Executive Officer and other executive officers, which prohibits such individuals from purchasing financial instruments, or otherwise engaging in transactions, that hedge or offset, or are designed to hedge or offset, any decrease in market value of our common stock, such as prepaid variable forward contracts, equity swaps, collars, forward sale contracts and exchange funds. In addition, our Insider Trading Policy prevents employees, officers and directors from pledging shares of our common stock as collateral in a margin account or as collateral for a loan, unless approved by our Compliance Officer.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and Leadership Structure</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positions of Chief Executive Officer and Chair of our Board of Directors are held by two different individuals (Edward M. Kaye and Seth L. Harrison, respectively). This structure allows our Chief Executive Officer to focus on our day-to-day business while our Chair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 Any changes to the leadership structure of our Board of Directors, if made, will be promptly disclosed on the investor relations section of our website and in our proxy materials. Our Board of Directors, in its sole discretion, may seek input from our stockholders on the leadership structure of the Board of Directors.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Board’s Role in Risk Oversight</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legal and regulatory risk.</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 Risk Oversight</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Securing the information of participants in our studies, medical professionals, team members, and other third parties is important to us. We have adopted physical, technological, and administrative controls on data security, and have processes in place for incident response and handling. While everyone at our Company plays a part in managing these risks, oversight responsibility is shared by our Board of Directors, our Audit Committee, and management.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core values described below guide our mission to deliver meaningful medicines for the people with severe diseases who are counting on us. In addition to guiding our commitment to patients and the way we operate, our core values serve as the foundation for our approach to diversity, equity, and inclusion (DEI) matters and our approach to environmental, social and governance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219710</wp:posOffset>
            </wp:positionV>
            <wp:extent cx="5194935" cy="1174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94935"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are committed to investing in our employees by offering comprehensive and competitive benefits that include health &amp; wellness, market-competitive compensation, ongoing professional development, and work-life programs. We have formed an employee-led council on Diversity, Inclusion, and Belonging to actively welcome and celebrate diversity and respect for one another within Stoke and share ideas and education that affect positive change in our community. On employee diversity, we seek to attract, hire and retain individuals of diverse backgrounds and of all ages, genders, ethnicities, religions, home countries and sexual orientation. As of December 31, 2022, approximately 55% of our employees are female, and approximately 47% of our management team (which we define as at the vice president level and above) are female. More than 40% of our employees self-identify as racially or ethnically diverse as of December 31, 2022.</w:t>
      </w:r>
    </w:p>
    <w:p>
      <w:pPr>
        <w:spacing w:after="0" w:line="17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Stoke employees care about building a positive culture both internally and in our local communities. Our employee-engagement activities include giving back to local communities through programs like Project Onramp that helps underserved students start their careers in life sciences with paid summer internships. Other charitable company-sponsored activities that have occurred to date included our holiday toy drive, donating supplies to healthcare workers in connection with the COVID-19 pandemic, and supporting community events that promote awareness of Dravet syndrome.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Our common stock is listed on the Nasdaq Global Select Market. Under the rules of the Nasdaq Stock Market, independent directors must constitute a majority of a listed company’s Board of Directors. In addition, the rules of the Nasdaq Stock Market require that, subject to specified exceptions, each member of a listed company’s Audit, Compensation and Nominating and Corporate Governance Committees must be an “independent director”.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 Additionally, Compensation Committee members must not have a relationship with the listed company that is material to the director’s ability to be independent from management in connection with the duties of 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Compensation Committee member. Audit Committee members must also satisfy the independence criteria set forth in Rule 10A-3 under the Securities Exchange Act of 1934, as amended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8" w:lineRule="exact"/>
        <w:rPr>
          <w:sz w:val="20"/>
          <w:szCs w:val="20"/>
          <w:color w:val="auto"/>
        </w:rPr>
      </w:pPr>
    </w:p>
    <w:p>
      <w:pPr>
        <w:jc w:val="both"/>
        <w:ind w:left="120" w:right="160"/>
        <w:spacing w:after="0" w:line="287" w:lineRule="auto"/>
        <w:rPr>
          <w:sz w:val="20"/>
          <w:szCs w:val="20"/>
          <w:color w:val="auto"/>
        </w:rPr>
      </w:pPr>
      <w:r>
        <w:rPr>
          <w:rFonts w:ascii="Arial" w:cs="Arial" w:eastAsia="Arial" w:hAnsi="Arial"/>
          <w:sz w:val="16"/>
          <w:szCs w:val="16"/>
          <w:color w:val="auto"/>
        </w:rPr>
        <w:t>Our Board of Directors has undertaken a review of the independence of each director and director nominee and considered whether each director has a material relationship with us that could compromise his or her ability to exercise independent judgment in carrying out his or her responsibilities. As a result of this review, our Board of Directors determined that Jennifer C. Burstein, Seth L. Harrison, Adrian R. Krainer, Arthur A. Levin,</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Garry E. Menzel, Julie Anne Smith and Arthur O. Tzianabos, representing seven of our eight directors following the meeting, are “independent directors” as defined under the applicable rules and regulations of the SEC and the listing requirements and rules of the Nasdaq Stock Market.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any affiliates.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of these committees has a written charter, copies of which are available without charge on the investor relations section of our website at https://investor.stoketherapeutics.com/governance.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Our Audit Committee is comprised of Arthur O. Tzianabos, Julie Anne Smith and Jennifer C. Burstein. Ms. Burstein is the Chair of our Audit Committee. The composition of our Audit Committee meets the requirements for independence under the current Nasdaq Stock Market and SEC rules and regulations. Each member of our Audit Committee is financially literate. In addition, our Board of Directors has determined that Ms. Burstein is an “audit committee financial expert” as defined in Item 407(d)(5)(ii) of Regulation S-K promulgated under the Securities Act. Our Audit Committee is responsible for, among other things:</w:t>
      </w:r>
    </w:p>
    <w:p>
      <w:pPr>
        <w:spacing w:after="0" w:line="93"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selecting and hiring our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oversight of our accounting and financial reporting processes, including our financial statement audits and the integrity of our financial statements;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Our Compensation Committee is comprised of Seth L. Harrison, Julie Anne Smith, Garry E. Menzel and Arthur O. Tzianabos. Dr. Tzianabos is the Chair of our Compensation Committee. The composition of our Compensation Committee meets the requirements for independence under the current Nasdaq Stock Market and SEC rules and regulations. Our Compensation Committee is responsible for, among other things:</w:t>
      </w:r>
    </w:p>
    <w:p>
      <w:pPr>
        <w:spacing w:after="0" w:line="71" w:lineRule="exact"/>
        <w:rPr>
          <w:sz w:val="20"/>
          <w:szCs w:val="20"/>
          <w:color w:val="auto"/>
        </w:rPr>
      </w:pPr>
    </w:p>
    <w:p>
      <w:pPr>
        <w:jc w:val="center"/>
        <w:ind w:left="5580" w:right="720" w:hanging="4924"/>
        <w:spacing w:after="0" w:line="449" w:lineRule="auto"/>
        <w:tabs>
          <w:tab w:leader="none" w:pos="10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 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evaluating and recommending non-employee director compensation arrangements for determination by our Board of Directors;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overseeing our compliance with regulatory requirements associated with the compensation of directors, officers and employees.</w:t>
      </w:r>
    </w:p>
    <w:p>
      <w:pPr>
        <w:spacing w:after="0" w:line="23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Compensation Committee has the sole authority and responsibility, subject to any approval by the Board of Directors which the Compensation Committee or legal counsel determines to be desirable or required by applicable law or the Nasdaq rules, to determine all aspects of executive compensation packages for the Chief Executive Officer and other executive officers. The Compensation Committee also makes recommendations to our Board of Directors regarding the form and amount of compensation of non-employee directors. The Compensation Committee may take into account the recommendations of the Chief Executive Officer with respect to compensation of the other executive officers, and the recommendations of the Board of Directors or any member of the Board of Directors with respect to compensation of the Chief Executive Officer and other executive officers.</w:t>
      </w:r>
    </w:p>
    <w:p>
      <w:pPr>
        <w:spacing w:after="0" w:line="164"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Compensation Committee engaged an independent executive compensation consulting firm, Aon Human Capital Solutions practice, a division of Aon plc (Aon) (formerly known as “Radford”), to evaluate our executive compensation program and practices and to provide advice and ongoing assistance on executive compensation matters for the fiscal year ended December 31, 2022. Specifically, Aon was engaged to:</w:t>
      </w:r>
    </w:p>
    <w:p>
      <w:pPr>
        <w:spacing w:after="0" w:line="7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 compensation-related data for a peer group of companies to serve as a basis for assessing competitive compensation practices;</w:t>
      </w:r>
    </w:p>
    <w:p>
      <w:pPr>
        <w:spacing w:after="0" w:line="153"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assess our current director, Chief Executive Officer and other executive officer compensation policies and practices and equity profile, relative to market practices;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assess our current executive compensation program relative to market to identify any potential changes or enhancements to be brought to the attention of the Compensation Committee;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market practices regarding equity programs;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our disclosure of executive and director compensation.</w:t>
      </w:r>
    </w:p>
    <w:p>
      <w:pPr>
        <w:spacing w:after="0" w:line="225"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Representatives of Aon met informally with the Chair of the Compensation Committee and attended the regular meetings of the Compensation Committee, including executive sessions from time to time without any members of management present. During the fiscal year ended December 31, 2022, Aon worked directly with the Compensation Committee (and not on behalf of management) to assist the committee in satisfying its responsibilities and undertook no projects for management without the committee’s prior approval. The Compensation Committee has determined that none of the work performed by Aon during the fiscal year ended December 31, 2022 raised any conflict of interest.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Nominating and Corporate Governance Committee is comprised of Seth L. Harrison, Adrian R. Krainer and Arthur A. Levin. Dr. Harrison is the Chair of our Nominating and Corporate Governance Committee. Our Nominating and Corporate Governance Committee is responsible for, among other things:</w:t>
      </w:r>
    </w:p>
    <w:p>
      <w:pPr>
        <w:spacing w:after="0" w:line="8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annual evaluation of our Board of Directors and each committee of our Board of Directors;</w:t>
      </w:r>
    </w:p>
    <w:p>
      <w:pPr>
        <w:spacing w:after="0" w:line="130" w:lineRule="exact"/>
        <w:rPr>
          <w:rFonts w:ascii="Arial" w:cs="Arial" w:eastAsia="Arial" w:hAnsi="Arial"/>
          <w:sz w:val="18"/>
          <w:szCs w:val="18"/>
          <w:color w:val="auto"/>
        </w:rPr>
      </w:pPr>
    </w:p>
    <w:p>
      <w:pPr>
        <w:ind w:left="5580" w:right="340" w:hanging="4924"/>
        <w:spacing w:after="0" w:line="449" w:lineRule="auto"/>
        <w:tabs>
          <w:tab w:leader="none" w:pos="10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 and any related matters required by federal securities laws; and 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assisting the Board in overseeing any Company program relating to corporate responsibility and sustainability.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and Committee Meetings and Attendance</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Board of Directors and its committees meet regularly throughout the year and also hold special meetings and act by written consent from time to time. During 2022, the Board of Directors held four meetings including telephonic meetings; the Audit Committee held four meetings; the Compensation Committee held four meetings and the Nominating and Corporate Governance Committee held four meetings. During 2022, none of the directors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Attendance at Annual Stockholders’ Meeting</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do not have a formal policy regarding attendance of our annual meetings of stockholders by the members of our Board of Directors. We invite and encourage each member of our Board of Directors to attend our annual meetings of stockholders. Five members of our Board of Directors were present at last year’s annual meeting of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 with Directors</w:t>
      </w:r>
    </w:p>
    <w:p>
      <w:pPr>
        <w:spacing w:after="0" w:line="121" w:lineRule="exact"/>
        <w:rPr>
          <w:sz w:val="20"/>
          <w:szCs w:val="20"/>
          <w:color w:val="auto"/>
        </w:rPr>
      </w:pPr>
    </w:p>
    <w:p>
      <w:pPr>
        <w:jc w:val="both"/>
        <w:ind w:left="120" w:right="240"/>
        <w:spacing w:after="0" w:line="342" w:lineRule="auto"/>
        <w:rPr>
          <w:sz w:val="20"/>
          <w:szCs w:val="20"/>
          <w:color w:val="auto"/>
        </w:rPr>
      </w:pPr>
      <w:r>
        <w:rPr>
          <w:rFonts w:ascii="Arial" w:cs="Arial" w:eastAsia="Arial" w:hAnsi="Arial"/>
          <w:sz w:val="16"/>
          <w:szCs w:val="16"/>
          <w:color w:val="auto"/>
        </w:rPr>
        <w:t>Stockholders and interested parties who wish to communicate with our Board of Directors, non-management members of our Board of Directors as a group, a committee of the Board of Directors or a specific member of our Board of Directors (including our Chair) may do so by letters addressed to: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Stoke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 Corporate Secretary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45 Wiggins Avenue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Bedford, MA 01730</w:t>
      </w:r>
    </w:p>
    <w:p>
      <w:pPr>
        <w:spacing w:after="0" w:line="21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Nominating and Corporate Governance Committee is responsible for identifying, considering and recommending candidates to the Board of Directors for Board membership.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 Our Board of Directors encourages selection of directors who will contribute to the Company’s overall corporate goals. The Nominating and Corporate Governance Committee may from time to time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review and recommend to the Board of Directors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Also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and seek to achieve a mix of members to our Board of Directors that represent a diversity of background and experience, including with respect to age, gender, race, ethnicity, and occupation. Although the Board of Directors does not establish specific goals with respect to diversity, the Board of Directors’ overall diversity is a significant consideration in the director nomination process.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Diversity Matrix (As of April 17, 2023)</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Total Number of Directors: </w:t>
      </w:r>
      <w:r>
        <w:rPr>
          <w:rFonts w:ascii="Arial" w:cs="Arial" w:eastAsia="Arial" w:hAnsi="Arial"/>
          <w:sz w:val="18"/>
          <w:szCs w:val="18"/>
          <w:color w:val="auto"/>
        </w:rPr>
        <w:t>8</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Female</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Male</w:t>
            </w:r>
          </w:p>
        </w:tc>
        <w:tc>
          <w:tcPr>
            <w:tcW w:w="12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Non-Binary</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9"/>
              </w:rPr>
              <w:t>Did Not Disclose</w:t>
            </w:r>
          </w:p>
        </w:tc>
        <w:tc>
          <w:tcPr>
            <w:tcW w:w="0" w:type="dxa"/>
            <w:vAlign w:val="bottom"/>
          </w:tcPr>
          <w:p>
            <w:pPr>
              <w:spacing w:after="0"/>
              <w:rPr>
                <w:sz w:val="1"/>
                <w:szCs w:val="1"/>
                <w:color w:val="auto"/>
              </w:rPr>
            </w:pPr>
          </w:p>
        </w:tc>
      </w:tr>
      <w:tr>
        <w:trPr>
          <w:trHeight w:val="171"/>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Part I: Gender Identity</w:t>
            </w:r>
          </w:p>
        </w:tc>
        <w:tc>
          <w:tcPr>
            <w:tcW w:w="9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20" w:type="dxa"/>
            <w:vAlign w:val="bottom"/>
          </w:tcPr>
          <w:p>
            <w:pPr>
              <w:jc w:val="right"/>
              <w:ind w:right="194"/>
              <w:spacing w:after="0"/>
              <w:rPr>
                <w:sz w:val="20"/>
                <w:szCs w:val="20"/>
                <w:color w:val="auto"/>
              </w:rPr>
            </w:pPr>
            <w:r>
              <w:rPr>
                <w:rFonts w:ascii="Arial" w:cs="Arial" w:eastAsia="Arial" w:hAnsi="Arial"/>
                <w:sz w:val="14"/>
                <w:szCs w:val="14"/>
                <w:b w:val="1"/>
                <w:bCs w:val="1"/>
                <w:color w:val="auto"/>
              </w:rPr>
              <w:t>Gender</w:t>
            </w:r>
          </w:p>
        </w:tc>
        <w:tc>
          <w:tcPr>
            <w:tcW w:w="0" w:type="dxa"/>
            <w:vAlign w:val="bottom"/>
          </w:tcPr>
          <w:p>
            <w:pPr>
              <w:spacing w:after="0"/>
              <w:rPr>
                <w:sz w:val="1"/>
                <w:szCs w:val="1"/>
                <w:color w:val="auto"/>
              </w:rPr>
            </w:pPr>
          </w:p>
        </w:tc>
      </w:tr>
      <w:tr>
        <w:trPr>
          <w:trHeight w:val="182"/>
        </w:trPr>
        <w:tc>
          <w:tcPr>
            <w:tcW w:w="6840" w:type="dxa"/>
            <w:vAlign w:val="bottom"/>
            <w:vMerge w:val="continue"/>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Directors</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6840" w:type="dxa"/>
            <w:vAlign w:val="bottom"/>
          </w:tcPr>
          <w:p>
            <w:pPr>
              <w:spacing w:after="0"/>
              <w:rPr>
                <w:sz w:val="20"/>
                <w:szCs w:val="20"/>
                <w:color w:val="auto"/>
              </w:rPr>
            </w:pPr>
            <w:r>
              <w:rPr>
                <w:rFonts w:ascii="Arial" w:cs="Arial" w:eastAsia="Arial" w:hAnsi="Arial"/>
                <w:sz w:val="18"/>
                <w:szCs w:val="18"/>
                <w:b w:val="1"/>
                <w:bCs w:val="1"/>
                <w:color w:val="auto"/>
              </w:rPr>
              <w:t>Part II: Demographic Background</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African American or Black</w:t>
            </w: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Alaskan Native or Native American</w:t>
            </w: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Asian</w:t>
            </w: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Hispanic or Latinx</w:t>
            </w: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Native Hawaiian or Pacific Islander</w:t>
            </w: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White</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Two or More Races or Ethnicities</w:t>
            </w: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LGBTQ+</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Did Not Disclose Demographic Background</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Nominating and Corporate Governance Committee will consider properly submitted stockholder recommendations for candidates for our Board of Directors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1.12 of our bylaws. Any eligible stockholder who wishes to submit a nomination should review the requirements in the bylaws on nominations by stockholders. Any nomination should be sent in writing to our Corporate Secretary, Stoke Therapeutics, Inc., 45 Wiggins Avenue, Bedford, MA 01730. Submissions must include the full name of the proposed nominee,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complete biographical information, a description of the proposed nominee’s qualifications as a director, other information specified in our bylaws, including the information requirements of Rule 14a-19, and a representation that the nominating stockholder is a beneficial or record holder of our stock.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spacing w:after="0" w:line="1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Additional information regarding the process for properly submitting stockholder nominations for candidates for membership on our Board of Directors is set forth below under “Stockholder Proposals to Be Presented at Next Annual Meeting.”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CLASS I DIRECTORS</w:t>
      </w:r>
    </w:p>
    <w:p>
      <w:pPr>
        <w:spacing w:after="0" w:line="21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Board of Directors is divided into three classes. Each class serves for three years, with the terms of office of the respective classes expiring in successive years. Directors and director nominees in Class I will stand for election at this meeting. The terms of office of directors in Class II and Class III do not expire until the annual meetings of stockholders to be held in 2024 and 2025, respectively. Our Nominating and Corporate Governance Committee recommended to our Board of Directors, and our Board of Directors nominated Adrian R. Krainer, Julie Anne Smith and Garry Menzel, each an incumbent Class I director, for election as Class I directors at the Annual Meeting. At the recommendation of our Nominating and Corporate Governance Committee, our Board of Directors proposes that the Class I nominees be elected as Class I directors for a three-year term expiring at the annual meeting of stockholders to be held in 2026 and until such directors’ successors are duly elected and qualified or until such directors’ earlier resignation or removal.</w:t>
      </w:r>
    </w:p>
    <w:p>
      <w:pPr>
        <w:spacing w:after="0" w:line="19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directors will be elected by a plurality of the votes present in person or represented by proxy at the Annual Meeting and entitled to vote on the election of directors. This means that the three individuals nominated for election to the Board of Directors at the Annual Meeting receiving the highest number of “FOR” votes will be elected. You may vote “FOR ALL NOMINEES” or vote to “WITHHOLD AUTHORITY FOR ALL NOMINEES” or vote “FOR ALL EXCEPT” one or more of the nominees you specify. Shares represented by proxies will be voted “FOR” the election of the Class I nominee unless the proxy is marked to withhold authority to so vote. In an uncontested election “WITHHOLD AUTHORITY FOR ALL NOMINEES” votes will have no effect on the outcome of the proposal.You may not cumulate votes in the election of directors. If any nominee for any reason is unable to serve, the proxies may be voted for such substitute nominee as the proxy holders, who are officers of our Company, might determine. The nominees have consented to being named in this proxy statement and to serve if elected. Proxies may not be voted for more than three directors.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to the Board of Directors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nominees and their ages as of April 17, 2023 are provided in the table below. Additional biographical information for each nominee is set forth in the text below the table.</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jc w:val="center"/>
              <w:ind w:left="1455"/>
              <w:spacing w:after="0"/>
              <w:rPr>
                <w:sz w:val="20"/>
                <w:szCs w:val="20"/>
                <w:color w:val="auto"/>
              </w:rPr>
            </w:pPr>
            <w:r>
              <w:rPr>
                <w:rFonts w:ascii="Arial" w:cs="Arial" w:eastAsia="Arial" w:hAnsi="Arial"/>
                <w:sz w:val="14"/>
                <w:szCs w:val="14"/>
                <w:b w:val="1"/>
                <w:bCs w:val="1"/>
                <w:color w:val="auto"/>
                <w:w w:val="90"/>
              </w:rPr>
              <w:t>Age</w:t>
            </w:r>
          </w:p>
        </w:tc>
        <w:tc>
          <w:tcPr>
            <w:tcW w:w="1380" w:type="dxa"/>
            <w:vAlign w:val="bottom"/>
          </w:tcPr>
          <w:p>
            <w:pPr>
              <w:ind w:left="240"/>
              <w:spacing w:after="0"/>
              <w:rPr>
                <w:sz w:val="20"/>
                <w:szCs w:val="20"/>
                <w:color w:val="auto"/>
              </w:rPr>
            </w:pPr>
            <w:r>
              <w:rPr>
                <w:rFonts w:ascii="Arial" w:cs="Arial" w:eastAsia="Arial" w:hAnsi="Arial"/>
                <w:sz w:val="14"/>
                <w:szCs w:val="14"/>
                <w:b w:val="1"/>
                <w:bCs w:val="1"/>
                <w:color w:val="auto"/>
              </w:rPr>
              <w:t>Class</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Adrian R. Krainer, Ph.D.(2)</w:t>
            </w:r>
          </w:p>
        </w:tc>
        <w:tc>
          <w:tcPr>
            <w:tcW w:w="2260" w:type="dxa"/>
            <w:vAlign w:val="bottom"/>
          </w:tcPr>
          <w:p>
            <w:pPr>
              <w:jc w:val="center"/>
              <w:ind w:left="1475"/>
              <w:spacing w:after="0"/>
              <w:rPr>
                <w:sz w:val="20"/>
                <w:szCs w:val="20"/>
                <w:color w:val="auto"/>
              </w:rPr>
            </w:pPr>
            <w:r>
              <w:rPr>
                <w:rFonts w:ascii="Arial" w:cs="Arial" w:eastAsia="Arial" w:hAnsi="Arial"/>
                <w:sz w:val="18"/>
                <w:szCs w:val="18"/>
                <w:color w:val="auto"/>
                <w:w w:val="89"/>
              </w:rPr>
              <w:t>64</w:t>
            </w:r>
          </w:p>
        </w:tc>
        <w:tc>
          <w:tcPr>
            <w:tcW w:w="1380" w:type="dxa"/>
            <w:vAlign w:val="bottom"/>
          </w:tcPr>
          <w:p>
            <w:pPr>
              <w:ind w:left="240"/>
              <w:spacing w:after="0"/>
              <w:rPr>
                <w:sz w:val="20"/>
                <w:szCs w:val="20"/>
                <w:color w:val="auto"/>
              </w:rPr>
            </w:pPr>
            <w:r>
              <w:rPr>
                <w:rFonts w:ascii="Arial" w:cs="Arial" w:eastAsia="Arial" w:hAnsi="Arial"/>
                <w:sz w:val="18"/>
                <w:szCs w:val="18"/>
                <w:color w:val="auto"/>
                <w:w w:val="91"/>
              </w:rPr>
              <w:t>Class I Director</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Garry E. Menzel, Ph.D.(1)</w:t>
            </w:r>
          </w:p>
        </w:tc>
        <w:tc>
          <w:tcPr>
            <w:tcW w:w="2260" w:type="dxa"/>
            <w:vAlign w:val="bottom"/>
          </w:tcPr>
          <w:p>
            <w:pPr>
              <w:jc w:val="center"/>
              <w:ind w:left="1475"/>
              <w:spacing w:after="0"/>
              <w:rPr>
                <w:sz w:val="20"/>
                <w:szCs w:val="20"/>
                <w:color w:val="auto"/>
              </w:rPr>
            </w:pPr>
            <w:r>
              <w:rPr>
                <w:rFonts w:ascii="Arial" w:cs="Arial" w:eastAsia="Arial" w:hAnsi="Arial"/>
                <w:sz w:val="18"/>
                <w:szCs w:val="18"/>
                <w:color w:val="auto"/>
                <w:w w:val="89"/>
              </w:rPr>
              <w:t>58</w:t>
            </w:r>
          </w:p>
        </w:tc>
        <w:tc>
          <w:tcPr>
            <w:tcW w:w="1380" w:type="dxa"/>
            <w:vAlign w:val="bottom"/>
          </w:tcPr>
          <w:p>
            <w:pPr>
              <w:ind w:left="240"/>
              <w:spacing w:after="0"/>
              <w:rPr>
                <w:sz w:val="20"/>
                <w:szCs w:val="20"/>
                <w:color w:val="auto"/>
              </w:rPr>
            </w:pPr>
            <w:r>
              <w:rPr>
                <w:rFonts w:ascii="Arial" w:cs="Arial" w:eastAsia="Arial" w:hAnsi="Arial"/>
                <w:sz w:val="18"/>
                <w:szCs w:val="18"/>
                <w:color w:val="auto"/>
                <w:w w:val="91"/>
              </w:rPr>
              <w:t>Class I Director</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Julie Anne Smith(1)(3)</w:t>
            </w:r>
          </w:p>
        </w:tc>
        <w:tc>
          <w:tcPr>
            <w:tcW w:w="2260" w:type="dxa"/>
            <w:vAlign w:val="bottom"/>
          </w:tcPr>
          <w:p>
            <w:pPr>
              <w:jc w:val="center"/>
              <w:ind w:left="1475"/>
              <w:spacing w:after="0"/>
              <w:rPr>
                <w:sz w:val="20"/>
                <w:szCs w:val="20"/>
                <w:color w:val="auto"/>
              </w:rPr>
            </w:pPr>
            <w:r>
              <w:rPr>
                <w:rFonts w:ascii="Arial" w:cs="Arial" w:eastAsia="Arial" w:hAnsi="Arial"/>
                <w:sz w:val="18"/>
                <w:szCs w:val="18"/>
                <w:color w:val="auto"/>
                <w:w w:val="89"/>
              </w:rPr>
              <w:t>52</w:t>
            </w:r>
          </w:p>
        </w:tc>
        <w:tc>
          <w:tcPr>
            <w:tcW w:w="1380" w:type="dxa"/>
            <w:vAlign w:val="bottom"/>
          </w:tcPr>
          <w:p>
            <w:pPr>
              <w:ind w:left="240"/>
              <w:spacing w:after="0"/>
              <w:rPr>
                <w:sz w:val="20"/>
                <w:szCs w:val="20"/>
                <w:color w:val="auto"/>
              </w:rPr>
            </w:pPr>
            <w:r>
              <w:rPr>
                <w:rFonts w:ascii="Arial" w:cs="Arial" w:eastAsia="Arial" w:hAnsi="Arial"/>
                <w:sz w:val="18"/>
                <w:szCs w:val="18"/>
                <w:color w:val="auto"/>
                <w:w w:val="91"/>
              </w:rPr>
              <w:t>Class I Director</w:t>
            </w:r>
          </w:p>
        </w:tc>
      </w:tr>
    </w:tbl>
    <w:p>
      <w:pPr>
        <w:spacing w:after="0" w:line="229"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our Nominating and Corporate Governance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07"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color w:val="auto"/>
        </w:rPr>
        <w:t>Adrian R. Krainer, Ph.D.</w:t>
      </w:r>
      <w:r>
        <w:rPr>
          <w:rFonts w:ascii="Arial" w:cs="Arial" w:eastAsia="Arial" w:hAnsi="Arial"/>
          <w:sz w:val="18"/>
          <w:szCs w:val="18"/>
          <w:color w:val="auto"/>
        </w:rPr>
        <w:t>, co-founded Stoke Therapeutics, Inc. and has served as a member of our Board of Directors since June 2014. Professor</w:t>
      </w:r>
      <w:r>
        <w:rPr>
          <w:rFonts w:ascii="Arial" w:cs="Arial" w:eastAsia="Arial" w:hAnsi="Arial"/>
          <w:sz w:val="18"/>
          <w:szCs w:val="18"/>
          <w:b w:val="1"/>
          <w:bCs w:val="1"/>
          <w:color w:val="auto"/>
        </w:rPr>
        <w:t xml:space="preserve"> </w:t>
      </w:r>
      <w:r>
        <w:rPr>
          <w:rFonts w:ascii="Arial" w:cs="Arial" w:eastAsia="Arial" w:hAnsi="Arial"/>
          <w:sz w:val="18"/>
          <w:szCs w:val="18"/>
          <w:color w:val="auto"/>
        </w:rPr>
        <w:t>Krainer is the St. Giles Professor and Deputy Director of Research in the Cancer Center at Cold Spring Harbor Laboratory, a biological research institution, where he has served since 1986 and where his work led directly to the invention and development of SPINRAZA. Professor Krainer holds a B.A. in Biochemistry from Columbia University and a Ph.D. in Biochemistry from Harvard University. We believe that Professor Krainer is qualified to serve on our Board of Directors because of his extensive experience in biopharmaceutical research and development and experience in RNA splicing and antisense therapies.</w:t>
      </w:r>
    </w:p>
    <w:p>
      <w:pPr>
        <w:spacing w:after="0" w:line="187" w:lineRule="exact"/>
        <w:rPr>
          <w:sz w:val="20"/>
          <w:szCs w:val="20"/>
          <w:color w:val="auto"/>
        </w:rPr>
      </w:pPr>
    </w:p>
    <w:p>
      <w:pPr>
        <w:ind w:left="120" w:right="220"/>
        <w:spacing w:after="0" w:line="314" w:lineRule="auto"/>
        <w:rPr>
          <w:sz w:val="20"/>
          <w:szCs w:val="20"/>
          <w:color w:val="auto"/>
        </w:rPr>
      </w:pPr>
      <w:r>
        <w:rPr>
          <w:rFonts w:ascii="Arial" w:cs="Arial" w:eastAsia="Arial" w:hAnsi="Arial"/>
          <w:sz w:val="16"/>
          <w:szCs w:val="16"/>
          <w:b w:val="1"/>
          <w:bCs w:val="1"/>
          <w:color w:val="auto"/>
        </w:rPr>
        <w:t xml:space="preserve">Garry E. Menzel, Ph.D. </w:t>
      </w:r>
      <w:r>
        <w:rPr>
          <w:rFonts w:ascii="Arial" w:cs="Arial" w:eastAsia="Arial" w:hAnsi="Arial"/>
          <w:sz w:val="16"/>
          <w:szCs w:val="16"/>
          <w:color w:val="auto"/>
        </w:rPr>
        <w:t>has served as a member of our Board of Directors since August 2020. Dr. Menzel has also served as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TCR2 Therapeutics Inc. (Nasdaq: TCRR), a clinical stage oncology company with three novel immunotherapies for solid tumors and hematological malignancies, since 2016. He is a co-founder of Black Diamond Therapeutics, Inc. (Nasdaq: BDTX), a clinical stage oncology</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company, where he has served on the Board of Directors since 2014. From 2013 to 2015, Dr. Menzel served as Chief Financial Officer of DaVita Healthcare Partners (NYSE: DVA), which at the time operated one of the largest networks of kidney dialysis centers and primary care physician practices in the United States. Prior to that, Dr. Menzel served as Chief Operating Officer at microRNA therapy company Regulus Therapeutics, Inc. (Nasdaq: RGLS). He began his career in the banking industry, starting as a consultant at Bain &amp; Company and subsequently held global leadership roles running the biotechnology practices at Goldman Sachs and Credit Suisse where he advised on more than $100 billion in strategic transactions. Outside of his corporate board positions, Dr. Menzel serves on the National Board of the Epilepsy Foundation, and previously served on the Boards of Directors of the Institute for Systems Biology and the University of California, San Francisco (UCSF) School of Pharmacy. Dr. Menzel holds a Ph.D. in Biochemistry and Molecular Biology from St. John’s College, University of Cambridge, an M.B.A. from Stanford University and a B.S. in Biochemistry from the Imperial College of Science and Technology. We believe that Dr. Menzel is qualified to serve on our Board of Directors because of his extensive executive experience at biotechnology companies.</w:t>
      </w:r>
    </w:p>
    <w:p>
      <w:pPr>
        <w:spacing w:after="0" w:line="18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color w:val="auto"/>
        </w:rPr>
        <w:t xml:space="preserve">Julie Anne Smith </w:t>
      </w:r>
      <w:r>
        <w:rPr>
          <w:rFonts w:ascii="Arial" w:cs="Arial" w:eastAsia="Arial" w:hAnsi="Arial"/>
          <w:sz w:val="17"/>
          <w:szCs w:val="17"/>
          <w:color w:val="auto"/>
        </w:rPr>
        <w:t>has served as Chief Executive Officer of Nuvig Therapeutics Inc., a biotechnology company developing immunotherapies, since</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2023. From August 2018 to August 2022, Ms. Smith served as the President and Chief Executive Officer of ESCAPE Bio, Inc., a biotechnology company developing novel small-molecule therapeutics for inherited neurodegenerative diseases. Previously, Ms. Smith served as the President and Chief Executive Officer at Nuredis, Inc. from August 2017 to July 2018, and President and Chief Executive Officer at Raptor Pharmaceutical Corp., a public, commercial stage biopharmaceutical company focused on developing and commercializing treatments for orphan diseases, from September 2012 to October 2016. She joined Raptor in 2012 and held positions of increasing responsibility until being appointed President and Chief Executive Officer. Prior to joining Raptor, Ms. Smith served as the Chief Commercial Officer at Enobia Pharmaceuticals until May 2012, after its acquisition by Alexion Pharmaceuticals, Inc. Previously, Ms. Smith served in positions of increasing responsibility at Jazz Pharmaceuticals plc, Genzyme Novazyme and Bristol-Myers Squibb Company. Ms. Smith currently serves as an independent director of Exelixis, Inc., a public genomics-based drug discovery company. She previously served on the board of directors of Audentes Therapeutics, Inc., a genetic medicines company, and as a director on the Health and Emerging Companies Sections of the Biotechnology Industry Organization (BIO) board. Ms. Smith holds a B.S. in Biological and Nutritional Sciences from Cornell University. We believe that Ms. Smith is qualified to serve on the Board of Directors because of her extensive executive experience at biotechnology companies.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Continuing Directors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directors who are serving for terms that end following the Annual Meeting and their ages are provided in the table below. Additional biographical information for each nominee is set forth in the text below the table.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4740" w:type="dxa"/>
            <w:vAlign w:val="bottom"/>
          </w:tcPr>
          <w:p>
            <w:pPr>
              <w:spacing w:after="0"/>
              <w:rPr>
                <w:sz w:val="20"/>
                <w:szCs w:val="20"/>
                <w:color w:val="auto"/>
              </w:rPr>
            </w:pPr>
            <w:r>
              <w:rPr>
                <w:rFonts w:ascii="Arial" w:cs="Arial" w:eastAsia="Arial" w:hAnsi="Arial"/>
                <w:sz w:val="14"/>
                <w:szCs w:val="14"/>
                <w:b w:val="1"/>
                <w:bCs w:val="1"/>
                <w:color w:val="auto"/>
              </w:rPr>
              <w:t>Class</w:t>
            </w:r>
          </w:p>
        </w:tc>
      </w:tr>
      <w:tr>
        <w:trPr>
          <w:trHeight w:val="189"/>
        </w:trPr>
        <w:tc>
          <w:tcPr>
            <w:tcW w:w="3600" w:type="dxa"/>
            <w:vAlign w:val="bottom"/>
          </w:tcPr>
          <w:p>
            <w:pPr>
              <w:spacing w:after="0" w:line="189" w:lineRule="exact"/>
              <w:rPr>
                <w:sz w:val="20"/>
                <w:szCs w:val="20"/>
                <w:color w:val="auto"/>
              </w:rPr>
            </w:pPr>
            <w:r>
              <w:rPr>
                <w:rFonts w:ascii="Arial" w:cs="Arial" w:eastAsia="Arial" w:hAnsi="Arial"/>
                <w:sz w:val="18"/>
                <w:szCs w:val="18"/>
                <w:color w:val="auto"/>
              </w:rPr>
              <w:t>Jennifer C. Burstein(3)</w:t>
            </w:r>
          </w:p>
        </w:tc>
        <w:tc>
          <w:tcPr>
            <w:tcW w:w="1600" w:type="dxa"/>
            <w:vAlign w:val="bottom"/>
          </w:tcPr>
          <w:p>
            <w:pPr>
              <w:spacing w:after="0"/>
              <w:rPr>
                <w:sz w:val="16"/>
                <w:szCs w:val="16"/>
                <w:color w:val="auto"/>
              </w:rPr>
            </w:pPr>
          </w:p>
        </w:tc>
        <w:tc>
          <w:tcPr>
            <w:tcW w:w="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6"/>
                <w:szCs w:val="16"/>
                <w:color w:val="auto"/>
              </w:rPr>
            </w:pPr>
          </w:p>
        </w:tc>
        <w:tc>
          <w:tcPr>
            <w:tcW w:w="4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Class II Director</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Arthur A. Levin, Ph.D.(2)</w:t>
            </w:r>
          </w:p>
        </w:tc>
        <w:tc>
          <w:tcPr>
            <w:tcW w:w="2580" w:type="dxa"/>
            <w:vAlign w:val="bottom"/>
            <w:gridSpan w:val="2"/>
          </w:tcPr>
          <w:p>
            <w:pPr>
              <w:jc w:val="center"/>
              <w:ind w:left="1510"/>
              <w:spacing w:after="0"/>
              <w:rPr>
                <w:sz w:val="20"/>
                <w:szCs w:val="20"/>
                <w:color w:val="auto"/>
              </w:rPr>
            </w:pPr>
            <w:r>
              <w:rPr>
                <w:rFonts w:ascii="Arial" w:cs="Arial" w:eastAsia="Arial" w:hAnsi="Arial"/>
                <w:sz w:val="18"/>
                <w:szCs w:val="18"/>
                <w:color w:val="auto"/>
                <w:w w:val="89"/>
              </w:rPr>
              <w:t>69</w:t>
            </w:r>
          </w:p>
        </w:tc>
        <w:tc>
          <w:tcPr>
            <w:tcW w:w="1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Class II Director</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Edward M. Kaye, M.D.(4)</w:t>
            </w:r>
          </w:p>
        </w:tc>
        <w:tc>
          <w:tcPr>
            <w:tcW w:w="2580" w:type="dxa"/>
            <w:vAlign w:val="bottom"/>
            <w:gridSpan w:val="2"/>
          </w:tcPr>
          <w:p>
            <w:pPr>
              <w:jc w:val="center"/>
              <w:ind w:left="1510"/>
              <w:spacing w:after="0"/>
              <w:rPr>
                <w:sz w:val="20"/>
                <w:szCs w:val="20"/>
                <w:color w:val="auto"/>
              </w:rPr>
            </w:pPr>
            <w:r>
              <w:rPr>
                <w:rFonts w:ascii="Arial" w:cs="Arial" w:eastAsia="Arial" w:hAnsi="Arial"/>
                <w:sz w:val="18"/>
                <w:szCs w:val="18"/>
                <w:color w:val="auto"/>
                <w:w w:val="89"/>
              </w:rPr>
              <w:t>74</w:t>
            </w:r>
          </w:p>
        </w:tc>
        <w:tc>
          <w:tcPr>
            <w:tcW w:w="1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Class III Director</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Seth L. Harrison, M.D.(1)(2)</w:t>
            </w:r>
          </w:p>
        </w:tc>
        <w:tc>
          <w:tcPr>
            <w:tcW w:w="2580" w:type="dxa"/>
            <w:vAlign w:val="bottom"/>
            <w:gridSpan w:val="2"/>
          </w:tcPr>
          <w:p>
            <w:pPr>
              <w:jc w:val="center"/>
              <w:ind w:left="1510"/>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Class III Director</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Arthur O. Tzianabos, Ph.D.(1)(3)</w:t>
            </w:r>
          </w:p>
        </w:tc>
        <w:tc>
          <w:tcPr>
            <w:tcW w:w="2580" w:type="dxa"/>
            <w:vAlign w:val="bottom"/>
            <w:gridSpan w:val="2"/>
          </w:tcPr>
          <w:p>
            <w:pPr>
              <w:jc w:val="center"/>
              <w:ind w:left="1510"/>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Class III Director</w:t>
            </w:r>
          </w:p>
        </w:tc>
      </w:tr>
    </w:tbl>
    <w:p>
      <w:pPr>
        <w:spacing w:after="0" w:line="229"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our Nominating and Corporate Governance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Chief Executive Officer of the Company.</w:t>
      </w:r>
    </w:p>
    <w:p>
      <w:pPr>
        <w:spacing w:after="0" w:line="207"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 xml:space="preserve">Jennifer C. Burstein, CPA, </w:t>
      </w:r>
      <w:r>
        <w:rPr>
          <w:rFonts w:ascii="Arial" w:cs="Arial" w:eastAsia="Arial" w:hAnsi="Arial"/>
          <w:sz w:val="18"/>
          <w:szCs w:val="18"/>
          <w:color w:val="auto"/>
        </w:rPr>
        <w:t>has served as a member of our Board of Directors since June 2019. Since March 2021, Ms. Burstein has served as Senior</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 Finance Operations at Treeline Biosciences, Inc., a biotechnology company. From January 2018 to February 2019, Ms. Burstein served as Senior Vice</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President of Finance and principal financial officer at Loxo Oncology, Inc., a biotechnology company, until its acquisition by Eli Lilly and Company. Ms. Burstein previously served as Vice President of Finance and principal financial officer of Loxo Oncology since May 2015. Prior to Loxo Oncology, Ms. Burstein served as Vice President of Finance at Acorda Therapeutics, Inc., a public biotechnology company, from July 2010 until April 2015, where she held several positions of increasing responsibility in Finance from 2006 until being appointed Vice President of Finance. Prior to joining Acorda, from 2002 to 2006, she was with Eyetech Pharmaceuticals, Inc., a public biotechnology company, now a subsidiary of Valeant Pharmaceuticals International, Inc., where she held several positions of increasing responsibility in Finance until being promoted to Senior Director, Accounting.</w:t>
      </w:r>
    </w:p>
    <w:p>
      <w:pPr>
        <w:spacing w:after="0" w:line="4"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Ms. Burstein received her B.S. in Business Administration and M.B.A. in Accounting from the State University of New York at Buffalo and has a CPA license in New York. We believe that Ms. Burstein is qualified to serve on our Board of Directors because of her expertise in financial and accounting matters and her extensive experience in the biotechnology industry.</w:t>
      </w:r>
    </w:p>
    <w:p>
      <w:pPr>
        <w:spacing w:after="0" w:line="186" w:lineRule="exact"/>
        <w:rPr>
          <w:sz w:val="20"/>
          <w:szCs w:val="20"/>
          <w:color w:val="auto"/>
        </w:rPr>
      </w:pPr>
    </w:p>
    <w:p>
      <w:pPr>
        <w:ind w:left="120" w:right="220"/>
        <w:spacing w:after="0" w:line="289" w:lineRule="auto"/>
        <w:rPr>
          <w:sz w:val="20"/>
          <w:szCs w:val="20"/>
          <w:color w:val="auto"/>
        </w:rPr>
      </w:pPr>
      <w:r>
        <w:rPr>
          <w:rFonts w:ascii="Arial" w:cs="Arial" w:eastAsia="Arial" w:hAnsi="Arial"/>
          <w:sz w:val="16"/>
          <w:szCs w:val="16"/>
          <w:b w:val="1"/>
          <w:bCs w:val="1"/>
          <w:color w:val="auto"/>
        </w:rPr>
        <w:t xml:space="preserve">Arthur A. Levin, Ph.D., </w:t>
      </w:r>
      <w:r>
        <w:rPr>
          <w:rFonts w:ascii="Arial" w:cs="Arial" w:eastAsia="Arial" w:hAnsi="Arial"/>
          <w:sz w:val="16"/>
          <w:szCs w:val="16"/>
          <w:color w:val="auto"/>
        </w:rPr>
        <w:t>has served as a member of our Board of Directors since September 2015. From January 2014 to February 2023, Dr. Levin</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Chief Scientific Officer at Avidity Biosciences, Inc., a biotechnology company, and has served as their Distinguished Scientist and Strategic Leader since February 2023. From April 2012 to January 2014, Dr. Levin served as Executive Vice President at miRagen Therapeutics, Inc.,</w:t>
      </w:r>
    </w:p>
    <w:p>
      <w:pPr>
        <w:spacing w:after="0" w:line="2" w:lineRule="exact"/>
        <w:rPr>
          <w:sz w:val="20"/>
          <w:szCs w:val="20"/>
          <w:color w:val="auto"/>
        </w:rPr>
      </w:pPr>
    </w:p>
    <w:p>
      <w:pPr>
        <w:jc w:val="both"/>
        <w:ind w:left="120" w:right="580"/>
        <w:spacing w:after="0" w:line="281" w:lineRule="auto"/>
        <w:rPr>
          <w:sz w:val="20"/>
          <w:szCs w:val="20"/>
          <w:color w:val="auto"/>
        </w:rPr>
      </w:pPr>
      <w:r>
        <w:rPr>
          <w:rFonts w:ascii="Arial" w:cs="Arial" w:eastAsia="Arial" w:hAnsi="Arial"/>
          <w:sz w:val="16"/>
          <w:szCs w:val="16"/>
          <w:color w:val="auto"/>
        </w:rPr>
        <w:t>an RNA-focused therapeutics company. Prior to joining miRagen Therapeutics, Inc., Dr. Levin served in various senior management positions at Santaris Pharma A/S Corp., a biopharmaceutical company, and Ionis Pharmaceuticals, Inc., a public, RNA-focused biopharmaceutical company.</w:t>
      </w:r>
    </w:p>
    <w:p>
      <w:pPr>
        <w:spacing w:after="0" w:line="1"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Dr. Levin holds a B.S. in Biology from Muhlenberg College and a Ph.D. in Toxicology from the University of Rochester. We believe that Dr. Levin is qualified to serve on our Board of Directors because of his biopharmaceutical industry experience, including his expertise in nucleic-acid-based therapeutics.</w:t>
      </w:r>
    </w:p>
    <w:p>
      <w:pPr>
        <w:spacing w:after="0" w:line="18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color w:val="auto"/>
        </w:rPr>
        <w:t>Edward M. Kaye, M.D.</w:t>
      </w:r>
      <w:r>
        <w:rPr>
          <w:rFonts w:ascii="Arial" w:cs="Arial" w:eastAsia="Arial" w:hAnsi="Arial"/>
          <w:sz w:val="17"/>
          <w:szCs w:val="17"/>
          <w:color w:val="auto"/>
        </w:rPr>
        <w:t>, has served as our Chief Executive Officer and a member of our Board of Directors since October 2017. Dr. Kaye joined us</w:t>
      </w:r>
      <w:r>
        <w:rPr>
          <w:rFonts w:ascii="Arial" w:cs="Arial" w:eastAsia="Arial" w:hAnsi="Arial"/>
          <w:sz w:val="17"/>
          <w:szCs w:val="17"/>
          <w:b w:val="1"/>
          <w:bCs w:val="1"/>
          <w:color w:val="auto"/>
        </w:rPr>
        <w:t xml:space="preserve"> </w:t>
      </w:r>
      <w:r>
        <w:rPr>
          <w:rFonts w:ascii="Arial" w:cs="Arial" w:eastAsia="Arial" w:hAnsi="Arial"/>
          <w:sz w:val="17"/>
          <w:szCs w:val="17"/>
          <w:color w:val="auto"/>
        </w:rPr>
        <w:t>from Sarepta Therapeutics, Inc., a medical research and drug development company, where he served as President and Chief Executive Officer from September 2016 to July 2017, Interim Chief Executive Officer from April 2015 to September 2016 and Chief Medical Officer from June 2011 to March 2017. From 2001 to 2011, Dr. Kaye served in various positions at Genzyme Corporation, a biotechnology company, including most recently as Group Vice President of Clinical Development. Previously, Dr. Kaye served as Chief of Biochemical Genetics at Children’s Hospital of Philadelphia, Chief of Neurology at St. Christopher’s Hospital for Children, and as a member of the research staff at Massachusetts General Hospital and Tufts University Medical Center. Dr. Kaye currently serves as a Neurological Consultant at the Children’s Hospital of Boston. Dr. Kaye is also a member of the boards of directors of Cytokinetics, Inc., a public biopharmaceutical company, Avidity Biosciences, Inc. a public biotechnology company, and the Massachusetts Biotechnology Council, a private non-profit life sciences industry organization. Dr. Kaye holds a B.S. in Biology/Chemistry from Loyola University and a M.D. from the Loyola University Stritch School of Medicine. We believe that Dr. Kaye is qualified to serve on our Board of Directors because of his extensive leadership and clinical experience in the medical and biotechnology fields.</w:t>
      </w:r>
    </w:p>
    <w:p>
      <w:pPr>
        <w:spacing w:after="0" w:line="18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b w:val="1"/>
          <w:bCs w:val="1"/>
          <w:color w:val="auto"/>
        </w:rPr>
        <w:t>Seth L. Harrison, M.D.</w:t>
      </w:r>
      <w:r>
        <w:rPr>
          <w:rFonts w:ascii="Arial" w:cs="Arial" w:eastAsia="Arial" w:hAnsi="Arial"/>
          <w:sz w:val="17"/>
          <w:szCs w:val="17"/>
          <w:color w:val="auto"/>
        </w:rPr>
        <w:t>, has served as the Chair of our Board of Directors since July 2015. Dr. Harrison serves as Managing Partner at Apple Tree</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a venture capital firm, which he founded in 1999. Prior to founding Apple Tree Partners, Dr. Harrison served as a General Partner at Oak Investment Partners, a venture capital and private equity firm, and as a Venture Partner at Sevin Rosen Funds, a technology-focused venture capital firm. Dr. Harrison currently serves as a member of the board of directors of Akero Therapeutics, Inc., a public biopharmaceutical company. Dr. Harrison also serves as the chair of the boards of directors of Braeburn Inc., a pharmaceutical company, Marengo Therapeutics, Inc., an immunotherapy company, and Galvanize Therapeutics, Inc., a medical device company, as well as a director for numerous other private companies. Dr. Harrison holds an A.B. from Princeton University and an M.D. and M.B.A. from Columbia University. We believe that Dr. Harrison is qualified to serve on our Board of Directors because of his experience in the life sciences industry, his experience as a venture capitalist, as well as his service on the boards of directors of numerous biopharmaceutical companies.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b w:val="1"/>
          <w:bCs w:val="1"/>
          <w:color w:val="auto"/>
        </w:rPr>
        <w:t>Arthur O. Tzianabos, Ph.D.</w:t>
      </w:r>
      <w:r>
        <w:rPr>
          <w:rFonts w:ascii="Arial" w:cs="Arial" w:eastAsia="Arial" w:hAnsi="Arial"/>
          <w:sz w:val="16"/>
          <w:szCs w:val="16"/>
          <w:color w:val="auto"/>
        </w:rPr>
        <w:t>, has served as a member of our Board of Directors since September 2018. Dr. Tzianabos serves as a Venture Partner at</w:t>
      </w:r>
      <w:r>
        <w:rPr>
          <w:rFonts w:ascii="Arial" w:cs="Arial" w:eastAsia="Arial" w:hAnsi="Arial"/>
          <w:sz w:val="16"/>
          <w:szCs w:val="16"/>
          <w:b w:val="1"/>
          <w:bCs w:val="1"/>
          <w:color w:val="auto"/>
        </w:rPr>
        <w:t xml:space="preserve"> </w:t>
      </w:r>
      <w:r>
        <w:rPr>
          <w:rFonts w:ascii="Arial" w:cs="Arial" w:eastAsia="Arial" w:hAnsi="Arial"/>
          <w:sz w:val="16"/>
          <w:szCs w:val="16"/>
          <w:color w:val="auto"/>
        </w:rPr>
        <w:t>5AM Ventures, where he has focused on life sciences investments since September 2022. From April 2016 to September 2022, Dr. Tzianabos served as President and Chief Executive Officer at Homology Medicines, Inc., a genetic medicines company. Prior to joining Homology Medicines, Inc.,</w:t>
      </w:r>
    </w:p>
    <w:p>
      <w:pPr>
        <w:spacing w:after="0" w:line="2"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Dr. Tzianabos served as President and Chief Scientific Officer at OvaScience, Inc., a biotechnology company, from September 2013 to March 2016. Previously, Dr. Tzianabos served in various senior management positions at Shire Plc, a pharmaceutical company, and as a professor at Harvard Medical School. Dr. Tzianabos serves on the Development Board of the College of Life Sciences and Agriculture at the University of New Hampshire.</w:t>
      </w:r>
    </w:p>
    <w:p>
      <w:pPr>
        <w:spacing w:after="0" w:line="2" w:lineRule="exact"/>
        <w:rPr>
          <w:sz w:val="20"/>
          <w:szCs w:val="20"/>
          <w:color w:val="auto"/>
        </w:rPr>
      </w:pPr>
    </w:p>
    <w:p>
      <w:pPr>
        <w:jc w:val="both"/>
        <w:ind w:left="120" w:right="300"/>
        <w:spacing w:after="0" w:line="302" w:lineRule="auto"/>
        <w:rPr>
          <w:sz w:val="20"/>
          <w:szCs w:val="20"/>
          <w:color w:val="auto"/>
        </w:rPr>
      </w:pPr>
      <w:r>
        <w:rPr>
          <w:rFonts w:ascii="Arial" w:cs="Arial" w:eastAsia="Arial" w:hAnsi="Arial"/>
          <w:sz w:val="16"/>
          <w:szCs w:val="16"/>
          <w:color w:val="auto"/>
        </w:rPr>
        <w:t>Dr. Tzianabos previously served on the Board of Directors of Akouos, Inc., a public biotechnology company. Dr. Tzianabos holds a B.S. in Biology from Boston College and a Ph.D. in Microbiology from the University of New Hampshire. We believe that Dr. Tzianabos is qualified to serve on our Board of Directors because of his executive and clinical experience, as well as his extensive involvement in the biotechnology industry.</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familial relationships among any of our directors and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2022, our non-employee directors received the following compensation:</w:t>
      </w:r>
    </w:p>
    <w:p>
      <w:pPr>
        <w:spacing w:after="0" w:line="131" w:lineRule="exact"/>
        <w:rPr>
          <w:sz w:val="20"/>
          <w:szCs w:val="20"/>
          <w:color w:val="auto"/>
        </w:rPr>
      </w:pPr>
    </w:p>
    <w:p>
      <w:pPr>
        <w:ind w:left="1080" w:hanging="424"/>
        <w:spacing w:after="0" w:line="275"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Cash Compensation</w:t>
      </w:r>
      <w:r>
        <w:rPr>
          <w:rFonts w:ascii="Arial" w:cs="Arial" w:eastAsia="Arial" w:hAnsi="Arial"/>
          <w:sz w:val="17"/>
          <w:szCs w:val="17"/>
          <w:color w:val="auto"/>
        </w:rPr>
        <w:t>. Our non-employee director compensation program provided an annual cash retainer of $40,000 to each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Additionally, the Chairman of our Board of Directors received an additional annual payment of $30,000; the Chairs of our Audit, Compensation and Nominating and Corporate Governance Committees received an additional annual payment of $15,000, $10,000 and $8,000 respectively; and the members of our Audit, Compensation and Nominating and Corporate Governance Committees received an additional annual payment of $7,500, $5,000 and $4,000 respectively.</w:t>
      </w:r>
    </w:p>
    <w:p>
      <w:pPr>
        <w:spacing w:after="0" w:line="81" w:lineRule="exact"/>
        <w:rPr>
          <w:rFonts w:ascii="Arial" w:cs="Arial" w:eastAsia="Arial" w:hAnsi="Arial"/>
          <w:sz w:val="17"/>
          <w:szCs w:val="17"/>
          <w:color w:val="auto"/>
        </w:rPr>
      </w:pPr>
    </w:p>
    <w:p>
      <w:pPr>
        <w:ind w:left="1080" w:right="60" w:hanging="424"/>
        <w:spacing w:after="0" w:line="25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 Each non-employee director who continued to serve on our Board of Directors immediately following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on June 7, 2022, received after such meeting an option to purchase 11,650 shares of our common stock, which grant will vest on the one-year anniversary of the date of the grant, such that the grant will become fully vested and exercisable on the one-year anniversary of the date of grant, or if earlier, the next annual meeting of our stockholders, subject to the director’s continued service on each applicable vesting date.</w:t>
      </w:r>
    </w:p>
    <w:p>
      <w:pPr>
        <w:spacing w:after="0" w:line="18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Non-employee directors are also reimbursed for reasonable expenses incurred in serving as a director, including travel expenses for attending meetings of our Board of Directors.</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Our compensation arrangements for non-employee directors are reviewed and approved periodically by our compensation committee and board of directors. We use the same peer group discussed below in the Narrative Disclosure to the Summary Compensation Table to provide a broad perspective on competitive director pay levels and practices.</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March 2023, after review of the equity portion of the director compensation program, the Board of Directors determined it was appropriate to switch from a target share number to a target dollar value. Each non-employee director who continues to serve on our Board of Directors immediately following our annual meeting of stockholders on June 13, 2023 will receive after such meeting an option to purchase shares of our common stock representing a target value of approximately $153,000 as calculated using the closing stock price on the day of grant, which grant will vest on the one-year anniversary of the date of the grant, such that the grant will become fully vested and exercisable on the one-year anniversary of the date of grant, or if earlier, the next annual meeting of our stockholders, subject to the director’s continued service on each applicable vesting date. New directors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appointed to the Board of Directors will received an option to purchase shares of our common stock representing a target value of approximately</w:t>
      </w:r>
    </w:p>
    <w:p>
      <w:pPr>
        <w:spacing w:after="0" w:line="3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$305,000 as calculated using the closing stock price on the day of grant, which grant will vest in equal amounts on each quarterly anniversary of the date of the grant, such that the grant will become fully vested and exercisable on the three-year anniversary of the date of grant, subject to the director’s continued service on each applicable vesting date.</w:t>
      </w:r>
    </w:p>
    <w:p>
      <w:pPr>
        <w:spacing w:after="0" w:line="19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following table sets forth the compensation earned by or paid to our non-employee directors for services provided during the year ended December 31, 2022. Our Chief Executive Officer, Dr. Kaye, receives no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2022.</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2"/>
              </w:rPr>
              <w:t>Fees Earned or</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25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600" w:type="dxa"/>
            <w:vAlign w:val="bottom"/>
            <w:gridSpan w:val="2"/>
          </w:tcPr>
          <w:p>
            <w:pPr>
              <w:jc w:val="right"/>
              <w:ind w:right="230"/>
              <w:spacing w:after="0" w:line="158" w:lineRule="exact"/>
              <w:rPr>
                <w:sz w:val="20"/>
                <w:szCs w:val="20"/>
                <w:color w:val="auto"/>
              </w:rPr>
            </w:pPr>
            <w:r>
              <w:rPr>
                <w:rFonts w:ascii="Arial" w:cs="Arial" w:eastAsia="Arial" w:hAnsi="Arial"/>
                <w:sz w:val="14"/>
                <w:szCs w:val="14"/>
                <w:b w:val="1"/>
                <w:bCs w:val="1"/>
                <w:color w:val="auto"/>
              </w:rPr>
              <w:t>($)(1)</w:t>
            </w:r>
          </w:p>
        </w:tc>
        <w:tc>
          <w:tcPr>
            <w:tcW w:w="6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Jennifer C. Burstein, CPA(2)</w:t>
            </w:r>
          </w:p>
        </w:tc>
        <w:tc>
          <w:tcPr>
            <w:tcW w:w="15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55,000</w:t>
            </w:r>
          </w:p>
        </w:tc>
        <w:tc>
          <w:tcPr>
            <w:tcW w:w="6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169,140</w:t>
            </w: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9"/>
              </w:rPr>
              <w:t>224,140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Adrian R. Krainer, Ph.D.(3)</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44,000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169,140</w:t>
            </w:r>
          </w:p>
        </w:tc>
        <w:tc>
          <w:tcPr>
            <w:tcW w:w="6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9"/>
              </w:rPr>
              <w:t>213,140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Garry E. Menzel, Ph.D.(4)</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169,140</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214,140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Arthur A. Levin, Ph.D.(5)(9)</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45,875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169,140</w:t>
            </w:r>
          </w:p>
        </w:tc>
        <w:tc>
          <w:tcPr>
            <w:tcW w:w="6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9"/>
              </w:rPr>
              <w:t>215,015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L. Harrison, M.D.(6)</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169,140</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252,140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Julie Anne Smith(7)</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52,500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169,140</w:t>
            </w:r>
          </w:p>
        </w:tc>
        <w:tc>
          <w:tcPr>
            <w:tcW w:w="6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9"/>
              </w:rPr>
              <w:t>221,640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O. Tzianabos, Ph.D.(8)</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169,140</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226,640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40" w:hanging="424"/>
        <w:spacing w:after="0" w:line="285"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represent the grant date fair value of the stock options granted to the director during the year ended December 31, 2022 as computed in accordance with ASC 718. The assumptions used in calculating the grant date fair value of the stock options reported in the Option Awards column are set forth in Note 9 to the audited consolidated financial statements included in this Form 10-K for the year ended December 31, 2022. Note that the amounts reported in this column reflect the accounting cost for these stock options, and do not correspond to the actual economic value that may be received by the named executive officers from the options.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2022, Ms. Burstein held options to purchase 76,982 shares of our common stock.</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2022, Dr. Krainer held options to purchase 126,516 shares of our common stock.</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2022, Dr. Menzel held options to purchase 62,205 shares of our common stock.</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2022, Dr. Levin held options to purchase 93,462 shares of our common stock.</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2022, Dr. Harrison held options to purchase 76,982 shares of our common stock.</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2022, Ms. Smith held options to purchase 62,205 shares of our common stock.</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2022, Dr. Tzianabos held options to purchase 93,943 shares of our common stock.</w:t>
      </w:r>
    </w:p>
    <w:p>
      <w:pPr>
        <w:spacing w:after="0" w:line="9" w:lineRule="exact"/>
        <w:rPr>
          <w:rFonts w:ascii="Arial" w:cs="Arial" w:eastAsia="Arial" w:hAnsi="Arial"/>
          <w:sz w:val="18"/>
          <w:szCs w:val="18"/>
          <w:color w:val="auto"/>
        </w:rPr>
      </w:pPr>
    </w:p>
    <w:p>
      <w:pPr>
        <w:ind w:left="540" w:right="500" w:hanging="424"/>
        <w:spacing w:after="0" w:line="26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Levin served on the Audit Committee until February 15, 2022 and was paid $1,875 for his service on such committee for the year ended December 31, 2022.</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OUR BOARD OF DIRECTORS RECOMMENDS A VOTE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FOR</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THE ELECTION OF ADRIAN R. KRAINER, PH.D., GARRY 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MENZEL, PH.D. AND JULIE ANNE SMITH TO SERVE AS CLASS I DIRECTORS.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Audit Committee has selected KPMG LLP as our independent registered public accounting firm to perform the audit of our financial statements for the fiscal year ending December 31, 2023. KPMG LLP audited our financial statements for the fiscal years ended December 31, 2022 and 2021. We expect that representatives of KPMG LLP will be present at the Annual Meeting, will be able to make a statement if they so desire, and will be available to respond to appropriate questions.</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At the Annual Meeting, the stockholders are being asked to ratify the appointment of KPMG LLP as our independent registered public accounting firm for the fiscal year ending December 31, 2023.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fees for professional services rendered by KPMG LLP for the years ended December 31, 2022 and 2021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3380" w:type="dxa"/>
            <w:vAlign w:val="bottom"/>
          </w:tcPr>
          <w:p>
            <w:pPr>
              <w:spacing w:after="0"/>
              <w:rPr>
                <w:sz w:val="16"/>
                <w:szCs w:val="16"/>
                <w:color w:val="auto"/>
              </w:rPr>
            </w:pPr>
          </w:p>
        </w:tc>
        <w:tc>
          <w:tcPr>
            <w:tcW w:w="3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r>
      <w:tr>
        <w:trPr>
          <w:trHeight w:val="203"/>
        </w:trPr>
        <w:tc>
          <w:tcPr>
            <w:tcW w:w="4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Fees(1)</w:t>
            </w:r>
          </w:p>
        </w:tc>
        <w:tc>
          <w:tcPr>
            <w:tcW w:w="2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496</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617</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Fees(2)</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10</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627</w:t>
            </w:r>
          </w:p>
        </w:tc>
      </w:tr>
    </w:tbl>
    <w:p>
      <w:pPr>
        <w:spacing w:after="0" w:line="229" w:lineRule="exact"/>
        <w:rPr>
          <w:sz w:val="20"/>
          <w:szCs w:val="20"/>
          <w:color w:val="auto"/>
        </w:rPr>
      </w:pPr>
    </w:p>
    <w:p>
      <w:pPr>
        <w:ind w:left="540" w:right="260" w:hanging="424"/>
        <w:spacing w:after="0" w:line="25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Fees include fees and related expenses for annual audits and quarterly reviews as well as fees related to our “at-the-market” program and related comfort letters in 2021 and 2022.</w:t>
      </w:r>
    </w:p>
    <w:p>
      <w:pPr>
        <w:spacing w:after="0" w:line="1" w:lineRule="exact"/>
        <w:rPr>
          <w:rFonts w:ascii="Arial" w:cs="Arial" w:eastAsia="Arial" w:hAnsi="Arial"/>
          <w:sz w:val="18"/>
          <w:szCs w:val="18"/>
          <w:color w:val="auto"/>
        </w:rPr>
      </w:pPr>
    </w:p>
    <w:p>
      <w:pPr>
        <w:ind w:left="540" w:right="140" w:hanging="424"/>
        <w:spacing w:after="0" w:line="26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Fees include fees for tax compliance and advice. Tax advice fees encompass a variety of permissible services, including technical tax advice related to federal and state income tax matters, assistance with sales tax, and assistance with tax audits.</w:t>
      </w:r>
    </w:p>
    <w:p>
      <w:pPr>
        <w:spacing w:after="0" w:line="289"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Principal Policy on Audit Committee Pre-Approval of Audit and Permissible Non-Audit Services of Independent Registered Public Accounting Firm</w:t>
      </w:r>
    </w:p>
    <w:p>
      <w:pPr>
        <w:spacing w:after="0" w:line="5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Our Audit Committee generally pre-approves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OUR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PROPOSAL NO. 2.</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APPROVAL OF AMENDMENT TO CERTIFICATE OF INCORPORATION</w:t>
      </w:r>
    </w:p>
    <w:p>
      <w:pPr>
        <w:spacing w:after="0" w:line="21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Section 102(b)(7) of the General Corporation Law of the State of Delaware was amended effective August 1, 2022 to authorize exculpation of officers of Delaware corporations. Specifically, the amendment permits Delaware corporations to exculpate their officers, in addition to their directors, for personal liability for breach of the duty of care in certain actions. This exculpation would not protect officers from liability for breach of the duty of loyalty, acts or omissions not in good faith or that involve intentional misconduct or a knowing violation of law, or any transaction in which the officer derived an improper personal benefit. Nor would this exculpation shield such officers from liability for claims brought by or in the right of the corporation, such as derivative claims.</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proposed amendment is not being proposed in response to any specific resignation, threat of resignation or refusal to serve by any director or officer. This protection has long been afforded to directors, and our Board of Directors believes that extending similar exculpation to its officers is fair and in the best interests of the Company and its stockholders. Accordingly, our Board of Directors has unanimously approved the Certificate of Amendment to our Restated Certificate of Incorporation (the “Certificate of Amendment”) in the form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and recommends that our stockholders vote “FOR” the proposed amendment.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120" w:right="120"/>
        <w:spacing w:after="0" w:line="342" w:lineRule="auto"/>
        <w:rPr>
          <w:sz w:val="20"/>
          <w:szCs w:val="20"/>
          <w:color w:val="auto"/>
        </w:rPr>
      </w:pPr>
      <w:r>
        <w:rPr>
          <w:rFonts w:ascii="Arial" w:cs="Arial" w:eastAsia="Arial" w:hAnsi="Arial"/>
          <w:sz w:val="16"/>
          <w:szCs w:val="16"/>
          <w:color w:val="auto"/>
        </w:rPr>
        <w:t>The affirmative vote of the holders of a majority of the voting power of all of the outstanding shares of our capital stock entitled to vote at the Annual Meeting is required to approve the Certificate of Amendment. Shares that are voted “abstain” are treated as the same as voting “against” this proposal.</w:t>
      </w:r>
    </w:p>
    <w:p>
      <w:pPr>
        <w:spacing w:after="0" w:line="12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If our stockholders approve the Certificate of Amendment, our Board of Directors has authorized our officers to file the Certificate of Amendment with the Delaware Secretary of State, to become effective upon acceptance by the Delaware Secretary of State. Our Board of Directors intends to have that filing made if, and as soon as practicable after, this proposal is approved at this annual meeting.</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OUR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PROPOSAL NO. 3.</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Audit Committee is appointed by the Board of Directors to assist the Board of Directors in fulfilling its oversight responsibilities with respect to</w:t>
      </w:r>
    </w:p>
    <w:p>
      <w:pPr>
        <w:spacing w:after="0" w:line="35" w:lineRule="exact"/>
        <w:rPr>
          <w:sz w:val="20"/>
          <w:szCs w:val="20"/>
          <w:color w:val="auto"/>
        </w:rPr>
      </w:pPr>
    </w:p>
    <w:p>
      <w:pPr>
        <w:ind w:left="120" w:right="280" w:hanging="4"/>
        <w:spacing w:after="0" w:line="253" w:lineRule="auto"/>
        <w:tabs>
          <w:tab w:leader="none" w:pos="3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integrity of Stoke’s consolidated financial statements and financial reporting process and systems of internal controls regarding finance, accounting, and compliance with legal and regulatory requirements, (2) the qualifications, independence, and performance of Stoke’s independent registered public accounting firm, (3) the performance of Stoke’s internal audit function, if any, and (4) other matters as set forth in the charter of the Audit Committee approved by the Board of Directors.</w:t>
      </w:r>
    </w:p>
    <w:p>
      <w:pPr>
        <w:spacing w:after="0" w:line="193"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Management is responsible for the preparation of Stoke’s consolidated financial statements and the financial reporting process, including its system of internal control over financial reporting and its disclosure controls and procedures. The independent registered public accounting firm is responsible for performing an audit of Stoke’s financial statements in accordance with the standards of the Public Company Accounting Oversight Board (PCAOB) and issuing a report thereon. The Audit Committee’s responsibility is to monitor and oversee these processes.</w:t>
      </w:r>
    </w:p>
    <w:p>
      <w:pPr>
        <w:spacing w:after="0" w:line="17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connection with these responsibilities, the Audit Committee reviewed and discussed with management and the independent registered public accounting firm the audited consolidated financial statements of Stoke Therapeutics, Inc. for the fiscal year ended December 31, 2022. The Audit Committee also discussed with the independent registered public accounting firm the matters required to be discussed by the applicable standards of the PCAOB and the SEC.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consolidated financial statements of Stoke Therapeutics, Inc. be included in Stoke’s Annual Report on Form 10-K for the fiscal year ended December 31, 2022,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AUDIT COMMITTEE OF THE BOARD OF DIRECTORS OF STOKE THERAPEUTICS,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Jennifer C. Burstein, Chair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Julie Anne Smith</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Arthur O. Tzianabos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2023, by:</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directors or director nominees;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Percentage ownership of our common stock is based on 44,175,089 shares of our common stock outstanding on March 31, 2023. We have determined beneficial ownership in accordance with the rules of the SEC, and thus it represents sole or shared voting or investment power with respect to our securities,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as of March 31, 2023, subject to community property laws where applicable. We have deemed all shares of common stock subject to options or other convertible securities held by that person or entity that are currently exercisable or that will become exercisable within 60 days of March 31, 2023 to be outstanding and to be beneficially owned by the person or entity holding the option for the purpose of computing the percentage ownership of that person or entity but have not treated them as outstanding for the purpose of computing the percentage ownership of any other person or entity. Unless otherwise indicated, the address of each beneficial owner listed in the table below is c/o Stoke Therapeutics, Inc., 45 Wiggins Avenue, Bedford, Massachusetts 01730.</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shares</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r>
        <w:trPr>
          <w:trHeight w:val="148"/>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0" w:type="dxa"/>
            <w:vAlign w:val="bottom"/>
          </w:tcPr>
          <w:p>
            <w:pPr>
              <w:spacing w:after="0"/>
              <w:rPr>
                <w:sz w:val="1"/>
                <w:szCs w:val="1"/>
                <w:color w:val="auto"/>
              </w:rPr>
            </w:pPr>
          </w:p>
        </w:tc>
      </w:tr>
      <w:tr>
        <w:trPr>
          <w:trHeight w:val="178"/>
        </w:trPr>
        <w:tc>
          <w:tcPr>
            <w:tcW w:w="5980" w:type="dxa"/>
            <w:vAlign w:val="bottom"/>
            <w:gridSpan w:val="2"/>
            <w:vMerge w:val="continue"/>
          </w:tcPr>
          <w:p>
            <w:pPr>
              <w:spacing w:after="0"/>
              <w:rPr>
                <w:sz w:val="15"/>
                <w:szCs w:val="15"/>
                <w:color w:val="auto"/>
              </w:rPr>
            </w:pPr>
          </w:p>
        </w:tc>
        <w:tc>
          <w:tcPr>
            <w:tcW w:w="14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0"/>
              </w:rPr>
              <w:t>owned</w:t>
            </w:r>
          </w:p>
        </w:tc>
        <w:tc>
          <w:tcPr>
            <w:tcW w:w="9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189"/>
        </w:trPr>
        <w:tc>
          <w:tcPr>
            <w:tcW w:w="1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5% Stockholders</w:t>
            </w:r>
          </w:p>
        </w:tc>
        <w:tc>
          <w:tcPr>
            <w:tcW w:w="44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Skorpios Trust(1)</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14,443,681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Redmile Group(2)</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4,166,975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Entities affiliated with RTW Investments, L.P.(3)</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3,870,981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LLC(4)</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3,034,649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Morgan Stanley &amp; Co.(5)</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2,448,214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94"/>
        </w:trPr>
        <w:tc>
          <w:tcPr>
            <w:tcW w:w="15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and Directors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Edward M. Kaye, M.D.(6)</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1,477,066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J. Tulipano, CPA(7)</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304,699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Barry S. Ticho, M.D., Ph.D., FACC(8)</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425,341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C. Burstein, CPA(9)</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55,982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Seth L. Harrison, M.D.(10)</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1,931,295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Adrian R. Krainer, Ph.D.(11)</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510,234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Arthur A. Levin, Ph.D.(12)</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90,441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Garry E. Menzel, Ph.D.(13)</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41,205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Julie Anne Smith(14)</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41,205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O. Tzianabos, Ph.D.(15)</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72,943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All current executive officers and directors as a group (12 persons)(17)</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5,607,471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beneficial ownership of less than one percent.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20" w:hanging="424"/>
        <w:spacing w:after="0" w:line="252"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Schedule 13D jointly filed by each of Blue Horizon Enterprise Ltd. (Blue Horizon), Ezbon International Limited (Ezbon), Skorpios Trust and Montrago Trustees Limited (Montrago Trustees) on June 30, 2021. Consists of (i) 6,905,121 shares of common stock held by Blue Horizon and (ii) 7,538,560 shares of common stock held by Ezbon. Blue Horizon and Ezbon are the direct holders of the shares covered by such Schedule 13D filing. Skorpios Trust is the sole owner of each of Blue Horizon and Ezbon and as a result may be deemed to be the beneficial owner of the securities held by each of Blue Horizon and Ezbon. Montrago Trustees is the corporate trustee of Skorpios Trust and as a result may be deemed to be a beneficial owner of the securities beneficially owned by Skorpios Trust. The address of each of Blue Horizon and Ezbon is Jipfa Building, 3</w:t>
      </w:r>
      <w:r>
        <w:rPr>
          <w:rFonts w:ascii="Arial" w:cs="Arial" w:eastAsia="Arial" w:hAnsi="Arial"/>
          <w:sz w:val="25"/>
          <w:szCs w:val="25"/>
          <w:color w:val="auto"/>
          <w:vertAlign w:val="superscript"/>
        </w:rPr>
        <w:t>rd</w:t>
      </w:r>
      <w:r>
        <w:rPr>
          <w:rFonts w:ascii="Arial" w:cs="Arial" w:eastAsia="Arial" w:hAnsi="Arial"/>
          <w:sz w:val="17"/>
          <w:szCs w:val="17"/>
          <w:color w:val="auto"/>
        </w:rPr>
        <w:t xml:space="preserve"> Floor, 142 Main Street, Road Town, Tortola, British Virgin Islands. The address of each of Montrago Trustees and Skorpios Trus is 195 Arch. Makarios III Ave., Neocleous House, 3030 Limassol, Cyprus.</w:t>
      </w:r>
    </w:p>
    <w:p>
      <w:pPr>
        <w:spacing w:after="0" w:line="3" w:lineRule="exact"/>
        <w:rPr>
          <w:rFonts w:ascii="Arial" w:cs="Arial" w:eastAsia="Arial" w:hAnsi="Arial"/>
          <w:sz w:val="17"/>
          <w:szCs w:val="17"/>
          <w:color w:val="auto"/>
        </w:rPr>
      </w:pPr>
    </w:p>
    <w:p>
      <w:pPr>
        <w:ind w:left="540" w:right="60" w:hanging="424"/>
        <w:spacing w:after="0" w:line="265"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Schedule 13G/A filed by Redmile Group, LLC (Redmile), Jeremy C. Green, the principal of Redmile, and Redmile Biopharma Investments III, L.P. on February 3, 2023. Consists of 4,166,975 shares of common stock held by Redmile. Redmile and Mr. Green may be deemed to have shared voting and dispositive power with respect to the shares held by Redmile. The principal address for Redmile and Mr. Green is One Letterman Drive, Building D, Suite D3-300, The Presidio of San Francisco, San Francisco, California 94129.</w:t>
      </w:r>
    </w:p>
    <w:p>
      <w:pPr>
        <w:ind w:left="540" w:right="20" w:hanging="424"/>
        <w:spacing w:after="0" w:line="23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Schedule 13G/A filed by RTW Investments, LP on February 14, 2023. Consists of 3,870,981 shares of common stock held by RTW Master Fund, Ltd. and one or more private funds (together, Funds) managed by RTW Investments, LP (Adviser). The Adviser, in its capacity as the investment manager of the Funds, has the power to vote and the power to direct the disposition of all shares held by the Funds. Roderick Wong is the Managing Partner of the Adviser. Each of the reporting persons in such Schedule 13D/A filing disclaims beneficial ownership of the Shares reported therein except to the extent of the reporting person’s pecuniary interest therein. The address of the Adviser is 40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Avenue, Floor 7, New York, New York 10014.</w:t>
      </w:r>
    </w:p>
    <w:p>
      <w:pPr>
        <w:ind w:left="540" w:right="280" w:hanging="424"/>
        <w:spacing w:after="0" w:line="265"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Schedule 13G/A filed by FMR LLC on February 9, 2023. Consists of 3,034,649 shares of common stock held by FMR LLC with the sole voting power with respect to 3,034,223 shares and the sole dispositive power of 3,034,649 shares. Abigail Johnson, a director and the Chairman and Chief Executive Officer of FMR LLC, and FMR LLC may be deemed to share voting power over the shares held by FMR LLC. The principal address for FMR LLC is 245 Summer Street, Boston, Massachusetts 02210.</w:t>
      </w:r>
    </w:p>
    <w:p>
      <w:pPr>
        <w:ind w:left="540" w:right="10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Schedule 13G filed by Morgan Stanley &amp; Co. (Morgan Stanley) and Morgan Stanley Capital Services LLC, a wholly-owned subsidiary of Morgan Stanley on February 10, 2023. Consists of 2,448,214 shares of common stock held by Morgan Stanley. The principal address for Morgan Stanley is 1585 Broadway, New York, New York 10036.</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(i) 25,000 shares of common stock and (ii) 1,452,066 shares underlying options to purchase common stock that are exercisable within 60 days of March 31, 2023.</w:t>
      </w:r>
    </w:p>
    <w:p>
      <w:pPr>
        <w:ind w:left="540" w:right="2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(i) 11,762 shares of common stock and (ii) 292,937 shares underlying options to purchase common stock that are exercisable within 60 days of March 31, 2023.</w:t>
      </w:r>
    </w:p>
    <w:p>
      <w:pPr>
        <w:ind w:left="540" w:right="14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(i) 130,895 shares of common stock and (ii) 294,446 shares underlying options to purchase common stock that are exercisable within 60 days of March 31, 2023.</w:t>
      </w: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55,982 shares underlying options to purchase common stock that are exercisable within 60 days of March 31, 2023.</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(i) 898,871 shares of common stock; (ii) 55,982 shares underlying options to purchase common stock that are exercisable within 60 days of March 31, 2023; and (iii) 976,442 shares of common stock held by Les Pommes LLC (Les Pommes), in which Dr. Harrison is the manager of Les Pommes and may be deemed to have sole voting and dispositive power over the shares held by Les Pommes. Dr. Harrison disclaims beneficial ownership of the shares held by Les Pommes except to the extent of his pecuniary interest therein.</w:t>
      </w:r>
    </w:p>
    <w:p>
      <w:pPr>
        <w:ind w:left="540" w:right="140" w:hanging="424"/>
        <w:spacing w:after="0" w:line="26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(i) 404,718 shares of common stock and (ii) 105,516 shares underlying options to purchase common stock that are exercisable within 60 days of March 31, 2023.</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60" w:hanging="424"/>
        <w:spacing w:after="0" w:line="25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 17,979 shares of common stock held of record by Arthur A. Levin, Ph.D., as trustee of the Butler-Levin Revocable Trust and (ii) 72,462 shares underlying options to purchase common stock that are exercisable within 60 days of March 31, 2023.</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41,205 shares underlying options to purchase common stock that are exercisable within 60 days of March 31,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41,205 shares underlying options to purchase common stock that are exercisable within 60 days of March 31,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72,943 shares underlying options to purchase common stock that are exercisable within 60 days of March 31,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77,344 shares underlying options to purchase common stock that are exercisable within 60 days of March 31, 2023.</w:t>
      </w:r>
    </w:p>
    <w:p>
      <w:pPr>
        <w:spacing w:after="0" w:line="9"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2,465,667 shares of common stock and (ii) 3,141,804 shares underlying options to purchase common stock that are exercisable within 60 days of March 31, 2023.</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320" w:top="459" w:right="5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regarding our executive officers as of April 17, 2023:</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380" w:type="dxa"/>
            <w:vAlign w:val="bottom"/>
          </w:tcPr>
          <w:p>
            <w:pPr>
              <w:spacing w:after="0"/>
              <w:rPr>
                <w:sz w:val="16"/>
                <w:szCs w:val="16"/>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Age</w:t>
            </w:r>
          </w:p>
        </w:tc>
        <w:tc>
          <w:tcPr>
            <w:tcW w:w="574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189"/>
        </w:trPr>
        <w:tc>
          <w:tcPr>
            <w:tcW w:w="4740" w:type="dxa"/>
            <w:vAlign w:val="bottom"/>
            <w:gridSpan w:val="2"/>
          </w:tcPr>
          <w:p>
            <w:pPr>
              <w:spacing w:after="0" w:line="189" w:lineRule="exact"/>
              <w:rPr>
                <w:sz w:val="20"/>
                <w:szCs w:val="20"/>
                <w:color w:val="auto"/>
              </w:rPr>
            </w:pPr>
            <w:r>
              <w:rPr>
                <w:rFonts w:ascii="Arial" w:cs="Arial" w:eastAsia="Arial" w:hAnsi="Arial"/>
                <w:sz w:val="18"/>
                <w:szCs w:val="18"/>
                <w:color w:val="auto"/>
              </w:rPr>
              <w:t>Edward M. Kaye, M.D.</w:t>
            </w:r>
          </w:p>
        </w:tc>
        <w:tc>
          <w:tcPr>
            <w:tcW w:w="3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6"/>
                <w:szCs w:val="16"/>
                <w:color w:val="auto"/>
              </w:rPr>
            </w:pPr>
          </w:p>
        </w:tc>
        <w:tc>
          <w:tcPr>
            <w:tcW w:w="5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Huw M. Nash, Ph.D.</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5740" w:type="dxa"/>
            <w:vAlign w:val="bottom"/>
          </w:tcPr>
          <w:p>
            <w:pPr>
              <w:spacing w:after="0"/>
              <w:rPr>
                <w:sz w:val="20"/>
                <w:szCs w:val="20"/>
                <w:color w:val="auto"/>
              </w:rPr>
            </w:pPr>
            <w:r>
              <w:rPr>
                <w:rFonts w:ascii="Arial" w:cs="Arial" w:eastAsia="Arial" w:hAnsi="Arial"/>
                <w:sz w:val="18"/>
                <w:szCs w:val="18"/>
                <w:color w:val="auto"/>
              </w:rPr>
              <w:t>Chief Operating Officer and Chief Business Officer</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Stephen J. Tulipano, CPA</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57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Barry S. Ticho, M.D., Ph.D., FACC</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574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Jonathan Allan</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57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90" w:lineRule="exact"/>
        <w:rPr>
          <w:sz w:val="20"/>
          <w:szCs w:val="20"/>
          <w:color w:val="auto"/>
        </w:rPr>
      </w:pPr>
    </w:p>
    <w:p>
      <w:pPr>
        <w:ind w:left="120" w:right="440"/>
        <w:spacing w:after="0" w:line="347" w:lineRule="auto"/>
        <w:rPr>
          <w:sz w:val="20"/>
          <w:szCs w:val="20"/>
          <w:color w:val="auto"/>
        </w:rPr>
      </w:pPr>
      <w:r>
        <w:rPr>
          <w:rFonts w:ascii="Arial" w:cs="Arial" w:eastAsia="Arial" w:hAnsi="Arial"/>
          <w:sz w:val="16"/>
          <w:szCs w:val="16"/>
          <w:b w:val="1"/>
          <w:bCs w:val="1"/>
          <w:color w:val="auto"/>
        </w:rPr>
        <w:t xml:space="preserve">Edward M. Kaye, M.D. </w:t>
      </w:r>
      <w:r>
        <w:rPr>
          <w:rFonts w:ascii="Arial" w:cs="Arial" w:eastAsia="Arial" w:hAnsi="Arial"/>
          <w:sz w:val="16"/>
          <w:szCs w:val="16"/>
          <w:color w:val="auto"/>
        </w:rPr>
        <w:t>has served as our Chief Executive Officer and a member of our Board of Directors since October 2017. Dr. Kaye’s</w:t>
      </w:r>
      <w:r>
        <w:rPr>
          <w:rFonts w:ascii="Arial" w:cs="Arial" w:eastAsia="Arial" w:hAnsi="Arial"/>
          <w:sz w:val="16"/>
          <w:szCs w:val="16"/>
          <w:b w:val="1"/>
          <w:bCs w:val="1"/>
          <w:color w:val="auto"/>
        </w:rPr>
        <w:t xml:space="preserve"> </w:t>
      </w:r>
      <w:r>
        <w:rPr>
          <w:rFonts w:ascii="Arial" w:cs="Arial" w:eastAsia="Arial" w:hAnsi="Arial"/>
          <w:sz w:val="16"/>
          <w:szCs w:val="16"/>
          <w:color w:val="auto"/>
        </w:rPr>
        <w:t>biographical information is set forth above under the heading “Proposal No. 1 Election of Class I Directors – Nominees to the Board of Directors.”</w:t>
      </w:r>
    </w:p>
    <w:p>
      <w:pPr>
        <w:spacing w:after="0" w:line="8"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b w:val="1"/>
          <w:bCs w:val="1"/>
          <w:color w:val="auto"/>
        </w:rPr>
        <w:t>Huw M. Nash, Ph.D.</w:t>
      </w:r>
      <w:r>
        <w:rPr>
          <w:rFonts w:ascii="Arial" w:cs="Arial" w:eastAsia="Arial" w:hAnsi="Arial"/>
          <w:sz w:val="16"/>
          <w:szCs w:val="16"/>
          <w:color w:val="auto"/>
        </w:rPr>
        <w:t>, has served as our Chief Operating Officer and Chief Business Officer since October 2017, and served as our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October 2014 to October 2017. Dr. Nash also served as an Entrepreneur-in-Residence at Apple Tree Partners, a venture capital firm. While at Apple Tree Partners, Dr. Nash was part of the founding group of entrepreneurs who worked on the original platform technology for Aileron Therapeutics, Inc., a biopharmaceutical company. Dr. Nash also served as Vice President of Corporate Development at Aileron Therapeutics, Inc. from 2005 to 2013. Prior to joining Aileron Therapeutics, Inc., Dr. Nash was a founding scientist of NeoGenesis Pharmaceuticals, Inc., a drug discovery company, where he served as Vice President of External Collaborations from 1997 to 2005 until its acquisition by Schering-Plough Corp. Dr. Nash holds a B.A. in Biochemical Sciences from Harvard College and a Ph.D. in Organic Chemistry from Harvard University.</w:t>
      </w:r>
    </w:p>
    <w:p>
      <w:pPr>
        <w:spacing w:after="0" w:line="53"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Stephen J. Tulipano, CPA</w:t>
      </w:r>
      <w:r>
        <w:rPr>
          <w:rFonts w:ascii="Arial" w:cs="Arial" w:eastAsia="Arial" w:hAnsi="Arial"/>
          <w:sz w:val="18"/>
          <w:szCs w:val="18"/>
          <w:color w:val="auto"/>
        </w:rPr>
        <w:t>, has served as our Chief Financial Officer since March 2019. From June 2014 to July 2018, Mr. Tulipano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Treasurer of Aldeyra Therapeutics, Inc., a biotechnology company. Previously, Mr. Tulipano was Chief Financial Officer and Secretary of Javelin Pharmaceuticals, Inc. Mr. Tulipano holds a B.S. from Salem State College and an M.B.A. from Suffolk University. He is a Certified Public Accountant.</w:t>
      </w:r>
    </w:p>
    <w:p>
      <w:pPr>
        <w:spacing w:after="0" w:line="7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b w:val="1"/>
          <w:bCs w:val="1"/>
          <w:color w:val="auto"/>
        </w:rPr>
        <w:t>Barry S. Ticho, M.D., Ph.D., FACC</w:t>
      </w:r>
      <w:r>
        <w:rPr>
          <w:rFonts w:ascii="Arial" w:cs="Arial" w:eastAsia="Arial" w:hAnsi="Arial"/>
          <w:sz w:val="18"/>
          <w:szCs w:val="18"/>
          <w:color w:val="auto"/>
        </w:rPr>
        <w:t>, has served as our Chief Medical Officer since October 2017. From March 2018 to March 2019, Dr. Ticho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Chief Executive Officer and as a member of the board of directors of Verve Therapeutics, Inc. From February 2016 to September 2017, Dr. Ticho served as Head of Cardiovascular and Metabolic Diseases at Moderna, Inc., a biotechnology company. From October 2013 to February 2016, Dr. Ticho served as Head of External Research and Development Innovation for the Cardiovascular and Metabolic Disease Research Unit at Pfizer, Inc., a pharmaceutical company. Previously, Dr. Ticho served as the Vice President of Clinical Development at Biogen Inc., a biopharmaceutical company. Dr. Ticho holds a B.A. in Biology from Haverford College and an M.D. and a Ph.D. in Biochemistry and Molecular Biology from the University of Chicago.</w:t>
      </w:r>
    </w:p>
    <w:p>
      <w:pPr>
        <w:spacing w:after="0" w:line="8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b w:val="1"/>
          <w:bCs w:val="1"/>
          <w:color w:val="auto"/>
        </w:rPr>
        <w:t>Jonathan Allan, J.D.</w:t>
      </w:r>
      <w:r>
        <w:rPr>
          <w:rFonts w:ascii="Arial" w:cs="Arial" w:eastAsia="Arial" w:hAnsi="Arial"/>
          <w:sz w:val="17"/>
          <w:szCs w:val="17"/>
          <w:color w:val="auto"/>
        </w:rPr>
        <w:t>, has served as our General Counsel since July 2022. In his role, Mr. Allan oversees all aspects of legal, including providing</w:t>
      </w:r>
      <w:r>
        <w:rPr>
          <w:rFonts w:ascii="Arial" w:cs="Arial" w:eastAsia="Arial" w:hAnsi="Arial"/>
          <w:sz w:val="17"/>
          <w:szCs w:val="17"/>
          <w:b w:val="1"/>
          <w:bCs w:val="1"/>
          <w:color w:val="auto"/>
        </w:rPr>
        <w:t xml:space="preserve"> </w:t>
      </w:r>
      <w:r>
        <w:rPr>
          <w:rFonts w:ascii="Arial" w:cs="Arial" w:eastAsia="Arial" w:hAnsi="Arial"/>
          <w:sz w:val="17"/>
          <w:szCs w:val="17"/>
          <w:color w:val="auto"/>
        </w:rPr>
        <w:t>leadership and guidance on all legal and compliance initiatives and serving as Compliance Officer and Corporate Secretary to Stoke’s Board of Directors. Prior to his promotion to that role, Mr. Allan served as our Deputy General Counsel from February 2021 to July 2022 and as our Interim General Counsel from November 2020 to February 2021. Mr. Allan has built his career providing legal support and counsel to life science and technology companies at various stages of growth and brings particular expertise in the areas of corporate governance, securities and public company reporting, corporate transactions, employment matters and intellectual property. Before joining Stoke, Mr. Allan was an associate in the corporate group at Fenwick &amp; West LLP, providing legal support to some of the world’s most innovative technology and life sciences companies. Prior to that, he served as a corporate associate at Kirkland &amp; Ellis LLP, where he advised a number of public and private clients in shareholder matters and corporate transactions. Mr. Allan is a member of the New York Bar Association. He holds his J.D. from The Ohio State University Moritz College of Law and a B.A. in business administration and marketing from Grace College.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provided to certain of our executive officers during the years ended December 31, 2022 and 2021. These executive officers, who include our principal executive officer and the two most highly-compensated executive officers (other than our principal executive officer) who were serving as executive officers at the end of the fiscal year ended December 31, 2022, were:</w:t>
      </w:r>
    </w:p>
    <w:p>
      <w:pPr>
        <w:spacing w:after="0" w:line="9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Edward M. Kaye, M.D.,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Stephen J. Tulipano, CPA, Chief Financial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Barry S. Ticho, M.D., Ph.D., FACC, Chief Medical Officer.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refer to these individuals as our “named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earned by our named executive officers during the years ended December 31, 2022 and 2021, all amounts are in dollars: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Non-equity</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3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Bonus(1)</w:t>
            </w:r>
          </w:p>
        </w:tc>
        <w:tc>
          <w:tcPr>
            <w:tcW w:w="960" w:type="dxa"/>
            <w:vAlign w:val="bottom"/>
            <w:gridSpan w:val="2"/>
            <w:vMerge w:val="continue"/>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9"/>
              </w:rPr>
              <w:t>Incentive Plan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Awards(2)</w:t>
            </w:r>
          </w:p>
        </w:tc>
        <w:tc>
          <w:tcPr>
            <w:tcW w:w="122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90"/>
              </w:rPr>
              <w:t>Compensation(3)</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Edward M. Kaye, M.D.</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2022</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596,083</w:t>
            </w: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32,293</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ind w:left="80"/>
              <w:spacing w:after="0" w:line="176" w:lineRule="exact"/>
              <w:rPr>
                <w:sz w:val="20"/>
                <w:szCs w:val="20"/>
                <w:color w:val="auto"/>
              </w:rPr>
            </w:pPr>
            <w:r>
              <w:rPr>
                <w:rFonts w:ascii="Arial" w:cs="Arial" w:eastAsia="Arial" w:hAnsi="Arial"/>
                <w:sz w:val="18"/>
                <w:szCs w:val="18"/>
                <w:color w:val="auto"/>
                <w:w w:val="87"/>
              </w:rPr>
              <w:t>4,817,310</w:t>
            </w: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290,636</w:t>
            </w: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12,200</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5,748,522</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567,698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15,612</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7,604,990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343,458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8,543,358</w:t>
            </w:r>
          </w:p>
        </w:tc>
        <w:tc>
          <w:tcPr>
            <w:tcW w:w="0" w:type="dxa"/>
            <w:vAlign w:val="bottom"/>
          </w:tcPr>
          <w:p>
            <w:pPr>
              <w:spacing w:after="0"/>
              <w:rPr>
                <w:sz w:val="1"/>
                <w:szCs w:val="1"/>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Stephen J. Tulipano, CPA</w:t>
            </w:r>
          </w:p>
        </w:tc>
        <w:tc>
          <w:tcPr>
            <w:tcW w:w="100" w:type="dxa"/>
            <w:vAlign w:val="bottom"/>
          </w:tcPr>
          <w:p>
            <w:pPr>
              <w:spacing w:after="0"/>
              <w:rPr>
                <w:sz w:val="17"/>
                <w:szCs w:val="17"/>
                <w:color w:val="auto"/>
              </w:rPr>
            </w:pPr>
          </w:p>
        </w:tc>
        <w:tc>
          <w:tcPr>
            <w:tcW w:w="5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2022</w:t>
            </w:r>
          </w:p>
        </w:tc>
        <w:tc>
          <w:tcPr>
            <w:tcW w:w="8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8"/>
              </w:rPr>
              <w:t>436,800</w:t>
            </w:r>
          </w:p>
        </w:tc>
        <w:tc>
          <w:tcPr>
            <w:tcW w:w="7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4"/>
              </w:rPr>
              <w:t>17,210</w:t>
            </w:r>
          </w:p>
        </w:tc>
        <w:tc>
          <w:tcPr>
            <w:tcW w:w="9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1,697,431</w:t>
            </w:r>
          </w:p>
        </w:tc>
        <w:tc>
          <w:tcPr>
            <w:tcW w:w="12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154,890</w:t>
            </w:r>
          </w:p>
        </w:tc>
        <w:tc>
          <w:tcPr>
            <w:tcW w:w="10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10,192</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2,316,523</w:t>
            </w:r>
          </w:p>
        </w:tc>
        <w:tc>
          <w:tcPr>
            <w:tcW w:w="0" w:type="dxa"/>
            <w:vAlign w:val="bottom"/>
          </w:tcPr>
          <w:p>
            <w:pPr>
              <w:spacing w:after="0"/>
              <w:rPr>
                <w:sz w:val="1"/>
                <w:szCs w:val="1"/>
                <w:color w:val="auto"/>
              </w:rPr>
            </w:pPr>
          </w:p>
        </w:tc>
      </w:tr>
      <w:tr>
        <w:trPr>
          <w:trHeight w:val="244"/>
        </w:trPr>
        <w:tc>
          <w:tcPr>
            <w:tcW w:w="47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2021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416,000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8,320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2,484,499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183,040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9,707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3,101,566</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Barry S. Ticho, M.D., Ph.D., FACC</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470,723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20,712</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1,697,431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186,407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10,984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2,386,257</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Medical Officer</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448,308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8,966</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2,484,499</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197,257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10,461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3,149,491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540" w:hanging="424"/>
        <w:spacing w:after="0" w:line="29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amounts in this column represent bonuses awarded at the discretion of our board of directors above the amounts earned by meeting our corporate performance objectives. For more information see “Non-equity Incentive Plan Awards and Bonus Awards” below.</w:t>
      </w:r>
    </w:p>
    <w:p>
      <w:pPr>
        <w:ind w:left="540" w:right="40" w:hanging="424"/>
        <w:spacing w:after="0" w:line="265"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amounts reported in the Option Awards column represent the grant date fair value of the stock options granted to the named executive officers during the years ended December 31, 2022 and 2021 as computed in accordance with ASC 718. The assumptions used in calculating the grant date fair value of the stock options reported in the Option Awards column are set forth in Note 9 to the audited consolidated financial statements included in Form 10-K. Note that the amounts reported in this column reflect the accounting cost for these stock options, and do not correspond to the actual economic value that may be received by the named executive officers from the options.</w:t>
      </w:r>
    </w:p>
    <w:p>
      <w:pPr>
        <w:ind w:left="540" w:hanging="424"/>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additional information regarding the non-equity incentive plan compensation, see section entitled “Non-equity Incentive Plan Awards.”</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reported reflect 401(k) contributions paid by us on behalf of such named executive officer.</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Peer Group</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Our compensation arrangements for our executive officers and non-employee directors are reviewed and approved periodically by our Compensation Committee. We use a peer group to provide a broad perspective on competitive pay levels and practices.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For our 2022 peer group, the Compensation Committee, with assistance from Aon, reviewed similar companies with respect to sector, stage of development and market capitalization. The 2022 peer group was ultimately chosen based on these characteristics and others including:</w:t>
      </w:r>
    </w:p>
    <w:p>
      <w:pPr>
        <w:spacing w:after="0" w:line="25"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Sector </w:t>
      </w:r>
      <w:r>
        <w:rPr>
          <w:rFonts w:ascii="Arial" w:cs="Arial" w:eastAsia="Arial" w:hAnsi="Arial"/>
          <w:sz w:val="18"/>
          <w:szCs w:val="18"/>
          <w:color w:val="auto"/>
        </w:rPr>
        <w:t>– Public Biotechnology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Stage of Development </w:t>
      </w:r>
      <w:r>
        <w:rPr>
          <w:rFonts w:ascii="Arial" w:cs="Arial" w:eastAsia="Arial" w:hAnsi="Arial"/>
          <w:sz w:val="16"/>
          <w:szCs w:val="16"/>
          <w:color w:val="auto"/>
        </w:rPr>
        <w:t>– Focus on Phase 1 to 2 clinical trial companies with emphasis on companies focused on gene and cell editing;</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Market Capitalization </w:t>
      </w:r>
      <w:r>
        <w:rPr>
          <w:rFonts w:ascii="Arial" w:cs="Arial" w:eastAsia="Arial" w:hAnsi="Arial"/>
          <w:sz w:val="18"/>
          <w:szCs w:val="18"/>
          <w:color w:val="auto"/>
        </w:rPr>
        <w:t>– $200 million to $2.1 billion market capitalization range;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Headcount </w:t>
      </w:r>
      <w:r>
        <w:rPr>
          <w:rFonts w:ascii="Arial" w:cs="Arial" w:eastAsia="Arial" w:hAnsi="Arial"/>
          <w:sz w:val="18"/>
          <w:szCs w:val="18"/>
          <w:color w:val="auto"/>
        </w:rPr>
        <w:t>– companies with under 400 employees;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Years Public </w:t>
      </w:r>
      <w:r>
        <w:rPr>
          <w:rFonts w:ascii="Arial" w:cs="Arial" w:eastAsia="Arial" w:hAnsi="Arial"/>
          <w:sz w:val="18"/>
          <w:szCs w:val="18"/>
          <w:color w:val="auto"/>
        </w:rPr>
        <w:t>– companies that have been public five years or less.</w:t>
      </w:r>
    </w:p>
    <w:p>
      <w:pPr>
        <w:spacing w:after="0" w:line="22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Based on the above market data, Aon compiled, and the Compensation Committee approved the updated peer group of companies for 2022, and this group was used to make the relevant compensation assessments for 2022 for director and executive compensation. Following are the companies included in this 2022 peer group:</w:t>
      </w:r>
    </w:p>
    <w:p>
      <w:pPr>
        <w:sectPr>
          <w:pgSz w:w="11900" w:h="16838" w:orient="portrait"/>
          <w:cols w:equalWidth="0" w:num="1">
            <w:col w:w="11100"/>
          </w:cols>
          <w:pgMar w:left="320" w:top="459" w:right="479" w:bottom="1440" w:gutter="0" w:footer="0" w:header="0"/>
        </w:sectPr>
      </w:pP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4D Molecular Therapeutics+</w:t>
      </w:r>
    </w:p>
    <w:p>
      <w:pPr>
        <w:spacing w:after="0" w:line="4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Alector+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Allogene Therapeutics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Allovir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Caribou Biosciences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Cullinan Oncology+</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Editas Medicine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Generation Bio Co.</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Homology Medicines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Krystal Biotech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Lineage Cell Therapeutics+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Meira GTx+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Poseida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BioSciences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REGENXBIO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Rocket 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TCR2 Therapeutics</w:t>
      </w:r>
    </w:p>
    <w:p>
      <w:pPr>
        <w:spacing w:after="0" w:line="415" w:lineRule="exact"/>
        <w:rPr>
          <w:sz w:val="20"/>
          <w:szCs w:val="20"/>
          <w:color w:val="auto"/>
        </w:rPr>
      </w:pPr>
    </w:p>
    <w:p>
      <w:pPr>
        <w:sectPr>
          <w:pgSz w:w="11900" w:h="16838" w:orient="portrait"/>
          <w:cols w:equalWidth="0" w:num="2">
            <w:col w:w="5280" w:space="720"/>
            <w:col w:w="5100"/>
          </w:cols>
          <w:pgMar w:left="320" w:top="459" w:right="479" w:bottom="1440" w:gutter="0" w:footer="0" w:header="0"/>
          <w:type w:val="continuous"/>
        </w:sectPr>
      </w:pPr>
    </w:p>
    <w:p>
      <w:pPr>
        <w:spacing w:after="0" w:line="38" w:lineRule="exact"/>
        <w:rPr>
          <w:sz w:val="20"/>
          <w:szCs w:val="20"/>
          <w:color w:val="auto"/>
        </w:rPr>
      </w:pPr>
    </w:p>
    <w:p>
      <w:pPr>
        <w:ind w:left="340" w:right="560" w:hanging="224"/>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New addition to peer group for 2022 to replace companies from the 2021 peer group based on changes in their market capitalization (Orchard Therapeutics, Passage Bio, Rubius Therapeutics) or by acquisition (Dicerna Pharmaceuticals, Translate Bio).</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Non-equity Incentive Plan Awards and Bonus Awards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Annual bonuses for our executive officers are based on the achievement of corporate and, for all of the executive officers other than our Chief Executive Officer, individual performance objectives. For 2022, the corporate performance objectives included advancing our Dravet program, advancing our autosomal dominant optic atrophy program, developing our pipeline, expanding our platform and its capabilities, initiating strategic corporate collaborations, and hiring, retaining and developing key talent. In January 2023, our Compensation Committee recommended awarding a 90% bonus in connection with the satisfaction of corporate goals, and an additional 10% to be allocated at the Board of Director’s discretion, based upon the extraordinary efforts of management in advancing our Dravet program through its trials. In February 2023, our Board of Directors determined to award bonuses ranging from 98.5% to 110% of target, with one individual receiving a larger portion of the allocated bonus pool based on the larger role such individual had in the year.</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2022 Fiscal Year-End Table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13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Vesting</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4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Options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Exercisable (#)</w:t>
            </w: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Unexercisable (#)</w:t>
            </w:r>
          </w:p>
        </w:tc>
        <w:tc>
          <w:tcPr>
            <w:tcW w:w="8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0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Edward M. Kaye, M.D.</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4/2/2018(1)</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10/17/2017</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6"/>
              </w:rPr>
              <w:t>637,801</w:t>
            </w: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0.60</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4/2/2028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12/12/2018(2)</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10/22/2018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380,562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87,820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12/12/2028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3/25/2020(3)</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3/25/2020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90,310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106,690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3/25/2030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3/2/2021(3)</w:t>
            </w:r>
          </w:p>
        </w:tc>
        <w:tc>
          <w:tcPr>
            <w:tcW w:w="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3/2/2021</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46,024</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154,776</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03/15/2022(3)</w:t>
            </w:r>
          </w:p>
        </w:tc>
        <w:tc>
          <w:tcPr>
            <w:tcW w:w="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03/15/2022</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57,750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250,250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03/15/2032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12/07/2022(3)</w:t>
            </w:r>
          </w:p>
        </w:tc>
        <w:tc>
          <w:tcPr>
            <w:tcW w:w="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12/07/2022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167,050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12/07/2032</w:t>
            </w:r>
          </w:p>
        </w:tc>
        <w:tc>
          <w:tcPr>
            <w:tcW w:w="0" w:type="dxa"/>
            <w:vAlign w:val="bottom"/>
          </w:tcPr>
          <w:p>
            <w:pPr>
              <w:spacing w:after="0"/>
              <w:rPr>
                <w:sz w:val="1"/>
                <w:szCs w:val="1"/>
                <w:color w:val="auto"/>
              </w:rPr>
            </w:pPr>
          </w:p>
        </w:tc>
      </w:tr>
      <w:tr>
        <w:trPr>
          <w:trHeight w:val="31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Stephen J. Tulipano, CPA</w:t>
            </w: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3/18/2019(1)</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3/15/2019</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104,152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75,845</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4.48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3/18/2029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3/25/2020(3)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3/25/2020</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27,500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32,500</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20.25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3/25/2030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3/2/2021(3)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3/2/2021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15,037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50,563</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60.00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3/2/2031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03/15/2022(3)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03/15/2022</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15,037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87,263</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20.34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03/15/2022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12/07/2022(3)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12/07/2022</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62,000</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7.07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12/07/2022</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28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Barry S. Ticho, M.D., Ph.D.,</w:t>
            </w: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4/2/2018(1)</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10/2/2017</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85,946</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4/2/2028</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FACC</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12/12/2018(2)</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10/22/2018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60,275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24,125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12/12/2028</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Medical Officer</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3/25/2020(3)</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3/25/2020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32,500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3/25/2030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3/2/2021(3)</w:t>
            </w:r>
          </w:p>
        </w:tc>
        <w:tc>
          <w:tcPr>
            <w:tcW w:w="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3/2/2021</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15,037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50,563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03/15/2022(3)</w:t>
            </w:r>
          </w:p>
        </w:tc>
        <w:tc>
          <w:tcPr>
            <w:tcW w:w="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03/15/2022</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20,137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87,263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03/15/2022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12/07/2022(3)</w:t>
            </w:r>
          </w:p>
        </w:tc>
        <w:tc>
          <w:tcPr>
            <w:tcW w:w="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12/07/2022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62,000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12/07/2022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00" w:hanging="424"/>
        <w:spacing w:after="0" w:line="287"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outstanding options were granted under our 2014 Plan, and 1/4th of the option vested on the one-year anniversary of the vesting commencement date and an additional 1/48th vests monthly thereafter, subject to the executive’s continued service to us. The options are also subject to double trigger acceleration as described in greater detail under “—Change in Control and Severance Agreements” below.</w:t>
      </w:r>
    </w:p>
    <w:p>
      <w:pPr>
        <w:spacing w:after="0" w:line="2" w:lineRule="exact"/>
        <w:rPr>
          <w:rFonts w:ascii="Arial" w:cs="Arial" w:eastAsia="Arial" w:hAnsi="Arial"/>
          <w:sz w:val="16"/>
          <w:szCs w:val="16"/>
          <w:color w:val="auto"/>
        </w:rPr>
      </w:pPr>
    </w:p>
    <w:p>
      <w:pPr>
        <w:ind w:left="540" w:right="140" w:hanging="424"/>
        <w:spacing w:after="0" w:line="265"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outstanding options were granted under our 2014 Plan, and 1/48th of the option vests on each one-month anniversary of the vesting commencement date, subject to the executive’s continued service to us. The options are also subject to double trigger acceleration as described in greater detail under “—Change in Control and Severance Agreements Change in Control and Severance Agreements” below.</w:t>
      </w:r>
    </w:p>
    <w:p>
      <w:pPr>
        <w:ind w:left="540" w:right="140" w:hanging="424"/>
        <w:spacing w:after="0" w:line="302"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outstanding options were granted under our 2019 Equity Incentive Plan, and 1/48th of the option vests on each one-month anniversary of the vesting commencement date, subject to the executive’s continued service to us. The options are also subject to double trigger acceleration as described in greater detail under “—Change in Control and Severance Agreements Change in Control and Severance Agreements” below.</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In October 2020, we entered into amended and restated employment agreements with each of our named executive officers that provide for “at-will” employment and include each named executive officer’s base salary and target discretionary annual incentive bonus opportunity. These agreements also provide for severance benefits upon certain involuntary terminations of employment, as described below. At the same time, we entered into change in control severance agreements with each of our named executive officers that provide for severance and acceleration benefits upon certain involuntary terminations of employment in connection with a change in control, as described below.</w:t>
      </w:r>
    </w:p>
    <w:p>
      <w:pPr>
        <w:spacing w:after="0" w:line="17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Pursuant to the employment agreements, upon a termination of each named executive officer’s employment without “cause” or for “good reason” (each as defined in the applicable executive’s employment agreement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as described below), subject to the executive’s execution and non-revocation of a release of claims in favor of the Company, the executive will be entitled to continued salary payments and Consolidated Omnibus Budget Reconciliation Act of 1985, or COBRA, reimbursement for 12 months following termination of employment, in the case of Dr. Kaye, and nine months following termination of employment, in the case of Dr. Ticho and Mr. Tulipano.</w:t>
      </w:r>
    </w:p>
    <w:p>
      <w:pPr>
        <w:spacing w:after="0" w:line="18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Each named executive officer will also be entitled to any earned but unpaid bonus for any performance periods that have been completed as of the date of such executive officer’s termination of employment, for any terminations of employment other than a termination of employment for cause.</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have also entered into employee invention assignment and confidentiality agreements with each of our named executive officers, which agreements include a 12-month post-termination non-solicitation covenant.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employment agreements “cause” generally means:</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fraud, embezzlement, or illegal misconduct in connection with each executive’s duties under their respective employment agreements;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commission of a felony involving fraud, dishonesty or breach of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willful misconduct or gross negligence in the performance of his duties;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breach of his employment agreement;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material breach of his Invention Assignment, Confidentiality and Non-Competition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employment agreements “good reason” generally means:</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Dr. Kaye, if he is not the Chief Executive Officer of the parent company following any Change in Control (as that term is defined in such person’s Change of Control and Severance Agreement) and for Dr. Ticho and Mr. Tulipano, if such executive does not report to the Chief Executive Officer of the parent company following any Change in Control (as that term is defined in such person’s Change of Control and Severance Agreement);</w:t>
      </w:r>
    </w:p>
    <w:p>
      <w:pPr>
        <w:spacing w:after="0" w:line="92"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provides services to us outside of a 50 mile radius from the then-current location;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or inaction by us that constitutes a material breach of such executive’s employment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Control and Severance Agreements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 connection with the amended and restated employment agreements entered into in October 2020, we have entered into Change in Control and Severance Agreements with each of our named executive officers.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Pursuant to the change in control and severance agreements, upon a termination of each named executive officer’s employment without “cause” or for “good reason” (each as defined in the applicable executive’s employment agreement and as described above) within a period commencing three months prior to a “change in control” (as defined in the Severance and Change in Control Agreement) and ending 12 months following such change in control, the officer will be entitled to:</w:t>
      </w:r>
    </w:p>
    <w:p>
      <w:pPr>
        <w:spacing w:after="0" w:line="92"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18 months of base salary for Dr. Kaye and 12 months of base salary for Mr. Tulipano and Dr. Ticho;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150% of the executive’s target bonus for Dr. Kaye and 100% of the executive’s target bonus for Mr. Tulipano and Dr. Ticho;</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11040"/>
          </w:cols>
          <w:pgMar w:left="320" w:top="459" w:right="5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COBRA premiums for continued health insurance (or equivalent cash payment, if applicable law so requires) for up to 18 months for Dr. Kaye and 12 months for Mr. Tulipano and Dr. Ticho;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full acceleration of each of the executive officer’s then-outstanding but unvested equity awards.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These severance and acceleration benefits are subject to the executive officer’s timely execution and non-revocation of a release of claims.</w:t>
      </w:r>
    </w:p>
    <w:p>
      <w:pPr>
        <w:spacing w:after="0" w:line="23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Each named executive officer will also be entitled to any earned but unpaid bonus for any performance periods that have been completed as of the date of such executive officer’s termination of employment, for any terminations of employment other than a termination of employment for cause.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 and 401(k).</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following table sets forth certain information, as of December 31, 2022, concerning securities authorized for issuance under all of our equity compensation plans: our 2014 Equity Incentive Plan (2014 Plan), which terminated when we adopted the 2019 Equity Incentive Plan (EIP), and the 2019 Employee Stock Purchase Plan (ESPP). There are no shares of common stock available for issuance under our 2014 Plan, but the 2014 Plan will continue to govern the terms of stock options granted thereunder.</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0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3"/>
          </w:tcPr>
          <w:p>
            <w:pPr>
              <w:jc w:val="center"/>
              <w:ind w:left="359"/>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Price of</w:t>
            </w:r>
          </w:p>
        </w:tc>
        <w:tc>
          <w:tcPr>
            <w:tcW w:w="5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80" w:type="dxa"/>
            <w:vAlign w:val="bottom"/>
            <w:gridSpan w:val="3"/>
          </w:tcPr>
          <w:p>
            <w:pPr>
              <w:jc w:val="center"/>
              <w:ind w:left="399"/>
              <w:spacing w:after="0" w:line="149" w:lineRule="exact"/>
              <w:rPr>
                <w:sz w:val="20"/>
                <w:szCs w:val="20"/>
                <w:color w:val="auto"/>
              </w:rPr>
            </w:pPr>
            <w:r>
              <w:rPr>
                <w:rFonts w:ascii="Arial" w:cs="Arial" w:eastAsia="Arial" w:hAnsi="Arial"/>
                <w:sz w:val="14"/>
                <w:szCs w:val="14"/>
                <w:b w:val="1"/>
                <w:bCs w:val="1"/>
                <w:color w:val="auto"/>
                <w:w w:val="92"/>
              </w:rPr>
              <w:t>Outstanding</w:t>
            </w:r>
          </w:p>
        </w:tc>
        <w:tc>
          <w:tcPr>
            <w:tcW w:w="5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Options,</w:t>
            </w:r>
          </w:p>
        </w:tc>
        <w:tc>
          <w:tcPr>
            <w:tcW w:w="50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Warrants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8"/>
              </w:rPr>
              <w:t>Warrants</w:t>
            </w:r>
          </w:p>
        </w:tc>
        <w:tc>
          <w:tcPr>
            <w:tcW w:w="5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71"/>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5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50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29"/>
        </w:trPr>
        <w:tc>
          <w:tcPr>
            <w:tcW w:w="5740" w:type="dxa"/>
            <w:vAlign w:val="bottom"/>
            <w:gridSpan w:val="3"/>
            <w:vMerge w:val="continue"/>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(a)</w:t>
            </w: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2"/>
              <w:spacing w:after="0" w:line="129" w:lineRule="exact"/>
              <w:rPr>
                <w:sz w:val="20"/>
                <w:szCs w:val="20"/>
                <w:color w:val="auto"/>
              </w:rPr>
            </w:pPr>
            <w:r>
              <w:rPr>
                <w:rFonts w:ascii="Arial" w:cs="Arial" w:eastAsia="Arial" w:hAnsi="Arial"/>
                <w:sz w:val="14"/>
                <w:szCs w:val="14"/>
                <w:b w:val="1"/>
                <w:bCs w:val="1"/>
                <w:color w:val="auto"/>
              </w:rPr>
              <w:t>(b)</w:t>
            </w:r>
          </w:p>
        </w:tc>
        <w:tc>
          <w:tcPr>
            <w:tcW w:w="5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holders(1)</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8,376,085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18.28</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1,951,924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8,376,085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1,951,924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line="255"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992,321 shares available for issuance under the EIP, which plan permits the grant of incentive and non-qualified stock options, stock appreciation rights, restricted stock, stock awards and restricted stock units; and 959,603 shares available for issuance under the ESPP. The EIP and ESPP each contain an “evergreen” provision, pursuant to which on January 1st of each year we automatically added 4% and 1% of our shares of common stock outstanding on the preceding December 31st to the shares reserved for issuance, respectively. In addition, pursuant to a “pour over” provision in our EIP, options that were cancelled, expired or terminated under the 2014 Plan were added to the number of shares reserved for issuance under our EIP.</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229"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with our directors and executive officers, including those discussed in the sections entitled “Management” and “Executive Compensation,” the following is a description of each transaction since January 1, 2022 and each currently proposed transaction in which:</w:t>
      </w:r>
    </w:p>
    <w:p>
      <w:pPr>
        <w:spacing w:after="0" w:line="7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and 1% of our total assets;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 affiliate or immediate family member of the foregoing persons, had or will have a direct or indirect material interest.</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Our Board has adopted a written Related-Party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(or the committee composed solely of independent directors, if applicable) for review, consideration and approval. In approving or rejecting any such proposal, we expect that our Audit Committee (or the committee composed solely of independent directors, if applicable) will consider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own more than 10% of a registered class of our equity securities, to file reports of ownership on Forms 3, 4 and 5 with the SEC. Executive officers, directors and greater than 10% stockholders are required to furnish us with copies of all Forms 3, 4 and 5 they file. Based solely on our review of the copies of such forms we have received and written representations from certain reporting persons that they filed all required reports, we believe that all of our executive officers, directors and greater than 10% stockholders complied on a timely basis with all Section 16(a) filing requirements applicable to them with respect to transactions during 2022.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Proposals to be Presented at Next Annual Meeting</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i w:val="1"/>
          <w:iCs w:val="1"/>
          <w:color w:val="auto"/>
        </w:rPr>
        <w:t xml:space="preserve">Requirements for Stockholder Proposals to be Brought Before an Annual Meeting. </w:t>
      </w:r>
      <w:r>
        <w:rPr>
          <w:rFonts w:ascii="Arial" w:cs="Arial" w:eastAsia="Arial" w:hAnsi="Arial"/>
          <w:sz w:val="18"/>
          <w:szCs w:val="18"/>
          <w:color w:val="auto"/>
        </w:rPr>
        <w:t>Our bylaws provide that for stockholder nominations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other proposals to be considered at an annual meeting of stockholders, the stockholder must give timely notice thereof in writing to the Corporate Secretary at Stoke Therapeutics, Inc., 45 Wiggins Avenue, Bedford, MA 01730.</w:t>
      </w:r>
    </w:p>
    <w:p>
      <w:pPr>
        <w:spacing w:after="0" w:line="184"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To be timely for our Company’s annual meeting of stockholders to be held in 2024 (2024 Annual Meeting), a stockholder’s notice must be delivered to or mailed and received by our Corporate Secretary at our principal executive offices not earlier than the close of business on February 14, 2024 and not later than the close of business on March 15, 2024. A stockholder’s notice to the Corporate Secretary must set forth as to each matter the stockholder proposes to bring before the 2024 Annual Meeting the information required by applicable law and our bylaws. However, if the date of the 2024 Annual Meeting is more than 30 days before or more than 60 days after the one-year anniversary of the date of our 2023 Annual Meeting, for the stockholder notice to be timely, it must be delivered to the Corporate Secretary at our principal executive offices (1) not earlier than the close of business on the 120th day prior to the currently proposed annual meeting and (2) not later than the close of business on the later of the 90th day prior to such annual meeting or the close of business on the 10th day following the day on which public announcement of the date of such meeting is first made by us. To comply with our bylaws as well as the universal proxy rules, stockholders who intend to solicit proxies in support of director nominees other than our nominees for 2024 Annual Meeting must ensure that our Corporate Secretary receives written notice that sets forth all information required by our bylaws and by Rule 14a-19(b) under the Exchange Act within the time frames set forth above.</w:t>
      </w:r>
    </w:p>
    <w:p>
      <w:pPr>
        <w:spacing w:after="0" w:line="17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i w:val="1"/>
          <w:iCs w:val="1"/>
          <w:color w:val="auto"/>
        </w:rPr>
        <w:t xml:space="preserve">Requirements for Stockholder Proposals to be Considered for Inclusion in our Proxy Materials. </w:t>
      </w:r>
      <w:r>
        <w:rPr>
          <w:rFonts w:ascii="Arial" w:cs="Arial" w:eastAsia="Arial" w:hAnsi="Arial"/>
          <w:sz w:val="16"/>
          <w:szCs w:val="16"/>
          <w:color w:val="auto"/>
        </w:rPr>
        <w:t>Stockholder proposals submitted pursuant to Rule 14a-8</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Exchange Act and intended to be presented at our 2024 Annual Meeting must be received by us not later than December 28, 2023 in order to be considered for inclusion in our proxy materials for that meeting. A stockholder’s notice to the Corporate Secretary must set forth as to each matter the stockholder proposes to bring before the 2024 Annual Meeting the information required by applicable law and our bylaws.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We will mail without charge, upon written request, a copy of our Annual Report on Form 10-K for the year ended December 31, 2022, including the financial statements and list of exhibits, and any exhibit specifically requested. Requests should be sent to:</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Stoke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45 Wiggins Avenue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Bedford, MA 01730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Attn: Investor Relations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Annual Report on Form 10-K is also available at https://investor.stoketherapeutics.com/financials-and-sec-filings.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 - Stockholders Sharing the Same Address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spacing w:after="0" w:line="187" w:lineRule="exact"/>
        <w:rPr>
          <w:sz w:val="20"/>
          <w:szCs w:val="20"/>
          <w:color w:val="auto"/>
        </w:rPr>
      </w:pPr>
    </w:p>
    <w:p>
      <w:pPr>
        <w:jc w:val="both"/>
        <w:ind w:left="120" w:right="60"/>
        <w:spacing w:after="0" w:line="287" w:lineRule="auto"/>
        <w:rPr>
          <w:sz w:val="20"/>
          <w:szCs w:val="20"/>
          <w:color w:val="auto"/>
        </w:rPr>
      </w:pPr>
      <w:r>
        <w:rPr>
          <w:rFonts w:ascii="Arial" w:cs="Arial" w:eastAsia="Arial" w:hAnsi="Arial"/>
          <w:sz w:val="16"/>
          <w:szCs w:val="16"/>
          <w:color w:val="auto"/>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Annual Report on Form 10-K and other proxy materials will be delivered to multiple stockholders sharing an address unless contrary instructions have been received</w:t>
      </w:r>
    </w:p>
    <w:p>
      <w:pPr>
        <w:spacing w:after="0" w:line="2"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from one or more of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their broker. Stockholders may revoke their consent at any time by contacting American Stock Transfer &amp; Trust Company, LLC, through their website at www.astfinancial.com or by phone at (800) 937-5449.</w:t>
      </w:r>
    </w:p>
    <w:p>
      <w:pPr>
        <w:spacing w:after="0" w:line="176"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Upon written or oral request, we will undertake to promptly deliver a separate copy of the Notice of Internet Availability and, if applicable, Annual Report on Form 10-K and other proxy materials to any stockholder at a shared address to which a single copy of any of those documents was delivered. To receive a separate copy of the Notice of Internet Availability and, if applicable, Annual Report on Form 10-K and other proxy materials, you may write our Investor Relations Department at Stoke Therapeutics, Inc., 45 Wiggins Avenue, Bedford, MA 01730, Attn: Investor Relations, submit a request on our website at https://www.stoketherapeutics.com/contact-us/ or calling (781) 303-8302.</w:t>
      </w:r>
    </w:p>
    <w:p>
      <w:pPr>
        <w:spacing w:after="0" w:line="176"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Any stockholders who share the same address and currently receive multiple copies of our Notice of Internet Availability or Annual Report on Form 10-K and other proxy materials who wish to receive only one copy in the future can contact their bank, broker or other holder of record to request information about “householding” or our Investor Relations Department at the address or telephone number listed above.</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Board of Directors does not presently intend to bring any other business before the meeting and, so far as is known to the Board of Directors,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STOKE THERAPEUTICS, INC.</w:t>
      </w:r>
    </w:p>
    <w:p>
      <w:pPr>
        <w:spacing w:after="0" w:line="207" w:lineRule="exact"/>
        <w:rPr>
          <w:sz w:val="20"/>
          <w:szCs w:val="20"/>
          <w:color w:val="auto"/>
        </w:rPr>
      </w:pPr>
    </w:p>
    <w:p>
      <w:pPr>
        <w:ind w:left="120" w:right="700" w:firstLine="440"/>
        <w:spacing w:after="0" w:line="282" w:lineRule="auto"/>
        <w:rPr>
          <w:sz w:val="20"/>
          <w:szCs w:val="20"/>
          <w:color w:val="auto"/>
        </w:rPr>
      </w:pPr>
      <w:r>
        <w:rPr>
          <w:rFonts w:ascii="Arial" w:cs="Arial" w:eastAsia="Arial" w:hAnsi="Arial"/>
          <w:sz w:val="18"/>
          <w:szCs w:val="18"/>
          <w:color w:val="auto"/>
        </w:rPr>
        <w:t>Stoke Therapeutics, Inc. (hereinafter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 a corporation organized and existing under and by virtue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 does hereby certify as follows:</w:t>
      </w:r>
    </w:p>
    <w:p>
      <w:pPr>
        <w:spacing w:after="0" w:line="166" w:lineRule="exact"/>
        <w:rPr>
          <w:sz w:val="20"/>
          <w:szCs w:val="20"/>
          <w:color w:val="auto"/>
        </w:rPr>
      </w:pPr>
    </w:p>
    <w:p>
      <w:pPr>
        <w:ind w:left="120" w:right="200" w:firstLine="436"/>
        <w:spacing w:after="0" w:line="286" w:lineRule="auto"/>
        <w:tabs>
          <w:tab w:leader="none" w:pos="87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That the name of this Corporation is Stoke Therapeutics, Inc., and that this Corporation was originally incorporated pursuant to the General Corporation Law on June 13, 2014 under the name ASOthera Pharmaceuticals, Inc. The Restated Certificate of Incorporation of the Corporation was filed with the Secretary of State of the State of Delaware on June 21, 2019, as amended (the “</w:t>
      </w:r>
      <w:r>
        <w:rPr>
          <w:rFonts w:ascii="Arial" w:cs="Arial" w:eastAsia="Arial" w:hAnsi="Arial"/>
          <w:sz w:val="17"/>
          <w:szCs w:val="17"/>
          <w:b w:val="1"/>
          <w:bCs w:val="1"/>
          <w:color w:val="auto"/>
        </w:rPr>
        <w:t>Restated Charter</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880" w:hanging="3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Amendment to Article VII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20" w:hanging="413"/>
        <w:spacing w:after="0"/>
        <w:tabs>
          <w:tab w:leader="none" w:pos="15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Article VII of the Restated Charter is hereby amended and restated in its entirety as follows: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VII: LIMITATION OF LIABILITY</w:t>
      </w:r>
    </w:p>
    <w:p>
      <w:pPr>
        <w:spacing w:after="0" w:line="225" w:lineRule="exact"/>
        <w:rPr>
          <w:sz w:val="20"/>
          <w:szCs w:val="20"/>
          <w:color w:val="auto"/>
        </w:rPr>
      </w:pPr>
    </w:p>
    <w:p>
      <w:pPr>
        <w:ind w:left="560" w:right="40" w:firstLine="419"/>
        <w:spacing w:after="0" w:line="258" w:lineRule="auto"/>
        <w:tabs>
          <w:tab w:leader="none" w:pos="1523"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To the fullest extent permitted by law, neither a director of the Corporation nor an officer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personally liable to the Corporation or its stockholders for monetary damages for breach of fiduciary duty as a director or officer, as applicable. Without limiting the effect of the preceding sentence, if the General Corporation Law is hereafter amended to authorize the further elimination or limitation of the liability of a director or officer, then the liability of a director or officer of the Corporation shall be eliminated or limited to the fullest extent permitted by the General Corporation Law, as so amended.</w:t>
      </w:r>
    </w:p>
    <w:p>
      <w:pPr>
        <w:spacing w:after="0" w:line="75" w:lineRule="exact"/>
        <w:rPr>
          <w:rFonts w:ascii="Arial" w:cs="Arial" w:eastAsia="Arial" w:hAnsi="Arial"/>
          <w:sz w:val="18"/>
          <w:szCs w:val="18"/>
          <w:b w:val="1"/>
          <w:bCs w:val="1"/>
          <w:color w:val="auto"/>
        </w:rPr>
      </w:pPr>
    </w:p>
    <w:p>
      <w:pPr>
        <w:ind w:left="560" w:right="120" w:firstLine="419"/>
        <w:spacing w:after="0" w:line="314" w:lineRule="auto"/>
        <w:tabs>
          <w:tab w:leader="none" w:pos="1523"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Rights</w:t>
      </w:r>
      <w:r>
        <w:rPr>
          <w:rFonts w:ascii="Arial" w:cs="Arial" w:eastAsia="Arial" w:hAnsi="Arial"/>
          <w:sz w:val="16"/>
          <w:szCs w:val="16"/>
          <w:color w:val="auto"/>
        </w:rPr>
        <w:t>. Neither any amendment nor repeal of this Article VII, nor the adoption of any provision of this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inconsistent with this Article VII, shall eliminate, reduce or otherwise adversely affect any limitation on the personal liability of a director or officer of the Corporation existing at the time of such amendment, repeal or adoption of such an inconsistent provision.”</w:t>
      </w:r>
    </w:p>
    <w:p>
      <w:pPr>
        <w:spacing w:after="0" w:line="145" w:lineRule="exact"/>
        <w:rPr>
          <w:rFonts w:ascii="Arial" w:cs="Arial" w:eastAsia="Arial" w:hAnsi="Arial"/>
          <w:sz w:val="16"/>
          <w:szCs w:val="16"/>
          <w:b w:val="1"/>
          <w:bCs w:val="1"/>
          <w:color w:val="auto"/>
        </w:rPr>
      </w:pPr>
    </w:p>
    <w:p>
      <w:pPr>
        <w:ind w:left="120" w:firstLine="436"/>
        <w:spacing w:after="0" w:line="308" w:lineRule="auto"/>
        <w:tabs>
          <w:tab w:leader="none" w:pos="87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That the foregoing amendment was duly adopted by the Board of Directors of the Corporation in accordance with Sections 141 and 242 of the General Corporation Law and was approved by the holders of the requisite number of shares of capital stock of the Corporation.</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w w:val="94"/>
              </w:rPr>
              <w:t xml:space="preserve">IN WITNESS WHEREOF, </w:t>
            </w:r>
            <w:r>
              <w:rPr>
                <w:rFonts w:ascii="Arial" w:cs="Arial" w:eastAsia="Arial" w:hAnsi="Arial"/>
                <w:sz w:val="18"/>
                <w:szCs w:val="18"/>
                <w:color w:val="auto"/>
                <w:w w:val="94"/>
              </w:rPr>
              <w:t>the undersigned has executed this Certificate of Amendment on this [  ] day of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2023.</w:t>
            </w: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5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Edward M. Kaye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100"/>
          </w:cols>
          <w:pgMar w:left="320" w:top="459" w:right="47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2"/>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decimal"/>
      <w:start w:val="1"/>
    </w:lvl>
  </w:abstractNum>
  <w:abstractNum w:abstractNumId="37">
    <w:nsid w:val="5C482A97"/>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2023-04-17T15:14:12Z</dcterms:created>
  <dcterms:modified xsi:type="dcterms:W3CDTF">2023-04-17T15:14:12Z</dcterms:modified>
</cp:coreProperties>
</file>