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72026_080716.xml.htm"/>
      <w:bookmarkStart w:id="1" w:name="ksform407172026_0807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Harrison Seth Loring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STOKE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WIGGINS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Stoke Therapeutics, Inc.</w:t>
              </w:r>
            </w:hyperlink>
            <w:r>
              <w:rPr/>
              <w:t xml:space="preserve"> [ </w:t>
            </w:r>
            <w:r>
              <w:rPr>
                <w:rFonts w:ascii="Times;serif" w:hAnsi="Times;serif"/>
                <w:color w:val="0000FF"/>
                <w:sz w:val="24"/>
                <w:shd w:fill="FFFFFF" w:val="clear"/>
              </w:rPr>
              <w:t>STOK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4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29,555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29,555</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29,555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(3)</w:t>
            </w:r>
            <w:r>
              <w:rPr/>
              <w:t xml:space="preserve"> </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26.53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14,777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26.53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14,777</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(3)</w:t>
            </w:r>
            <w:r>
              <w:rPr/>
              <w:t xml:space="preserve"> </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40.37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40.37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11,650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(3)</w:t>
            </w:r>
            <w:r>
              <w:rPr/>
              <w:t xml:space="preserve"> </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12.96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06/06/2032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12.96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06/06/2032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(3)</w:t>
            </w:r>
            <w:r>
              <w:rPr/>
              <w:t xml:space="preserve"> </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12.46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19,441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19,441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12.46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19,441</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19,441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19,441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(3)</w:t>
            </w:r>
            <w:r>
              <w:rPr/>
              <w:t xml:space="preserve"> </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16.41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16.41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7,639</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(3)</w:t>
            </w:r>
            <w:r>
              <w:rPr/>
              <w:t xml:space="preserve"> </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29,747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29,747</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29,747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(3)</w:t>
            </w:r>
            <w:r>
              <w:rPr/>
              <w:t xml:space="preserve"> </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29.46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17,786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29.46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17,786</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17,786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(3)</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represents a gift, for no consideration, of shares of the Issuer's Common Stock, which is exempt from short-swing profit liability pursuant to Rule 16b-5 under the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is fully vested and exercisable. Pursuant to the grant agreement between the Issuer and the reporting person, the award became fully vested on March 21,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directly held by the East Pillar 2026 Irrevocable Trust (the "Trust"). The reporting person is a member of the board of managers of the Trust's trustee and may be deemed to exercise voting discretion, as well as shared investment discretion, in such capacity. The reporting person and certain of his immediate family members are beneficiaries of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is fully vested and exercisable. Pursuant to the grant agreement between the Issuer and the reporting person, the award became fully vested on June 3,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option is fully vested and exercisable. Pursuant to the grant agreement between the Issuer and the reporting person, the award became fully vested on June 8,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option is fully vested and exercisable. Pursuant to the grant agreement between the Issuer and the reporting person, the award became fully vested on June 7,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option is fully vested and exercisable. Pursuant to the grant agreement between the Issuer and the reporting person, the award became fully vested on June 13,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option is fully vested and exercisable. Pursuant to the grant agreement between the Issuer and the reporting person, the award became fully vested on June 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option is fully vested and exercisable. Pursuant to the grant agreement between the Issuer and the reporting person, the award became fully vested on June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option shall vest in full on the earlier of: (i) June 3, 2027 or (ii) the date of the Issuer's next annual meeting of its stockholders, subject to the reporting person's continued service to the Issuer on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Allan,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4955" TargetMode="External"/><Relationship Id="rId5" Type="http://schemas.openxmlformats.org/officeDocument/2006/relationships/hyperlink" Target="http://www.sec.gov/cgi-bin/browse-edgar?action=getcompany&amp;CIK=0001623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1182</Words>
  <Characters>6159</Characters>
  <CharactersWithSpaces>7151</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