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As Filed with the</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Securities and Exchange Commission on June 7, 2019.</w:t>
      </w:r>
    </w:p>
    <w:p>
      <w:pPr>
        <w:jc w:val="right"/>
        <w:spacing w:after="0"/>
        <w:rPr>
          <w:sz w:val="20"/>
          <w:szCs w:val="20"/>
          <w:color w:val="auto"/>
        </w:rPr>
      </w:pPr>
      <w:r>
        <w:rPr>
          <w:rFonts w:ascii="Arial" w:cs="Arial" w:eastAsia="Arial" w:hAnsi="Arial"/>
          <w:sz w:val="13"/>
          <w:szCs w:val="13"/>
          <w:b w:val="1"/>
          <w:bCs w:val="1"/>
          <w:color w:val="auto"/>
        </w:rPr>
        <w:t>Registration No. 333-231700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173355</wp:posOffset>
            </wp:positionH>
            <wp:positionV relativeFrom="paragraph">
              <wp:posOffset>32385</wp:posOffset>
            </wp:positionV>
            <wp:extent cx="6909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39"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UNITED STATES</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AND EXCHANGE COMMISSION</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85725</wp:posOffset>
            </wp:positionV>
            <wp:extent cx="1456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22"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AMENDMENT NO. 1</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to</w:t>
      </w:r>
    </w:p>
    <w:p>
      <w:pPr>
        <w:jc w:val="center"/>
        <w:ind w:right="-259"/>
        <w:spacing w:after="0" w:line="238" w:lineRule="auto"/>
        <w:rPr>
          <w:sz w:val="20"/>
          <w:szCs w:val="20"/>
          <w:color w:val="auto"/>
        </w:rPr>
      </w:pPr>
      <w:r>
        <w:rPr>
          <w:rFonts w:ascii="Arial" w:cs="Arial" w:eastAsia="Arial" w:hAnsi="Arial"/>
          <w:sz w:val="21"/>
          <w:szCs w:val="21"/>
          <w:b w:val="1"/>
          <w:bCs w:val="1"/>
          <w:color w:val="auto"/>
        </w:rPr>
        <w:t>FORM S-1</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REGISTRATION STATEMENT</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i w:val="1"/>
          <w:iCs w:val="1"/>
          <w:color w:val="auto"/>
        </w:rPr>
        <w:t>UNDER</w:t>
      </w:r>
    </w:p>
    <w:p>
      <w:pPr>
        <w:spacing w:after="0" w:line="5"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85725</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1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STOKE THERAPEUTICS, INC.</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92075</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46" w:lineRule="exact"/>
        <w:rPr>
          <w:sz w:val="24"/>
          <w:szCs w:val="24"/>
          <w:color w:val="auto"/>
        </w:rPr>
      </w:pPr>
    </w:p>
    <w:tbl>
      <w:tblPr>
        <w:tblLayout w:type="fixed"/>
        <w:tblInd w:w="1160" w:type="dxa"/>
        <w:tblCellMar>
          <w:top w:w="0" w:type="dxa"/>
          <w:left w:w="0" w:type="dxa"/>
          <w:bottom w:w="0" w:type="dxa"/>
          <w:right w:w="0" w:type="dxa"/>
        </w:tblCellMar>
      </w:tblPr>
      <w:tr>
        <w:trPr>
          <w:trHeight w:val="202"/>
        </w:trPr>
        <w:tc>
          <w:tcPr>
            <w:tcW w:w="2840" w:type="dxa"/>
            <w:vAlign w:val="bottom"/>
          </w:tcPr>
          <w:p>
            <w:pPr>
              <w:jc w:val="center"/>
              <w:ind w:right="847"/>
              <w:spacing w:after="0"/>
              <w:rPr>
                <w:sz w:val="20"/>
                <w:szCs w:val="20"/>
                <w:color w:val="auto"/>
              </w:rPr>
            </w:pPr>
            <w:r>
              <w:rPr>
                <w:rFonts w:ascii="Arial" w:cs="Arial" w:eastAsia="Arial" w:hAnsi="Arial"/>
                <w:sz w:val="17"/>
                <w:szCs w:val="17"/>
                <w:b w:val="1"/>
                <w:bCs w:val="1"/>
                <w:color w:val="auto"/>
              </w:rPr>
              <w:t>Delaware</w:t>
            </w:r>
          </w:p>
        </w:tc>
        <w:tc>
          <w:tcPr>
            <w:tcW w:w="3720" w:type="dxa"/>
            <w:vAlign w:val="bottom"/>
          </w:tcPr>
          <w:p>
            <w:pPr>
              <w:jc w:val="center"/>
              <w:spacing w:after="0"/>
              <w:rPr>
                <w:sz w:val="20"/>
                <w:szCs w:val="20"/>
                <w:color w:val="auto"/>
              </w:rPr>
            </w:pPr>
            <w:r>
              <w:rPr>
                <w:rFonts w:ascii="Arial" w:cs="Arial" w:eastAsia="Arial" w:hAnsi="Arial"/>
                <w:sz w:val="17"/>
                <w:szCs w:val="17"/>
                <w:b w:val="1"/>
                <w:bCs w:val="1"/>
                <w:color w:val="auto"/>
              </w:rPr>
              <w:t>2834</w:t>
            </w:r>
          </w:p>
        </w:tc>
        <w:tc>
          <w:tcPr>
            <w:tcW w:w="2400" w:type="dxa"/>
            <w:vAlign w:val="bottom"/>
          </w:tcPr>
          <w:p>
            <w:pPr>
              <w:jc w:val="center"/>
              <w:ind w:left="927"/>
              <w:spacing w:after="0"/>
              <w:rPr>
                <w:sz w:val="20"/>
                <w:szCs w:val="20"/>
                <w:color w:val="auto"/>
              </w:rPr>
            </w:pPr>
            <w:r>
              <w:rPr>
                <w:rFonts w:ascii="Arial" w:cs="Arial" w:eastAsia="Arial" w:hAnsi="Arial"/>
                <w:sz w:val="17"/>
                <w:szCs w:val="17"/>
                <w:b w:val="1"/>
                <w:bCs w:val="1"/>
                <w:color w:val="auto"/>
              </w:rPr>
              <w:t>47-1144582</w:t>
            </w:r>
          </w:p>
        </w:tc>
      </w:tr>
      <w:tr>
        <w:trPr>
          <w:trHeight w:val="147"/>
        </w:trPr>
        <w:tc>
          <w:tcPr>
            <w:tcW w:w="2840" w:type="dxa"/>
            <w:vAlign w:val="bottom"/>
          </w:tcPr>
          <w:p>
            <w:pPr>
              <w:jc w:val="center"/>
              <w:ind w:right="847"/>
              <w:spacing w:after="0" w:line="147" w:lineRule="exact"/>
              <w:rPr>
                <w:sz w:val="20"/>
                <w:szCs w:val="20"/>
                <w:color w:val="auto"/>
              </w:rPr>
            </w:pPr>
            <w:r>
              <w:rPr>
                <w:rFonts w:ascii="Arial" w:cs="Arial" w:eastAsia="Arial" w:hAnsi="Arial"/>
                <w:sz w:val="13"/>
                <w:szCs w:val="13"/>
                <w:b w:val="1"/>
                <w:bCs w:val="1"/>
                <w:color w:val="auto"/>
              </w:rPr>
              <w:t>(State or other jurisdiction of</w:t>
            </w:r>
          </w:p>
        </w:tc>
        <w:tc>
          <w:tcPr>
            <w:tcW w:w="372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(Primary Standard Industrial</w:t>
            </w:r>
          </w:p>
        </w:tc>
        <w:tc>
          <w:tcPr>
            <w:tcW w:w="2400" w:type="dxa"/>
            <w:vAlign w:val="bottom"/>
          </w:tcPr>
          <w:p>
            <w:pPr>
              <w:jc w:val="center"/>
              <w:ind w:left="907"/>
              <w:spacing w:after="0" w:line="147" w:lineRule="exact"/>
              <w:rPr>
                <w:sz w:val="20"/>
                <w:szCs w:val="20"/>
                <w:color w:val="auto"/>
              </w:rPr>
            </w:pPr>
            <w:r>
              <w:rPr>
                <w:rFonts w:ascii="Arial" w:cs="Arial" w:eastAsia="Arial" w:hAnsi="Arial"/>
                <w:sz w:val="13"/>
                <w:szCs w:val="13"/>
                <w:b w:val="1"/>
                <w:bCs w:val="1"/>
                <w:color w:val="auto"/>
              </w:rPr>
              <w:t>(I.R.S. Employer</w:t>
            </w:r>
          </w:p>
        </w:tc>
      </w:tr>
      <w:tr>
        <w:trPr>
          <w:trHeight w:val="177"/>
        </w:trPr>
        <w:tc>
          <w:tcPr>
            <w:tcW w:w="2840" w:type="dxa"/>
            <w:vAlign w:val="bottom"/>
          </w:tcPr>
          <w:p>
            <w:pPr>
              <w:jc w:val="center"/>
              <w:ind w:right="847"/>
              <w:spacing w:after="0"/>
              <w:rPr>
                <w:sz w:val="20"/>
                <w:szCs w:val="20"/>
                <w:color w:val="auto"/>
              </w:rPr>
            </w:pPr>
            <w:r>
              <w:rPr>
                <w:rFonts w:ascii="Arial" w:cs="Arial" w:eastAsia="Arial" w:hAnsi="Arial"/>
                <w:sz w:val="13"/>
                <w:szCs w:val="13"/>
                <w:b w:val="1"/>
                <w:bCs w:val="1"/>
                <w:color w:val="auto"/>
              </w:rPr>
              <w:t>incorporation or organization)</w:t>
            </w: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rPr>
              <w:t>Classification Code Number)</w:t>
            </w:r>
          </w:p>
        </w:tc>
        <w:tc>
          <w:tcPr>
            <w:tcW w:w="2400" w:type="dxa"/>
            <w:vAlign w:val="bottom"/>
          </w:tcPr>
          <w:p>
            <w:pPr>
              <w:jc w:val="center"/>
              <w:ind w:left="907"/>
              <w:spacing w:after="0"/>
              <w:rPr>
                <w:sz w:val="20"/>
                <w:szCs w:val="20"/>
                <w:color w:val="auto"/>
              </w:rPr>
            </w:pPr>
            <w:r>
              <w:rPr>
                <w:rFonts w:ascii="Arial" w:cs="Arial" w:eastAsia="Arial" w:hAnsi="Arial"/>
                <w:sz w:val="13"/>
                <w:szCs w:val="13"/>
                <w:b w:val="1"/>
                <w:bCs w:val="1"/>
                <w:color w:val="auto"/>
              </w:rPr>
              <w:t>Identification Number)</w:t>
            </w:r>
          </w:p>
        </w:tc>
      </w:tr>
    </w:tbl>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45 Wiggins Avenue</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Bedford, MA 01730</w:t>
      </w:r>
    </w:p>
    <w:p>
      <w:pPr>
        <w:jc w:val="center"/>
        <w:ind w:right="-259"/>
        <w:spacing w:after="0" w:line="235" w:lineRule="auto"/>
        <w:rPr>
          <w:sz w:val="20"/>
          <w:szCs w:val="20"/>
          <w:color w:val="auto"/>
        </w:rPr>
      </w:pPr>
      <w:r>
        <w:rPr>
          <w:rFonts w:ascii="Arial" w:cs="Arial" w:eastAsia="Arial" w:hAnsi="Arial"/>
          <w:sz w:val="13"/>
          <w:szCs w:val="13"/>
          <w:b w:val="1"/>
          <w:bCs w:val="1"/>
          <w:color w:val="auto"/>
        </w:rPr>
        <w:t>(781)-430-8200</w:t>
      </w:r>
    </w:p>
    <w:p>
      <w:pPr>
        <w:jc w:val="center"/>
        <w:ind w:right="-25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83185</wp:posOffset>
            </wp:positionV>
            <wp:extent cx="1456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35"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Edward M. Kaye, M.D.</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Chief Executive Officer</w:t>
      </w:r>
    </w:p>
    <w:p>
      <w:pPr>
        <w:jc w:val="center"/>
        <w:ind w:right="-259"/>
        <w:spacing w:after="0" w:line="235" w:lineRule="auto"/>
        <w:rPr>
          <w:sz w:val="20"/>
          <w:szCs w:val="20"/>
          <w:color w:val="auto"/>
        </w:rPr>
      </w:pPr>
      <w:r>
        <w:rPr>
          <w:rFonts w:ascii="Arial" w:cs="Arial" w:eastAsia="Arial" w:hAnsi="Arial"/>
          <w:sz w:val="13"/>
          <w:szCs w:val="13"/>
          <w:b w:val="1"/>
          <w:bCs w:val="1"/>
          <w:color w:val="auto"/>
        </w:rPr>
        <w:t>Stoke Therapeutics, Inc.</w:t>
      </w:r>
    </w:p>
    <w:p>
      <w:pPr>
        <w:jc w:val="center"/>
        <w:ind w:right="-259"/>
        <w:spacing w:after="0" w:line="235" w:lineRule="auto"/>
        <w:rPr>
          <w:sz w:val="20"/>
          <w:szCs w:val="20"/>
          <w:color w:val="auto"/>
        </w:rPr>
      </w:pPr>
      <w:r>
        <w:rPr>
          <w:rFonts w:ascii="Arial" w:cs="Arial" w:eastAsia="Arial" w:hAnsi="Arial"/>
          <w:sz w:val="13"/>
          <w:szCs w:val="13"/>
          <w:b w:val="1"/>
          <w:bCs w:val="1"/>
          <w:color w:val="auto"/>
        </w:rPr>
        <w:t>45 Wiggins Avenue</w:t>
      </w:r>
    </w:p>
    <w:p>
      <w:pPr>
        <w:jc w:val="center"/>
        <w:ind w:right="-259"/>
        <w:spacing w:after="0" w:line="236" w:lineRule="auto"/>
        <w:rPr>
          <w:sz w:val="20"/>
          <w:szCs w:val="20"/>
          <w:color w:val="auto"/>
        </w:rPr>
      </w:pPr>
      <w:r>
        <w:rPr>
          <w:rFonts w:ascii="Arial" w:cs="Arial" w:eastAsia="Arial" w:hAnsi="Arial"/>
          <w:sz w:val="13"/>
          <w:szCs w:val="13"/>
          <w:b w:val="1"/>
          <w:bCs w:val="1"/>
          <w:color w:val="auto"/>
        </w:rPr>
        <w:t>Bedford, MA 01730</w:t>
      </w:r>
    </w:p>
    <w:p>
      <w:pPr>
        <w:jc w:val="center"/>
        <w:ind w:right="-259"/>
        <w:spacing w:after="0" w:line="235" w:lineRule="auto"/>
        <w:rPr>
          <w:sz w:val="20"/>
          <w:szCs w:val="20"/>
          <w:color w:val="auto"/>
        </w:rPr>
      </w:pPr>
      <w:r>
        <w:rPr>
          <w:rFonts w:ascii="Arial" w:cs="Arial" w:eastAsia="Arial" w:hAnsi="Arial"/>
          <w:sz w:val="13"/>
          <w:szCs w:val="13"/>
          <w:b w:val="1"/>
          <w:bCs w:val="1"/>
          <w:color w:val="auto"/>
        </w:rPr>
        <w:t>(781)-430-8200</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83185</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35" w:lineRule="exact"/>
        <w:rPr>
          <w:sz w:val="24"/>
          <w:szCs w:val="24"/>
          <w:color w:val="auto"/>
        </w:rPr>
      </w:pPr>
    </w:p>
    <w:tbl>
      <w:tblPr>
        <w:tblLayout w:type="fixed"/>
        <w:tblInd w:w="2200" w:type="dxa"/>
        <w:tblCellMar>
          <w:top w:w="0" w:type="dxa"/>
          <w:left w:w="0" w:type="dxa"/>
          <w:bottom w:w="0" w:type="dxa"/>
          <w:right w:w="0" w:type="dxa"/>
        </w:tblCellMar>
      </w:tblPr>
      <w:tr>
        <w:trPr>
          <w:trHeight w:val="177"/>
        </w:trPr>
        <w:tc>
          <w:tcPr>
            <w:tcW w:w="2420" w:type="dxa"/>
            <w:vAlign w:val="bottom"/>
          </w:tcPr>
          <w:p>
            <w:pPr>
              <w:spacing w:after="0"/>
              <w:rPr>
                <w:sz w:val="15"/>
                <w:szCs w:val="15"/>
                <w:color w:val="auto"/>
              </w:rPr>
            </w:pPr>
          </w:p>
        </w:tc>
        <w:tc>
          <w:tcPr>
            <w:tcW w:w="4760" w:type="dxa"/>
            <w:vAlign w:val="bottom"/>
          </w:tcPr>
          <w:p>
            <w:pPr>
              <w:ind w:left="760"/>
              <w:spacing w:after="0"/>
              <w:rPr>
                <w:sz w:val="20"/>
                <w:szCs w:val="20"/>
                <w:color w:val="auto"/>
              </w:rPr>
            </w:pPr>
            <w:r>
              <w:rPr>
                <w:rFonts w:ascii="Arial" w:cs="Arial" w:eastAsia="Arial" w:hAnsi="Arial"/>
                <w:sz w:val="13"/>
                <w:szCs w:val="13"/>
                <w:b w:val="1"/>
                <w:bCs w:val="1"/>
                <w:i w:val="1"/>
                <w:iCs w:val="1"/>
                <w:color w:val="auto"/>
              </w:rPr>
              <w:t>Copies to:</w:t>
            </w:r>
          </w:p>
        </w:tc>
      </w:tr>
      <w:tr>
        <w:trPr>
          <w:trHeight w:val="170"/>
        </w:trPr>
        <w:tc>
          <w:tcPr>
            <w:tcW w:w="2420" w:type="dxa"/>
            <w:vAlign w:val="bottom"/>
          </w:tcPr>
          <w:p>
            <w:pPr>
              <w:jc w:val="center"/>
              <w:ind w:right="713"/>
              <w:spacing w:after="0"/>
              <w:rPr>
                <w:sz w:val="20"/>
                <w:szCs w:val="20"/>
                <w:color w:val="auto"/>
              </w:rPr>
            </w:pPr>
            <w:r>
              <w:rPr>
                <w:rFonts w:ascii="Arial" w:cs="Arial" w:eastAsia="Arial" w:hAnsi="Arial"/>
                <w:sz w:val="13"/>
                <w:szCs w:val="13"/>
                <w:b w:val="1"/>
                <w:bCs w:val="1"/>
                <w:color w:val="auto"/>
                <w:w w:val="99"/>
              </w:rPr>
              <w:t>Effie Toshav, Esq.</w:t>
            </w:r>
          </w:p>
        </w:tc>
        <w:tc>
          <w:tcPr>
            <w:tcW w:w="4760" w:type="dxa"/>
            <w:vAlign w:val="bottom"/>
          </w:tcPr>
          <w:p>
            <w:pPr>
              <w:jc w:val="center"/>
              <w:ind w:left="2953"/>
              <w:spacing w:after="0"/>
              <w:rPr>
                <w:sz w:val="20"/>
                <w:szCs w:val="20"/>
                <w:color w:val="auto"/>
              </w:rPr>
            </w:pPr>
            <w:r>
              <w:rPr>
                <w:rFonts w:ascii="Arial" w:cs="Arial" w:eastAsia="Arial" w:hAnsi="Arial"/>
                <w:sz w:val="13"/>
                <w:szCs w:val="13"/>
                <w:b w:val="1"/>
                <w:bCs w:val="1"/>
                <w:color w:val="auto"/>
              </w:rPr>
              <w:t>Deanna Kirkpatrick, Esq.</w:t>
            </w:r>
          </w:p>
        </w:tc>
      </w:tr>
      <w:tr>
        <w:trPr>
          <w:trHeight w:val="147"/>
        </w:trPr>
        <w:tc>
          <w:tcPr>
            <w:tcW w:w="2420" w:type="dxa"/>
            <w:vAlign w:val="bottom"/>
          </w:tcPr>
          <w:p>
            <w:pPr>
              <w:jc w:val="center"/>
              <w:ind w:right="713"/>
              <w:spacing w:after="0" w:line="147" w:lineRule="exact"/>
              <w:rPr>
                <w:sz w:val="20"/>
                <w:szCs w:val="20"/>
                <w:color w:val="auto"/>
              </w:rPr>
            </w:pPr>
            <w:r>
              <w:rPr>
                <w:rFonts w:ascii="Arial" w:cs="Arial" w:eastAsia="Arial" w:hAnsi="Arial"/>
                <w:sz w:val="13"/>
                <w:szCs w:val="13"/>
                <w:b w:val="1"/>
                <w:bCs w:val="1"/>
                <w:color w:val="auto"/>
              </w:rPr>
              <w:t>Robert A. Freedman, Esq.</w:t>
            </w:r>
          </w:p>
        </w:tc>
        <w:tc>
          <w:tcPr>
            <w:tcW w:w="4760" w:type="dxa"/>
            <w:vAlign w:val="bottom"/>
          </w:tcPr>
          <w:p>
            <w:pPr>
              <w:jc w:val="center"/>
              <w:ind w:left="2973"/>
              <w:spacing w:after="0" w:line="147" w:lineRule="exact"/>
              <w:rPr>
                <w:sz w:val="20"/>
                <w:szCs w:val="20"/>
                <w:color w:val="auto"/>
              </w:rPr>
            </w:pPr>
            <w:r>
              <w:rPr>
                <w:rFonts w:ascii="Arial" w:cs="Arial" w:eastAsia="Arial" w:hAnsi="Arial"/>
                <w:sz w:val="13"/>
                <w:szCs w:val="13"/>
                <w:b w:val="1"/>
                <w:bCs w:val="1"/>
                <w:color w:val="auto"/>
              </w:rPr>
              <w:t>Marcel Fausten, Esq.</w:t>
            </w:r>
          </w:p>
        </w:tc>
      </w:tr>
      <w:tr>
        <w:trPr>
          <w:trHeight w:val="147"/>
        </w:trPr>
        <w:tc>
          <w:tcPr>
            <w:tcW w:w="2420" w:type="dxa"/>
            <w:vAlign w:val="bottom"/>
          </w:tcPr>
          <w:p>
            <w:pPr>
              <w:jc w:val="center"/>
              <w:ind w:right="713"/>
              <w:spacing w:after="0" w:line="147" w:lineRule="exact"/>
              <w:rPr>
                <w:sz w:val="20"/>
                <w:szCs w:val="20"/>
                <w:color w:val="auto"/>
              </w:rPr>
            </w:pPr>
            <w:r>
              <w:rPr>
                <w:rFonts w:ascii="Arial" w:cs="Arial" w:eastAsia="Arial" w:hAnsi="Arial"/>
                <w:sz w:val="13"/>
                <w:szCs w:val="13"/>
                <w:b w:val="1"/>
                <w:bCs w:val="1"/>
                <w:color w:val="auto"/>
              </w:rPr>
              <w:t>Alan Smith, Esq.</w:t>
            </w:r>
          </w:p>
        </w:tc>
        <w:tc>
          <w:tcPr>
            <w:tcW w:w="4760" w:type="dxa"/>
            <w:vAlign w:val="bottom"/>
          </w:tcPr>
          <w:p>
            <w:pPr>
              <w:jc w:val="center"/>
              <w:ind w:left="2973"/>
              <w:spacing w:after="0" w:line="147" w:lineRule="exact"/>
              <w:rPr>
                <w:sz w:val="20"/>
                <w:szCs w:val="20"/>
                <w:color w:val="auto"/>
              </w:rPr>
            </w:pPr>
            <w:r>
              <w:rPr>
                <w:rFonts w:ascii="Arial" w:cs="Arial" w:eastAsia="Arial" w:hAnsi="Arial"/>
                <w:sz w:val="13"/>
                <w:szCs w:val="13"/>
                <w:b w:val="1"/>
                <w:bCs w:val="1"/>
                <w:color w:val="auto"/>
              </w:rPr>
              <w:t>Davis Polk &amp; Wardwell LLP</w:t>
            </w:r>
          </w:p>
        </w:tc>
      </w:tr>
      <w:tr>
        <w:trPr>
          <w:trHeight w:val="147"/>
        </w:trPr>
        <w:tc>
          <w:tcPr>
            <w:tcW w:w="2420" w:type="dxa"/>
            <w:vAlign w:val="bottom"/>
          </w:tcPr>
          <w:p>
            <w:pPr>
              <w:jc w:val="center"/>
              <w:ind w:right="713"/>
              <w:spacing w:after="0" w:line="147" w:lineRule="exact"/>
              <w:rPr>
                <w:sz w:val="20"/>
                <w:szCs w:val="20"/>
                <w:color w:val="auto"/>
              </w:rPr>
            </w:pPr>
            <w:r>
              <w:rPr>
                <w:rFonts w:ascii="Arial" w:cs="Arial" w:eastAsia="Arial" w:hAnsi="Arial"/>
                <w:sz w:val="13"/>
                <w:szCs w:val="13"/>
                <w:b w:val="1"/>
                <w:bCs w:val="1"/>
                <w:color w:val="auto"/>
              </w:rPr>
              <w:t>Julia Forbess, Esq.</w:t>
            </w:r>
          </w:p>
        </w:tc>
        <w:tc>
          <w:tcPr>
            <w:tcW w:w="4760" w:type="dxa"/>
            <w:vAlign w:val="bottom"/>
          </w:tcPr>
          <w:p>
            <w:pPr>
              <w:jc w:val="center"/>
              <w:ind w:left="2953"/>
              <w:spacing w:after="0" w:line="147" w:lineRule="exact"/>
              <w:rPr>
                <w:sz w:val="20"/>
                <w:szCs w:val="20"/>
                <w:color w:val="auto"/>
              </w:rPr>
            </w:pPr>
            <w:r>
              <w:rPr>
                <w:rFonts w:ascii="Arial" w:cs="Arial" w:eastAsia="Arial" w:hAnsi="Arial"/>
                <w:sz w:val="13"/>
                <w:szCs w:val="13"/>
                <w:b w:val="1"/>
                <w:bCs w:val="1"/>
                <w:color w:val="auto"/>
              </w:rPr>
              <w:t>450 Lexington Avenue</w:t>
            </w:r>
          </w:p>
        </w:tc>
      </w:tr>
      <w:tr>
        <w:trPr>
          <w:trHeight w:val="147"/>
        </w:trPr>
        <w:tc>
          <w:tcPr>
            <w:tcW w:w="2420" w:type="dxa"/>
            <w:vAlign w:val="bottom"/>
          </w:tcPr>
          <w:p>
            <w:pPr>
              <w:jc w:val="center"/>
              <w:ind w:right="713"/>
              <w:spacing w:after="0" w:line="147" w:lineRule="exact"/>
              <w:rPr>
                <w:sz w:val="20"/>
                <w:szCs w:val="20"/>
                <w:color w:val="auto"/>
              </w:rPr>
            </w:pPr>
            <w:r>
              <w:rPr>
                <w:rFonts w:ascii="Arial" w:cs="Arial" w:eastAsia="Arial" w:hAnsi="Arial"/>
                <w:sz w:val="13"/>
                <w:szCs w:val="13"/>
                <w:b w:val="1"/>
                <w:bCs w:val="1"/>
                <w:color w:val="auto"/>
              </w:rPr>
              <w:t>Fenwick &amp; West LLP</w:t>
            </w:r>
          </w:p>
        </w:tc>
        <w:tc>
          <w:tcPr>
            <w:tcW w:w="4760" w:type="dxa"/>
            <w:vAlign w:val="bottom"/>
          </w:tcPr>
          <w:p>
            <w:pPr>
              <w:jc w:val="center"/>
              <w:ind w:left="2953"/>
              <w:spacing w:after="0" w:line="147" w:lineRule="exact"/>
              <w:rPr>
                <w:sz w:val="20"/>
                <w:szCs w:val="20"/>
                <w:color w:val="auto"/>
              </w:rPr>
            </w:pPr>
            <w:r>
              <w:rPr>
                <w:rFonts w:ascii="Arial" w:cs="Arial" w:eastAsia="Arial" w:hAnsi="Arial"/>
                <w:sz w:val="13"/>
                <w:szCs w:val="13"/>
                <w:b w:val="1"/>
                <w:bCs w:val="1"/>
                <w:color w:val="auto"/>
              </w:rPr>
              <w:t>New York, NY 10017</w:t>
            </w:r>
          </w:p>
        </w:tc>
      </w:tr>
      <w:tr>
        <w:trPr>
          <w:trHeight w:val="147"/>
        </w:trPr>
        <w:tc>
          <w:tcPr>
            <w:tcW w:w="2420" w:type="dxa"/>
            <w:vAlign w:val="bottom"/>
          </w:tcPr>
          <w:p>
            <w:pPr>
              <w:jc w:val="center"/>
              <w:ind w:right="713"/>
              <w:spacing w:after="0" w:line="147" w:lineRule="exact"/>
              <w:rPr>
                <w:sz w:val="20"/>
                <w:szCs w:val="20"/>
                <w:color w:val="auto"/>
              </w:rPr>
            </w:pPr>
            <w:r>
              <w:rPr>
                <w:rFonts w:ascii="Arial" w:cs="Arial" w:eastAsia="Arial" w:hAnsi="Arial"/>
                <w:sz w:val="13"/>
                <w:szCs w:val="13"/>
                <w:b w:val="1"/>
                <w:bCs w:val="1"/>
                <w:color w:val="auto"/>
              </w:rPr>
              <w:t>555 California Street</w:t>
            </w:r>
          </w:p>
        </w:tc>
        <w:tc>
          <w:tcPr>
            <w:tcW w:w="4760" w:type="dxa"/>
            <w:vAlign w:val="bottom"/>
          </w:tcPr>
          <w:p>
            <w:pPr>
              <w:jc w:val="center"/>
              <w:ind w:left="2973"/>
              <w:spacing w:after="0" w:line="147" w:lineRule="exact"/>
              <w:rPr>
                <w:sz w:val="20"/>
                <w:szCs w:val="20"/>
                <w:color w:val="auto"/>
              </w:rPr>
            </w:pPr>
            <w:r>
              <w:rPr>
                <w:rFonts w:ascii="Arial" w:cs="Arial" w:eastAsia="Arial" w:hAnsi="Arial"/>
                <w:sz w:val="13"/>
                <w:szCs w:val="13"/>
                <w:b w:val="1"/>
                <w:bCs w:val="1"/>
                <w:color w:val="auto"/>
              </w:rPr>
              <w:t>(212) 450-4000</w:t>
            </w:r>
          </w:p>
        </w:tc>
      </w:tr>
      <w:tr>
        <w:trPr>
          <w:trHeight w:val="147"/>
        </w:trPr>
        <w:tc>
          <w:tcPr>
            <w:tcW w:w="2420" w:type="dxa"/>
            <w:vAlign w:val="bottom"/>
          </w:tcPr>
          <w:p>
            <w:pPr>
              <w:jc w:val="center"/>
              <w:ind w:right="713"/>
              <w:spacing w:after="0" w:line="147" w:lineRule="exact"/>
              <w:rPr>
                <w:sz w:val="20"/>
                <w:szCs w:val="20"/>
                <w:color w:val="auto"/>
              </w:rPr>
            </w:pPr>
            <w:r>
              <w:rPr>
                <w:rFonts w:ascii="Arial" w:cs="Arial" w:eastAsia="Arial" w:hAnsi="Arial"/>
                <w:sz w:val="13"/>
                <w:szCs w:val="13"/>
                <w:b w:val="1"/>
                <w:bCs w:val="1"/>
                <w:color w:val="auto"/>
              </w:rPr>
              <w:t>San Francisco, CA 94104</w:t>
            </w:r>
          </w:p>
        </w:tc>
        <w:tc>
          <w:tcPr>
            <w:tcW w:w="4760" w:type="dxa"/>
            <w:vAlign w:val="bottom"/>
          </w:tcPr>
          <w:p>
            <w:pPr>
              <w:spacing w:after="0"/>
              <w:rPr>
                <w:sz w:val="12"/>
                <w:szCs w:val="12"/>
                <w:color w:val="auto"/>
              </w:rPr>
            </w:pPr>
          </w:p>
        </w:tc>
      </w:tr>
      <w:tr>
        <w:trPr>
          <w:trHeight w:val="177"/>
        </w:trPr>
        <w:tc>
          <w:tcPr>
            <w:tcW w:w="2420" w:type="dxa"/>
            <w:vAlign w:val="bottom"/>
          </w:tcPr>
          <w:p>
            <w:pPr>
              <w:jc w:val="center"/>
              <w:ind w:right="713"/>
              <w:spacing w:after="0"/>
              <w:rPr>
                <w:sz w:val="20"/>
                <w:szCs w:val="20"/>
                <w:color w:val="auto"/>
              </w:rPr>
            </w:pPr>
            <w:r>
              <w:rPr>
                <w:rFonts w:ascii="Arial" w:cs="Arial" w:eastAsia="Arial" w:hAnsi="Arial"/>
                <w:sz w:val="13"/>
                <w:szCs w:val="13"/>
                <w:b w:val="1"/>
                <w:bCs w:val="1"/>
                <w:color w:val="auto"/>
              </w:rPr>
              <w:t>(415) 875-2300</w:t>
            </w:r>
          </w:p>
        </w:tc>
        <w:tc>
          <w:tcPr>
            <w:tcW w:w="47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93345</wp:posOffset>
            </wp:positionV>
            <wp:extent cx="1456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50" w:lineRule="exact"/>
        <w:rPr>
          <w:sz w:val="24"/>
          <w:szCs w:val="24"/>
          <w:color w:val="auto"/>
        </w:rPr>
      </w:pPr>
    </w:p>
    <w:p>
      <w:pPr>
        <w:ind w:left="28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7" w:lineRule="exact"/>
        <w:rPr>
          <w:sz w:val="24"/>
          <w:szCs w:val="24"/>
          <w:color w:val="auto"/>
        </w:rPr>
      </w:pPr>
    </w:p>
    <w:p>
      <w:pPr>
        <w:ind w:left="28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3" w:lineRule="exact"/>
        <w:rPr>
          <w:sz w:val="24"/>
          <w:szCs w:val="24"/>
          <w:color w:val="auto"/>
        </w:rPr>
      </w:pPr>
    </w:p>
    <w:p>
      <w:pPr>
        <w:ind w:left="280" w:right="580"/>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3" w:lineRule="exact"/>
        <w:rPr>
          <w:sz w:val="24"/>
          <w:szCs w:val="24"/>
          <w:color w:val="auto"/>
        </w:rPr>
      </w:pPr>
    </w:p>
    <w:p>
      <w:pPr>
        <w:ind w:left="280" w:right="12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3" w:lineRule="exact"/>
        <w:rPr>
          <w:sz w:val="24"/>
          <w:szCs w:val="24"/>
          <w:color w:val="auto"/>
        </w:rPr>
      </w:pPr>
    </w:p>
    <w:p>
      <w:pPr>
        <w:ind w:left="280" w:right="32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left="28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and “emerging growth company”.</w:t>
      </w:r>
    </w:p>
    <w:p>
      <w:pPr>
        <w:ind w:left="280"/>
        <w:spacing w:after="0"/>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14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640"/>
              <w:spacing w:after="0"/>
              <w:rPr>
                <w:sz w:val="20"/>
                <w:szCs w:val="20"/>
                <w:color w:val="auto"/>
              </w:rPr>
            </w:pPr>
            <w:r>
              <w:rPr>
                <w:rFonts w:ascii="Arial" w:cs="Arial" w:eastAsia="Arial" w:hAnsi="Arial"/>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420" w:type="dxa"/>
            <w:vAlign w:val="bottom"/>
          </w:tcPr>
          <w:p>
            <w:pPr>
              <w:spacing w:after="0"/>
              <w:rPr>
                <w:sz w:val="20"/>
                <w:szCs w:val="20"/>
                <w:color w:val="auto"/>
              </w:rPr>
            </w:pPr>
            <w:r>
              <w:rPr>
                <w:rFonts w:ascii="Arial" w:cs="Arial" w:eastAsia="Arial" w:hAnsi="Arial"/>
                <w:sz w:val="13"/>
                <w:szCs w:val="13"/>
                <w:color w:val="auto"/>
              </w:rPr>
              <w:t>Non-accelerated filer</w:t>
            </w:r>
          </w:p>
        </w:tc>
        <w:tc>
          <w:tcPr>
            <w:tcW w:w="38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640"/>
              <w:spacing w:after="0"/>
              <w:rPr>
                <w:sz w:val="20"/>
                <w:szCs w:val="20"/>
                <w:color w:val="auto"/>
              </w:rPr>
            </w:pPr>
            <w:r>
              <w:rPr>
                <w:rFonts w:ascii="Arial" w:cs="Arial" w:eastAsia="Arial" w:hAnsi="Arial"/>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8"/>
        </w:trPr>
        <w:tc>
          <w:tcPr>
            <w:tcW w:w="14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360" w:type="dxa"/>
            <w:vAlign w:val="bottom"/>
          </w:tcPr>
          <w:p>
            <w:pPr>
              <w:ind w:left="3640"/>
              <w:spacing w:after="0"/>
              <w:rPr>
                <w:sz w:val="20"/>
                <w:szCs w:val="20"/>
                <w:color w:val="auto"/>
              </w:rPr>
            </w:pPr>
            <w:r>
              <w:rPr>
                <w:rFonts w:ascii="Arial" w:cs="Arial" w:eastAsia="Arial" w:hAnsi="Arial"/>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2" w:lineRule="exact"/>
        <w:rPr>
          <w:sz w:val="24"/>
          <w:szCs w:val="24"/>
          <w:color w:val="auto"/>
        </w:rPr>
      </w:pPr>
    </w:p>
    <w:p>
      <w:pPr>
        <w:ind w:left="280" w:right="80"/>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CALCULATION OF REGISTRATION FEE</w:t>
      </w:r>
    </w:p>
    <w:p>
      <w:pPr>
        <w:spacing w:after="0" w:line="61" w:lineRule="exact"/>
        <w:rPr>
          <w:sz w:val="24"/>
          <w:szCs w:val="24"/>
          <w:color w:val="auto"/>
        </w:rPr>
      </w:pPr>
    </w:p>
    <w:tbl>
      <w:tblPr>
        <w:tblLayout w:type="fixed"/>
        <w:tblInd w:w="280" w:type="dxa"/>
        <w:tblCellMar>
          <w:top w:w="0" w:type="dxa"/>
          <w:left w:w="0" w:type="dxa"/>
          <w:bottom w:w="0" w:type="dxa"/>
          <w:right w:w="0" w:type="dxa"/>
        </w:tblCellMar>
      </w:tblPr>
      <w:tr>
        <w:trPr>
          <w:trHeight w:val="40"/>
        </w:trPr>
        <w:tc>
          <w:tcPr>
            <w:tcW w:w="48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r>
      <w:tr>
        <w:trPr>
          <w:trHeight w:val="113"/>
        </w:trPr>
        <w:tc>
          <w:tcPr>
            <w:tcW w:w="48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Proposed</w:t>
            </w:r>
          </w:p>
        </w:tc>
        <w:tc>
          <w:tcPr>
            <w:tcW w:w="15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Proposed</w:t>
            </w:r>
          </w:p>
        </w:tc>
        <w:tc>
          <w:tcPr>
            <w:tcW w:w="1500" w:type="dxa"/>
            <w:vAlign w:val="bottom"/>
          </w:tcPr>
          <w:p>
            <w:pPr>
              <w:spacing w:after="0"/>
              <w:rPr>
                <w:sz w:val="9"/>
                <w:szCs w:val="9"/>
                <w:color w:val="auto"/>
              </w:rPr>
            </w:pPr>
          </w:p>
        </w:tc>
      </w:tr>
      <w:tr>
        <w:trPr>
          <w:trHeight w:val="147"/>
        </w:trPr>
        <w:tc>
          <w:tcPr>
            <w:tcW w:w="482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rPr>
              <w:t>Maximum</w:t>
            </w:r>
          </w:p>
        </w:tc>
        <w:tc>
          <w:tcPr>
            <w:tcW w:w="15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rPr>
              <w:t>Maximum</w:t>
            </w:r>
          </w:p>
        </w:tc>
        <w:tc>
          <w:tcPr>
            <w:tcW w:w="1500" w:type="dxa"/>
            <w:vAlign w:val="bottom"/>
          </w:tcPr>
          <w:p>
            <w:pPr>
              <w:spacing w:after="0"/>
              <w:rPr>
                <w:sz w:val="12"/>
                <w:szCs w:val="12"/>
                <w:color w:val="auto"/>
              </w:rPr>
            </w:pPr>
          </w:p>
        </w:tc>
      </w:tr>
      <w:tr>
        <w:trPr>
          <w:trHeight w:val="147"/>
        </w:trPr>
        <w:tc>
          <w:tcPr>
            <w:tcW w:w="482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rPr>
              <w:t>Amount to be</w:t>
            </w:r>
          </w:p>
        </w:tc>
        <w:tc>
          <w:tcPr>
            <w:tcW w:w="15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rPr>
              <w:t>Offering Price</w:t>
            </w:r>
          </w:p>
        </w:tc>
        <w:tc>
          <w:tcPr>
            <w:tcW w:w="15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rPr>
              <w:t>Aggregate</w:t>
            </w:r>
          </w:p>
        </w:tc>
        <w:tc>
          <w:tcPr>
            <w:tcW w:w="1500" w:type="dxa"/>
            <w:vAlign w:val="bottom"/>
          </w:tcPr>
          <w:p>
            <w:pPr>
              <w:jc w:val="center"/>
              <w:ind w:left="15"/>
              <w:spacing w:after="0" w:line="147" w:lineRule="exact"/>
              <w:rPr>
                <w:sz w:val="20"/>
                <w:szCs w:val="20"/>
                <w:color w:val="auto"/>
              </w:rPr>
            </w:pPr>
            <w:r>
              <w:rPr>
                <w:rFonts w:ascii="Arial" w:cs="Arial" w:eastAsia="Arial" w:hAnsi="Arial"/>
                <w:sz w:val="13"/>
                <w:szCs w:val="13"/>
                <w:b w:val="1"/>
                <w:bCs w:val="1"/>
                <w:color w:val="auto"/>
              </w:rPr>
              <w:t>Amount of</w:t>
            </w:r>
          </w:p>
        </w:tc>
      </w:tr>
      <w:tr>
        <w:trPr>
          <w:trHeight w:val="173"/>
        </w:trPr>
        <w:tc>
          <w:tcPr>
            <w:tcW w:w="4820" w:type="dxa"/>
            <w:vAlign w:val="bottom"/>
            <w:tcBorders>
              <w:bottom w:val="single" w:sz="8" w:color="auto"/>
              <w:right w:val="single" w:sz="8" w:color="auto"/>
            </w:tcBorders>
          </w:tcPr>
          <w:p>
            <w:pPr>
              <w:ind w:left="1300"/>
              <w:spacing w:after="0"/>
              <w:rPr>
                <w:sz w:val="20"/>
                <w:szCs w:val="20"/>
                <w:color w:val="auto"/>
              </w:rPr>
            </w:pPr>
            <w:r>
              <w:rPr>
                <w:rFonts w:ascii="Arial" w:cs="Arial" w:eastAsia="Arial" w:hAnsi="Arial"/>
                <w:sz w:val="13"/>
                <w:szCs w:val="13"/>
                <w:b w:val="1"/>
                <w:bCs w:val="1"/>
                <w:color w:val="auto"/>
              </w:rPr>
              <w:t>Title of Securities to be Registered</w:t>
            </w:r>
          </w:p>
        </w:tc>
        <w:tc>
          <w:tcPr>
            <w:tcW w:w="1520" w:type="dxa"/>
            <w:vAlign w:val="bottom"/>
            <w:tcBorders>
              <w:bottom w:val="single" w:sz="8" w:color="auto"/>
              <w:right w:val="single" w:sz="8" w:color="auto"/>
            </w:tcBorders>
          </w:tcPr>
          <w:p>
            <w:pPr>
              <w:jc w:val="center"/>
              <w:spacing w:after="0" w:line="173" w:lineRule="exact"/>
              <w:rPr>
                <w:sz w:val="20"/>
                <w:szCs w:val="20"/>
                <w:color w:val="auto"/>
              </w:rPr>
            </w:pPr>
            <w:r>
              <w:rPr>
                <w:rFonts w:ascii="Arial" w:cs="Arial" w:eastAsia="Arial" w:hAnsi="Arial"/>
                <w:sz w:val="12"/>
                <w:szCs w:val="12"/>
                <w:b w:val="1"/>
                <w:bCs w:val="1"/>
                <w:color w:val="auto"/>
              </w:rPr>
              <w:t>Registered</w:t>
            </w:r>
            <w:r>
              <w:rPr>
                <w:rFonts w:ascii="Arial" w:cs="Arial" w:eastAsia="Arial" w:hAnsi="Arial"/>
                <w:sz w:val="20"/>
                <w:szCs w:val="20"/>
                <w:b w:val="1"/>
                <w:bCs w:val="1"/>
                <w:color w:val="auto"/>
                <w:vertAlign w:val="superscript"/>
              </w:rPr>
              <w:t>(1)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Per Share</w:t>
            </w:r>
          </w:p>
        </w:tc>
        <w:tc>
          <w:tcPr>
            <w:tcW w:w="1520" w:type="dxa"/>
            <w:vAlign w:val="bottom"/>
            <w:tcBorders>
              <w:bottom w:val="single" w:sz="8" w:color="auto"/>
              <w:right w:val="single" w:sz="8" w:color="auto"/>
            </w:tcBorders>
          </w:tcPr>
          <w:p>
            <w:pPr>
              <w:jc w:val="center"/>
              <w:spacing w:after="0" w:line="173" w:lineRule="exact"/>
              <w:rPr>
                <w:sz w:val="20"/>
                <w:szCs w:val="20"/>
                <w:color w:val="auto"/>
              </w:rPr>
            </w:pPr>
            <w:r>
              <w:rPr>
                <w:rFonts w:ascii="Arial" w:cs="Arial" w:eastAsia="Arial" w:hAnsi="Arial"/>
                <w:sz w:val="12"/>
                <w:szCs w:val="12"/>
                <w:b w:val="1"/>
                <w:bCs w:val="1"/>
                <w:color w:val="auto"/>
              </w:rPr>
              <w:t>Offering Price</w:t>
            </w:r>
            <w:r>
              <w:rPr>
                <w:rFonts w:ascii="Arial" w:cs="Arial" w:eastAsia="Arial" w:hAnsi="Arial"/>
                <w:sz w:val="20"/>
                <w:szCs w:val="20"/>
                <w:b w:val="1"/>
                <w:bCs w:val="1"/>
                <w:color w:val="auto"/>
                <w:vertAlign w:val="superscript"/>
              </w:rPr>
              <w:t>(2)</w:t>
            </w:r>
          </w:p>
        </w:tc>
        <w:tc>
          <w:tcPr>
            <w:tcW w:w="1500" w:type="dxa"/>
            <w:vAlign w:val="bottom"/>
            <w:tcBorders>
              <w:bottom w:val="single" w:sz="8" w:color="auto"/>
            </w:tcBorders>
          </w:tcPr>
          <w:p>
            <w:pPr>
              <w:jc w:val="center"/>
              <w:ind w:left="15"/>
              <w:spacing w:after="0" w:line="173" w:lineRule="exact"/>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20"/>
                <w:szCs w:val="20"/>
                <w:b w:val="1"/>
                <w:bCs w:val="1"/>
                <w:color w:val="auto"/>
                <w:vertAlign w:val="superscript"/>
              </w:rPr>
              <w:t>(3)</w:t>
            </w:r>
          </w:p>
        </w:tc>
      </w:tr>
      <w:tr>
        <w:trPr>
          <w:trHeight w:val="140"/>
        </w:trPr>
        <w:tc>
          <w:tcPr>
            <w:tcW w:w="4820" w:type="dxa"/>
            <w:vAlign w:val="bottom"/>
            <w:tcBorders>
              <w:bottom w:val="single" w:sz="8" w:color="auto"/>
              <w:right w:val="single" w:sz="8" w:color="auto"/>
            </w:tcBorders>
          </w:tcPr>
          <w:p>
            <w:pPr>
              <w:spacing w:after="0" w:line="140" w:lineRule="exact"/>
              <w:rPr>
                <w:sz w:val="20"/>
                <w:szCs w:val="20"/>
                <w:color w:val="auto"/>
              </w:rPr>
            </w:pPr>
            <w:r>
              <w:rPr>
                <w:rFonts w:ascii="Arial" w:cs="Arial" w:eastAsia="Arial" w:hAnsi="Arial"/>
                <w:sz w:val="13"/>
                <w:szCs w:val="13"/>
                <w:color w:val="auto"/>
              </w:rPr>
              <w:t>Common Stock, par value $0.0001 per share</w:t>
            </w:r>
          </w:p>
        </w:tc>
        <w:tc>
          <w:tcPr>
            <w:tcW w:w="1520" w:type="dxa"/>
            <w:vAlign w:val="bottom"/>
            <w:tcBorders>
              <w:bottom w:val="single" w:sz="8" w:color="auto"/>
              <w:right w:val="single" w:sz="8" w:color="auto"/>
            </w:tcBorders>
          </w:tcPr>
          <w:p>
            <w:pPr>
              <w:jc w:val="center"/>
              <w:spacing w:after="0" w:line="140" w:lineRule="exact"/>
              <w:rPr>
                <w:sz w:val="20"/>
                <w:szCs w:val="20"/>
                <w:color w:val="auto"/>
              </w:rPr>
            </w:pPr>
            <w:r>
              <w:rPr>
                <w:rFonts w:ascii="Arial" w:cs="Arial" w:eastAsia="Arial" w:hAnsi="Arial"/>
                <w:sz w:val="13"/>
                <w:szCs w:val="13"/>
                <w:color w:val="auto"/>
              </w:rPr>
              <w:t>7,705,000</w:t>
            </w:r>
          </w:p>
        </w:tc>
        <w:tc>
          <w:tcPr>
            <w:tcW w:w="1520" w:type="dxa"/>
            <w:vAlign w:val="bottom"/>
            <w:tcBorders>
              <w:bottom w:val="single" w:sz="8" w:color="auto"/>
              <w:right w:val="single" w:sz="8" w:color="auto"/>
            </w:tcBorders>
          </w:tcPr>
          <w:p>
            <w:pPr>
              <w:jc w:val="center"/>
              <w:spacing w:after="0" w:line="140" w:lineRule="exact"/>
              <w:rPr>
                <w:sz w:val="20"/>
                <w:szCs w:val="20"/>
                <w:color w:val="auto"/>
              </w:rPr>
            </w:pPr>
            <w:r>
              <w:rPr>
                <w:rFonts w:ascii="Arial" w:cs="Arial" w:eastAsia="Arial" w:hAnsi="Arial"/>
                <w:sz w:val="13"/>
                <w:szCs w:val="13"/>
                <w:color w:val="auto"/>
              </w:rPr>
              <w:t>$16.00</w:t>
            </w:r>
          </w:p>
        </w:tc>
        <w:tc>
          <w:tcPr>
            <w:tcW w:w="1520" w:type="dxa"/>
            <w:vAlign w:val="bottom"/>
            <w:tcBorders>
              <w:bottom w:val="single" w:sz="8" w:color="auto"/>
              <w:right w:val="single" w:sz="8" w:color="auto"/>
            </w:tcBorders>
          </w:tcPr>
          <w:p>
            <w:pPr>
              <w:jc w:val="center"/>
              <w:spacing w:after="0" w:line="140" w:lineRule="exact"/>
              <w:rPr>
                <w:sz w:val="20"/>
                <w:szCs w:val="20"/>
                <w:color w:val="auto"/>
              </w:rPr>
            </w:pPr>
            <w:r>
              <w:rPr>
                <w:rFonts w:ascii="Arial" w:cs="Arial" w:eastAsia="Arial" w:hAnsi="Arial"/>
                <w:sz w:val="13"/>
                <w:szCs w:val="13"/>
                <w:color w:val="auto"/>
              </w:rPr>
              <w:t>$123,280,000</w:t>
            </w:r>
          </w:p>
        </w:tc>
        <w:tc>
          <w:tcPr>
            <w:tcW w:w="150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rPr>
              <w:t>$14,942</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6" w:lineRule="exact"/>
        <w:rPr>
          <w:sz w:val="24"/>
          <w:szCs w:val="24"/>
          <w:color w:val="auto"/>
        </w:rPr>
      </w:pPr>
    </w:p>
    <w:p>
      <w:pPr>
        <w:ind w:left="600" w:right="480" w:hanging="327"/>
        <w:spacing w:after="0" w:line="253"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pursuant to Rule 457(a) under the Securities Act of 1933, as amended. Includes 1,005,000 additional shares that the underwriters have the option to purchase.</w:t>
      </w:r>
    </w:p>
    <w:p>
      <w:pPr>
        <w:spacing w:after="0" w:line="31" w:lineRule="exact"/>
        <w:rPr>
          <w:rFonts w:ascii="Arial" w:cs="Arial" w:eastAsia="Arial" w:hAnsi="Arial"/>
          <w:sz w:val="13"/>
          <w:szCs w:val="13"/>
          <w:color w:val="auto"/>
        </w:rPr>
      </w:pPr>
    </w:p>
    <w:p>
      <w:pPr>
        <w:ind w:left="600" w:hanging="327"/>
        <w:spacing w:after="0"/>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w:t>
      </w:r>
    </w:p>
    <w:p>
      <w:pPr>
        <w:spacing w:after="0" w:line="50" w:lineRule="exact"/>
        <w:rPr>
          <w:rFonts w:ascii="Arial" w:cs="Arial" w:eastAsia="Arial" w:hAnsi="Arial"/>
          <w:sz w:val="13"/>
          <w:szCs w:val="13"/>
          <w:color w:val="auto"/>
        </w:rPr>
      </w:pPr>
    </w:p>
    <w:p>
      <w:pPr>
        <w:ind w:left="600" w:hanging="327"/>
        <w:spacing w:after="0"/>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previously paid $10,454 of this amount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83185</wp:posOffset>
            </wp:positionV>
            <wp:extent cx="1456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35" w:lineRule="exact"/>
        <w:rPr>
          <w:sz w:val="24"/>
          <w:szCs w:val="24"/>
          <w:color w:val="auto"/>
        </w:rPr>
      </w:pPr>
    </w:p>
    <w:p>
      <w:pPr>
        <w:ind w:left="280" w:right="180"/>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173355</wp:posOffset>
            </wp:positionH>
            <wp:positionV relativeFrom="paragraph">
              <wp:posOffset>89535</wp:posOffset>
            </wp:positionV>
            <wp:extent cx="6909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1160"/>
          </w:cols>
          <w:pgMar w:left="240" w:top="228"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280" w:right="240"/>
        <w:spacing w:after="0" w:line="267" w:lineRule="auto"/>
        <w:rPr>
          <w:sz w:val="20"/>
          <w:szCs w:val="20"/>
          <w:color w:val="auto"/>
        </w:rPr>
      </w:pPr>
      <w:r>
        <w:rPr>
          <w:rFonts w:ascii="Arial" w:cs="Arial" w:eastAsia="Arial" w:hAnsi="Arial"/>
          <w:sz w:val="17"/>
          <w:szCs w:val="17"/>
          <w:b w:val="1"/>
          <w:bCs w:val="1"/>
          <w:color w:val="8B3F4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8B3F4E"/>
        </w:rPr>
        <w:t>Subject to completion, dated June 7, 2019</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Prospectus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32"/>
          <w:szCs w:val="32"/>
          <w:b w:val="1"/>
          <w:bCs w:val="1"/>
          <w:i w:val="1"/>
          <w:iCs w:val="1"/>
          <w:color w:val="auto"/>
        </w:rPr>
        <w:t>6,700,000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102870</wp:posOffset>
            </wp:positionV>
            <wp:extent cx="2480945" cy="1160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0945" cy="116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Arial" w:cs="Arial" w:eastAsia="Arial" w:hAnsi="Arial"/>
          <w:sz w:val="32"/>
          <w:szCs w:val="32"/>
          <w:b w:val="1"/>
          <w:bCs w:val="1"/>
          <w:i w:val="1"/>
          <w:iCs w:val="1"/>
          <w:color w:val="auto"/>
        </w:rPr>
        <w:t>Common stock</w:t>
      </w:r>
    </w:p>
    <w:p>
      <w:pPr>
        <w:spacing w:after="0" w:line="151" w:lineRule="exact"/>
        <w:rPr>
          <w:sz w:val="20"/>
          <w:szCs w:val="20"/>
          <w:color w:val="auto"/>
        </w:rPr>
      </w:pPr>
    </w:p>
    <w:p>
      <w:pPr>
        <w:ind w:left="280" w:right="460"/>
        <w:spacing w:after="0" w:line="262" w:lineRule="auto"/>
        <w:rPr>
          <w:sz w:val="20"/>
          <w:szCs w:val="20"/>
          <w:color w:val="auto"/>
        </w:rPr>
      </w:pPr>
      <w:r>
        <w:rPr>
          <w:rFonts w:ascii="Arial" w:cs="Arial" w:eastAsia="Arial" w:hAnsi="Arial"/>
          <w:sz w:val="17"/>
          <w:szCs w:val="17"/>
          <w:color w:val="auto"/>
        </w:rPr>
        <w:t>This is the initial public offering of shares of our common stock. We are offering 6,700,000 shares of our common stock. The initial public offering price is expected to be between $14.00 and $16.00 per share.</w:t>
      </w:r>
    </w:p>
    <w:p>
      <w:pPr>
        <w:spacing w:after="0" w:line="80" w:lineRule="exact"/>
        <w:rPr>
          <w:sz w:val="20"/>
          <w:szCs w:val="20"/>
          <w:color w:val="auto"/>
        </w:rPr>
      </w:pPr>
    </w:p>
    <w:p>
      <w:pPr>
        <w:ind w:left="280" w:right="360"/>
        <w:spacing w:after="0" w:line="253" w:lineRule="auto"/>
        <w:rPr>
          <w:sz w:val="20"/>
          <w:szCs w:val="20"/>
          <w:color w:val="auto"/>
        </w:rPr>
      </w:pPr>
      <w:r>
        <w:rPr>
          <w:rFonts w:ascii="Arial" w:cs="Arial" w:eastAsia="Arial" w:hAnsi="Arial"/>
          <w:sz w:val="17"/>
          <w:szCs w:val="17"/>
          <w:color w:val="auto"/>
        </w:rPr>
        <w:t>Prior to this offering, there has been no market for our common stock. We have applied to list our common stock on the Nasdaq Global Market under the symbol “STOK.” Upon the closing of this offering, we will be a “controlled company” within the meaning of the applicable listing rules of the Nasdaq Global Market.</w:t>
      </w:r>
    </w:p>
    <w:p>
      <w:pPr>
        <w:spacing w:after="0" w:line="89" w:lineRule="exact"/>
        <w:rPr>
          <w:sz w:val="20"/>
          <w:szCs w:val="20"/>
          <w:color w:val="auto"/>
        </w:rPr>
      </w:pPr>
    </w:p>
    <w:p>
      <w:pPr>
        <w:ind w:left="280" w:right="220"/>
        <w:spacing w:after="0" w:line="251" w:lineRule="auto"/>
        <w:rPr>
          <w:rFonts w:ascii="Arial" w:cs="Arial" w:eastAsia="Arial" w:hAnsi="Arial"/>
          <w:sz w:val="17"/>
          <w:szCs w:val="17"/>
          <w:color w:val="auto"/>
        </w:rPr>
      </w:pPr>
      <w:r>
        <w:rPr>
          <w:rFonts w:ascii="Arial" w:cs="Arial" w:eastAsia="Arial" w:hAnsi="Arial"/>
          <w:sz w:val="17"/>
          <w:szCs w:val="17"/>
          <w:color w:val="auto"/>
        </w:rPr>
        <w:t>We are an “emerging growth company” and a “smaller reporting company” as defined under the federal securities laws and, as such, may elect to comply with certain reduced public company reporting requirements for future filings. Investing in our common stock involves a high degree of risk. Please see the section entitled “</w:t>
      </w:r>
      <w:hyperlink w:anchor="page15">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starting on page 11 to read about risks you should consider carefully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62865</wp:posOffset>
            </wp:positionV>
            <wp:extent cx="69094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62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ind w:left="2060"/>
              <w:spacing w:after="0"/>
              <w:rPr>
                <w:sz w:val="20"/>
                <w:szCs w:val="20"/>
                <w:color w:val="auto"/>
              </w:rPr>
            </w:pPr>
            <w:r>
              <w:rPr>
                <w:rFonts w:ascii="Arial" w:cs="Arial" w:eastAsia="Arial" w:hAnsi="Arial"/>
                <w:sz w:val="17"/>
                <w:szCs w:val="17"/>
                <w:b w:val="1"/>
                <w:bCs w:val="1"/>
                <w:color w:val="auto"/>
              </w:rPr>
              <w:t>Per share</w:t>
            </w:r>
          </w:p>
        </w:tc>
        <w:tc>
          <w:tcPr>
            <w:tcW w:w="146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Total</w:t>
            </w:r>
          </w:p>
        </w:tc>
      </w:tr>
      <w:tr>
        <w:trPr>
          <w:trHeight w:val="113"/>
        </w:trPr>
        <w:tc>
          <w:tcPr>
            <w:tcW w:w="62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00"/>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3140" w:type="dxa"/>
            <w:vAlign w:val="bottom"/>
            <w:shd w:val="clear" w:color="auto" w:fill="CCEEFF"/>
          </w:tcPr>
          <w:p>
            <w:pPr>
              <w:ind w:left="204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r>
      <w:tr>
        <w:trPr>
          <w:trHeight w:val="345"/>
        </w:trPr>
        <w:tc>
          <w:tcPr>
            <w:tcW w:w="6280" w:type="dxa"/>
            <w:vAlign w:val="bottom"/>
          </w:tcPr>
          <w:p>
            <w:pPr>
              <w:spacing w:after="0"/>
              <w:rPr>
                <w:sz w:val="20"/>
                <w:szCs w:val="20"/>
                <w:color w:val="auto"/>
              </w:rPr>
            </w:pPr>
            <w:r>
              <w:rPr>
                <w:rFonts w:ascii="Arial" w:cs="Arial" w:eastAsia="Arial" w:hAnsi="Arial"/>
                <w:sz w:val="17"/>
                <w:szCs w:val="17"/>
                <w:color w:val="auto"/>
              </w:rPr>
              <w:t>Underwriting discounts and commissions(1)</w:t>
            </w:r>
          </w:p>
        </w:tc>
        <w:tc>
          <w:tcPr>
            <w:tcW w:w="3140" w:type="dxa"/>
            <w:vAlign w:val="bottom"/>
          </w:tcPr>
          <w:p>
            <w:pPr>
              <w:ind w:left="2040"/>
              <w:spacing w:after="0"/>
              <w:rPr>
                <w:sz w:val="20"/>
                <w:szCs w:val="20"/>
                <w:color w:val="auto"/>
              </w:rPr>
            </w:pPr>
            <w:r>
              <w:rPr>
                <w:rFonts w:ascii="Arial" w:cs="Arial" w:eastAsia="Arial" w:hAnsi="Arial"/>
                <w:sz w:val="17"/>
                <w:szCs w:val="17"/>
                <w:color w:val="auto"/>
              </w:rPr>
              <w:t>$</w:t>
            </w:r>
          </w:p>
        </w:tc>
        <w:tc>
          <w:tcPr>
            <w:tcW w:w="1460" w:type="dxa"/>
            <w:vAlign w:val="bottom"/>
          </w:tcPr>
          <w:p>
            <w:pPr>
              <w:ind w:left="280"/>
              <w:spacing w:after="0"/>
              <w:rPr>
                <w:sz w:val="20"/>
                <w:szCs w:val="20"/>
                <w:color w:val="auto"/>
              </w:rPr>
            </w:pPr>
            <w:r>
              <w:rPr>
                <w:rFonts w:ascii="Arial" w:cs="Arial" w:eastAsia="Arial" w:hAnsi="Arial"/>
                <w:sz w:val="17"/>
                <w:szCs w:val="17"/>
                <w:color w:val="auto"/>
              </w:rPr>
              <w:t>$</w:t>
            </w:r>
          </w:p>
        </w:tc>
      </w:tr>
      <w:tr>
        <w:trPr>
          <w:trHeight w:val="121"/>
        </w:trPr>
        <w:tc>
          <w:tcPr>
            <w:tcW w:w="62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07"/>
        </w:trPr>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Proceeds to Stoke Therapeutics, Inc., before expenses</w:t>
            </w:r>
          </w:p>
        </w:tc>
        <w:tc>
          <w:tcPr>
            <w:tcW w:w="3140" w:type="dxa"/>
            <w:vAlign w:val="bottom"/>
            <w:tcBorders>
              <w:bottom w:val="single" w:sz="8" w:color="auto"/>
            </w:tcBorders>
            <w:shd w:val="clear" w:color="auto" w:fill="CCEEFF"/>
          </w:tcPr>
          <w:p>
            <w:pPr>
              <w:ind w:left="204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w:t>
            </w:r>
          </w:p>
        </w:tc>
      </w:tr>
    </w:tbl>
    <w:p>
      <w:pPr>
        <w:spacing w:after="0" w:line="93" w:lineRule="exact"/>
        <w:rPr>
          <w:sz w:val="20"/>
          <w:szCs w:val="20"/>
          <w:color w:val="auto"/>
        </w:rPr>
      </w:pPr>
    </w:p>
    <w:p>
      <w:pPr>
        <w:ind w:left="600" w:right="440" w:hanging="327"/>
        <w:spacing w:after="0" w:line="253"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have agreed to reimburse the underwriters for certain FINRA-related expenses. See “Underwriting” for additional information regarding the compensation payable to the underwriters.</w:t>
      </w:r>
    </w:p>
    <w:p>
      <w:pPr>
        <w:spacing w:after="0" w:line="89" w:lineRule="exact"/>
        <w:rPr>
          <w:sz w:val="20"/>
          <w:szCs w:val="20"/>
          <w:color w:val="auto"/>
        </w:rPr>
      </w:pPr>
    </w:p>
    <w:p>
      <w:pPr>
        <w:ind w:left="280" w:right="200"/>
        <w:spacing w:after="0" w:line="262" w:lineRule="auto"/>
        <w:rPr>
          <w:sz w:val="20"/>
          <w:szCs w:val="20"/>
          <w:color w:val="auto"/>
        </w:rPr>
      </w:pPr>
      <w:r>
        <w:rPr>
          <w:rFonts w:ascii="Arial" w:cs="Arial" w:eastAsia="Arial" w:hAnsi="Arial"/>
          <w:sz w:val="17"/>
          <w:szCs w:val="17"/>
          <w:color w:val="auto"/>
        </w:rPr>
        <w:t>We have granted the underwriters an option for a period of 30 days to purchase up to 1,005,000 additional shares of common stock from us at the public offering price, less underwriting discounts and commissions.</w:t>
      </w:r>
    </w:p>
    <w:p>
      <w:pPr>
        <w:spacing w:after="0" w:line="58" w:lineRule="exact"/>
        <w:rPr>
          <w:sz w:val="20"/>
          <w:szCs w:val="20"/>
          <w:color w:val="auto"/>
        </w:rPr>
      </w:pPr>
    </w:p>
    <w:p>
      <w:pPr>
        <w:ind w:left="280" w:right="20"/>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on the adequacy or accuracy of this prospectus. Any representation to the contrary is a criminal offense.</w:t>
      </w:r>
    </w:p>
    <w:p>
      <w:pPr>
        <w:sectPr>
          <w:pgSz w:w="11900" w:h="16838" w:orient="portrait"/>
          <w:cols w:equalWidth="0" w:num="1">
            <w:col w:w="11160"/>
          </w:cols>
          <w:pgMar w:left="240" w:top="455" w:right="499" w:bottom="1440" w:gutter="0" w:footer="0" w:header="0"/>
        </w:sectPr>
      </w:pPr>
    </w:p>
    <w:p>
      <w:pPr>
        <w:spacing w:after="0" w:line="5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underwriters expect to deliver the shares of common stock to purchasers 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2019.</w:t>
      </w:r>
    </w:p>
    <w:p>
      <w:pPr>
        <w:spacing w:after="0" w:line="96" w:lineRule="exact"/>
        <w:rPr>
          <w:sz w:val="20"/>
          <w:szCs w:val="20"/>
          <w:color w:val="auto"/>
        </w:rPr>
      </w:pPr>
    </w:p>
    <w:p>
      <w:pPr>
        <w:sectPr>
          <w:pgSz w:w="11900" w:h="16838" w:orient="portrait"/>
          <w:cols w:equalWidth="0" w:num="2">
            <w:col w:w="6540" w:space="720"/>
            <w:col w:w="3900"/>
          </w:cols>
          <w:pgMar w:left="240" w:top="455" w:right="499" w:bottom="1440" w:gutter="0" w:footer="0" w:header="0"/>
          <w:type w:val="continuous"/>
        </w:sectPr>
      </w:pPr>
    </w:p>
    <w:p>
      <w:pPr>
        <w:ind w:left="28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Cowen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Credit Suisse</w:t>
      </w:r>
    </w:p>
    <w:p>
      <w:pPr>
        <w:spacing w:after="0" w:line="114" w:lineRule="exact"/>
        <w:rPr>
          <w:sz w:val="20"/>
          <w:szCs w:val="20"/>
          <w:color w:val="auto"/>
        </w:rPr>
      </w:pPr>
    </w:p>
    <w:p>
      <w:pPr>
        <w:sectPr>
          <w:pgSz w:w="11900" w:h="16838" w:orient="portrait"/>
          <w:cols w:equalWidth="0" w:num="3">
            <w:col w:w="4580" w:space="720"/>
            <w:col w:w="3080" w:space="720"/>
            <w:col w:w="2060"/>
          </w:cols>
          <w:pgMar w:left="240" w:top="455" w:right="499" w:bottom="1440" w:gutter="0" w:footer="0" w:header="0"/>
          <w:type w:val="continuous"/>
        </w:sectPr>
      </w:pPr>
    </w:p>
    <w:p>
      <w:pPr>
        <w:jc w:val="center"/>
        <w:ind w:right="-279"/>
        <w:spacing w:after="0"/>
        <w:rPr>
          <w:sz w:val="20"/>
          <w:szCs w:val="20"/>
          <w:color w:val="auto"/>
        </w:rPr>
      </w:pPr>
      <w:r>
        <w:rPr>
          <w:rFonts w:ascii="Arial" w:cs="Arial" w:eastAsia="Arial" w:hAnsi="Arial"/>
          <w:sz w:val="23"/>
          <w:szCs w:val="23"/>
          <w:b w:val="1"/>
          <w:bCs w:val="1"/>
          <w:color w:val="auto"/>
        </w:rPr>
        <w:t>Canaccord Genuity</w:t>
      </w:r>
    </w:p>
    <w:p>
      <w:pPr>
        <w:sectPr>
          <w:pgSz w:w="11900" w:h="16838" w:orient="portrait"/>
          <w:cols w:equalWidth="0" w:num="1">
            <w:col w:w="11160"/>
          </w:cols>
          <w:pgMar w:left="240" w:top="455" w:right="499" w:bottom="1440" w:gutter="0" w:footer="0" w:header="0"/>
          <w:type w:val="continuous"/>
        </w:sectPr>
      </w:pPr>
    </w:p>
    <w:p>
      <w:pPr>
        <w:spacing w:after="0" w:line="13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Prospectus dated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2019</w:t>
      </w:r>
    </w:p>
    <w:p>
      <w:pPr>
        <w:sectPr>
          <w:pgSz w:w="11900" w:h="16838" w:orient="portrait"/>
          <w:cols w:equalWidth="0" w:num="2">
            <w:col w:w="1820" w:space="720"/>
            <w:col w:w="8620"/>
          </w:cols>
          <w:pgMar w:left="240" w:top="455"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Table of contents</w:t>
      </w:r>
    </w:p>
    <w:p>
      <w:pPr>
        <w:spacing w:after="0" w:line="145"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27"/>
        </w:trPr>
        <w:tc>
          <w:tcPr>
            <w:tcW w:w="6560" w:type="dxa"/>
            <w:vAlign w:val="bottom"/>
            <w:gridSpan w:val="20"/>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42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7"/>
        </w:trPr>
        <w:tc>
          <w:tcPr>
            <w:tcW w:w="9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9"/>
              </w:rPr>
            </w:pPr>
            <w:hyperlink w:anchor="page11">
              <w:r>
                <w:rPr>
                  <w:rFonts w:ascii="Arial" w:cs="Arial" w:eastAsia="Arial" w:hAnsi="Arial"/>
                  <w:sz w:val="17"/>
                  <w:szCs w:val="17"/>
                  <w:color w:val="0000EE"/>
                  <w:w w:val="99"/>
                </w:rPr>
                <w:t>The offering</w:t>
              </w:r>
            </w:hyperlink>
          </w:p>
        </w:tc>
        <w:tc>
          <w:tcPr>
            <w:tcW w:w="700" w:type="dxa"/>
            <w:vAlign w:val="bottom"/>
            <w:tcBorders>
              <w:top w:val="single" w:sz="8" w:color="0000EE"/>
            </w:tcBorders>
            <w:gridSpan w:val="5"/>
          </w:tcPr>
          <w:p>
            <w:pPr>
              <w:spacing w:after="0"/>
              <w:rPr>
                <w:sz w:val="21"/>
                <w:szCs w:val="21"/>
                <w:color w:val="auto"/>
              </w:rPr>
            </w:pPr>
          </w:p>
        </w:tc>
        <w:tc>
          <w:tcPr>
            <w:tcW w:w="4940" w:type="dxa"/>
            <w:vAlign w:val="bottom"/>
            <w:gridSpan w:val="11"/>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7"/>
        </w:trPr>
        <w:tc>
          <w:tcPr>
            <w:tcW w:w="900" w:type="dxa"/>
            <w:vAlign w:val="bottom"/>
            <w:tcBorders>
              <w:bottom w:val="single" w:sz="8" w:color="0000EE"/>
            </w:tcBorders>
            <w:gridSpan w:val="3"/>
          </w:tcPr>
          <w:p>
            <w:pPr>
              <w:spacing w:after="0"/>
              <w:rPr>
                <w:rFonts w:ascii="Arial" w:cs="Arial" w:eastAsia="Arial" w:hAnsi="Arial"/>
                <w:sz w:val="17"/>
                <w:szCs w:val="17"/>
                <w:color w:val="0000EE"/>
                <w:w w:val="99"/>
              </w:rPr>
            </w:pPr>
            <w:hyperlink w:anchor="page15">
              <w:r>
                <w:rPr>
                  <w:rFonts w:ascii="Arial" w:cs="Arial" w:eastAsia="Arial" w:hAnsi="Arial"/>
                  <w:sz w:val="17"/>
                  <w:szCs w:val="17"/>
                  <w:color w:val="0000EE"/>
                  <w:w w:val="99"/>
                </w:rPr>
                <w:t>Risk factors</w:t>
              </w:r>
            </w:hyperlink>
          </w:p>
        </w:tc>
        <w:tc>
          <w:tcPr>
            <w:tcW w:w="5660" w:type="dxa"/>
            <w:vAlign w:val="bottom"/>
            <w:gridSpan w:val="17"/>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47"/>
        </w:trPr>
        <w:tc>
          <w:tcPr>
            <w:tcW w:w="3860" w:type="dxa"/>
            <w:vAlign w:val="bottom"/>
            <w:tcBorders>
              <w:bottom w:val="single" w:sz="8" w:color="0000EE"/>
            </w:tcBorders>
            <w:gridSpan w:val="17"/>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Special note regarding forward-looking statements</w:t>
              </w:r>
            </w:hyperlink>
          </w:p>
        </w:tc>
        <w:tc>
          <w:tcPr>
            <w:tcW w:w="2700" w:type="dxa"/>
            <w:vAlign w:val="bottom"/>
            <w:gridSpan w:val="3"/>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47"/>
        </w:trPr>
        <w:tc>
          <w:tcPr>
            <w:tcW w:w="1260" w:type="dxa"/>
            <w:vAlign w:val="bottom"/>
            <w:tcBorders>
              <w:bottom w:val="single" w:sz="8" w:color="0000EE"/>
            </w:tcBorders>
            <w:gridSpan w:val="8"/>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Use of proceeds</w:t>
              </w:r>
            </w:hyperlink>
          </w:p>
        </w:tc>
        <w:tc>
          <w:tcPr>
            <w:tcW w:w="5300" w:type="dxa"/>
            <w:vAlign w:val="bottom"/>
            <w:gridSpan w:val="12"/>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47"/>
        </w:trPr>
        <w:tc>
          <w:tcPr>
            <w:tcW w:w="1160" w:type="dxa"/>
            <w:vAlign w:val="bottom"/>
            <w:tcBorders>
              <w:bottom w:val="single" w:sz="8" w:color="0000EE"/>
            </w:tcBorders>
            <w:gridSpan w:val="7"/>
          </w:tcPr>
          <w:p>
            <w:pPr>
              <w:spacing w:after="0"/>
              <w:rPr>
                <w:rFonts w:ascii="Arial" w:cs="Arial" w:eastAsia="Arial" w:hAnsi="Arial"/>
                <w:sz w:val="17"/>
                <w:szCs w:val="17"/>
                <w:color w:val="0000EE"/>
                <w:w w:val="99"/>
              </w:rPr>
            </w:pPr>
            <w:hyperlink w:anchor="page67">
              <w:r>
                <w:rPr>
                  <w:rFonts w:ascii="Arial" w:cs="Arial" w:eastAsia="Arial" w:hAnsi="Arial"/>
                  <w:sz w:val="17"/>
                  <w:szCs w:val="17"/>
                  <w:color w:val="0000EE"/>
                  <w:w w:val="99"/>
                </w:rPr>
                <w:t>Dividend policy</w:t>
              </w:r>
            </w:hyperlink>
          </w:p>
        </w:tc>
        <w:tc>
          <w:tcPr>
            <w:tcW w:w="5400" w:type="dxa"/>
            <w:vAlign w:val="bottom"/>
            <w:gridSpan w:val="13"/>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47"/>
        </w:trPr>
        <w:tc>
          <w:tcPr>
            <w:tcW w:w="1040" w:type="dxa"/>
            <w:vAlign w:val="bottom"/>
            <w:tcBorders>
              <w:bottom w:val="single" w:sz="8" w:color="0000EE"/>
            </w:tcBorders>
            <w:gridSpan w:val="6"/>
          </w:tcPr>
          <w:p>
            <w:pPr>
              <w:spacing w:after="0"/>
              <w:rPr>
                <w:rFonts w:ascii="Arial" w:cs="Arial" w:eastAsia="Arial" w:hAnsi="Arial"/>
                <w:sz w:val="17"/>
                <w:szCs w:val="17"/>
                <w:color w:val="0000EE"/>
                <w:w w:val="99"/>
              </w:rPr>
            </w:pPr>
            <w:hyperlink w:anchor="page68">
              <w:r>
                <w:rPr>
                  <w:rFonts w:ascii="Arial" w:cs="Arial" w:eastAsia="Arial" w:hAnsi="Arial"/>
                  <w:sz w:val="17"/>
                  <w:szCs w:val="17"/>
                  <w:color w:val="0000EE"/>
                  <w:w w:val="99"/>
                </w:rPr>
                <w:t>Capitalization</w:t>
              </w:r>
            </w:hyperlink>
          </w:p>
        </w:tc>
        <w:tc>
          <w:tcPr>
            <w:tcW w:w="5520" w:type="dxa"/>
            <w:vAlign w:val="bottom"/>
            <w:gridSpan w:val="14"/>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47"/>
        </w:trPr>
        <w:tc>
          <w:tcPr>
            <w:tcW w:w="580" w:type="dxa"/>
            <w:vAlign w:val="bottom"/>
            <w:tcBorders>
              <w:bottom w:val="single" w:sz="8" w:color="0000EE"/>
            </w:tcBorders>
          </w:tcPr>
          <w:p>
            <w:pPr>
              <w:spacing w:after="0"/>
              <w:rPr>
                <w:rFonts w:ascii="Arial" w:cs="Arial" w:eastAsia="Arial" w:hAnsi="Arial"/>
                <w:sz w:val="17"/>
                <w:szCs w:val="17"/>
                <w:color w:val="0000EE"/>
                <w:w w:val="98"/>
              </w:rPr>
            </w:pPr>
            <w:hyperlink w:anchor="page70">
              <w:r>
                <w:rPr>
                  <w:rFonts w:ascii="Arial" w:cs="Arial" w:eastAsia="Arial" w:hAnsi="Arial"/>
                  <w:sz w:val="17"/>
                  <w:szCs w:val="17"/>
                  <w:color w:val="0000EE"/>
                  <w:w w:val="98"/>
                </w:rPr>
                <w:t>Dilution</w:t>
              </w:r>
            </w:hyperlink>
          </w:p>
        </w:tc>
        <w:tc>
          <w:tcPr>
            <w:tcW w:w="5980" w:type="dxa"/>
            <w:vAlign w:val="bottom"/>
            <w:gridSpan w:val="19"/>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47"/>
        </w:trPr>
        <w:tc>
          <w:tcPr>
            <w:tcW w:w="2760" w:type="dxa"/>
            <w:vAlign w:val="bottom"/>
            <w:tcBorders>
              <w:bottom w:val="single" w:sz="8" w:color="0000EE"/>
            </w:tcBorders>
            <w:gridSpan w:val="15"/>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Selected consolidated financial data</w:t>
              </w:r>
            </w:hyperlink>
          </w:p>
        </w:tc>
        <w:tc>
          <w:tcPr>
            <w:tcW w:w="3800" w:type="dxa"/>
            <w:vAlign w:val="bottom"/>
            <w:gridSpan w:val="5"/>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47"/>
        </w:trPr>
        <w:tc>
          <w:tcPr>
            <w:tcW w:w="6560" w:type="dxa"/>
            <w:vAlign w:val="bottom"/>
            <w:tcBorders>
              <w:bottom w:val="single" w:sz="8" w:color="0000EE"/>
            </w:tcBorders>
            <w:gridSpan w:val="20"/>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Management’s discussion and analysis of financial condition and results of operations</w:t>
              </w:r>
            </w:hyperlink>
          </w:p>
        </w:tc>
        <w:tc>
          <w:tcPr>
            <w:tcW w:w="42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47"/>
        </w:trPr>
        <w:tc>
          <w:tcPr>
            <w:tcW w:w="70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92">
              <w:r>
                <w:rPr>
                  <w:rFonts w:ascii="Arial" w:cs="Arial" w:eastAsia="Arial" w:hAnsi="Arial"/>
                  <w:sz w:val="17"/>
                  <w:szCs w:val="17"/>
                  <w:color w:val="0000EE"/>
                  <w:w w:val="98"/>
                </w:rPr>
                <w:t>Business</w:t>
              </w:r>
            </w:hyperlink>
          </w:p>
        </w:tc>
        <w:tc>
          <w:tcPr>
            <w:tcW w:w="5860" w:type="dxa"/>
            <w:vAlign w:val="bottom"/>
            <w:gridSpan w:val="18"/>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47"/>
        </w:trPr>
        <w:tc>
          <w:tcPr>
            <w:tcW w:w="6560" w:type="dxa"/>
            <w:vAlign w:val="bottom"/>
            <w:gridSpan w:val="20"/>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Management</w:t>
              </w:r>
            </w:hyperlink>
          </w:p>
        </w:tc>
        <w:tc>
          <w:tcPr>
            <w:tcW w:w="426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47"/>
        </w:trPr>
        <w:tc>
          <w:tcPr>
            <w:tcW w:w="1880" w:type="dxa"/>
            <w:vAlign w:val="bottom"/>
            <w:tcBorders>
              <w:bottom w:val="single" w:sz="8" w:color="0000EE"/>
            </w:tcBorders>
            <w:gridSpan w:val="12"/>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Executive compensation</w:t>
              </w:r>
            </w:hyperlink>
          </w:p>
        </w:tc>
        <w:tc>
          <w:tcPr>
            <w:tcW w:w="4680" w:type="dxa"/>
            <w:vAlign w:val="bottom"/>
            <w:gridSpan w:val="8"/>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47"/>
        </w:trPr>
        <w:tc>
          <w:tcPr>
            <w:tcW w:w="6560" w:type="dxa"/>
            <w:vAlign w:val="bottom"/>
            <w:gridSpan w:val="20"/>
          </w:tcPr>
          <w:p>
            <w:pPr>
              <w:spacing w:after="0"/>
              <w:rPr>
                <w:rFonts w:ascii="Arial" w:cs="Arial" w:eastAsia="Arial" w:hAnsi="Arial"/>
                <w:sz w:val="17"/>
                <w:szCs w:val="17"/>
                <w:color w:val="0000EE"/>
              </w:rPr>
            </w:pPr>
            <w:hyperlink w:anchor="page149">
              <w:r>
                <w:rPr>
                  <w:rFonts w:ascii="Arial" w:cs="Arial" w:eastAsia="Arial" w:hAnsi="Arial"/>
                  <w:sz w:val="17"/>
                  <w:szCs w:val="17"/>
                  <w:color w:val="0000EE"/>
                </w:rPr>
                <w:t>Certain relationships and related party transactions</w:t>
              </w:r>
            </w:hyperlink>
          </w:p>
        </w:tc>
        <w:tc>
          <w:tcPr>
            <w:tcW w:w="426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47"/>
        </w:trPr>
        <w:tc>
          <w:tcPr>
            <w:tcW w:w="1680" w:type="dxa"/>
            <w:vAlign w:val="bottom"/>
            <w:tcBorders>
              <w:top w:val="single" w:sz="8" w:color="0000EE"/>
              <w:bottom w:val="single" w:sz="8" w:color="0000EE"/>
            </w:tcBorders>
            <w:gridSpan w:val="11"/>
          </w:tcPr>
          <w:p>
            <w:pPr>
              <w:spacing w:after="0"/>
              <w:rPr>
                <w:rFonts w:ascii="Arial" w:cs="Arial" w:eastAsia="Arial" w:hAnsi="Arial"/>
                <w:sz w:val="17"/>
                <w:szCs w:val="17"/>
                <w:color w:val="0000EE"/>
              </w:rPr>
            </w:pPr>
            <w:hyperlink w:anchor="page152">
              <w:r>
                <w:rPr>
                  <w:rFonts w:ascii="Arial" w:cs="Arial" w:eastAsia="Arial" w:hAnsi="Arial"/>
                  <w:sz w:val="17"/>
                  <w:szCs w:val="17"/>
                  <w:color w:val="0000EE"/>
                </w:rPr>
                <w:t>Principal stockholders</w:t>
              </w:r>
            </w:hyperlink>
          </w:p>
        </w:tc>
        <w:tc>
          <w:tcPr>
            <w:tcW w:w="2220" w:type="dxa"/>
            <w:vAlign w:val="bottom"/>
            <w:tcBorders>
              <w:top w:val="single" w:sz="8" w:color="0000EE"/>
            </w:tcBorders>
            <w:gridSpan w:val="7"/>
          </w:tcPr>
          <w:p>
            <w:pPr>
              <w:spacing w:after="0"/>
              <w:rPr>
                <w:sz w:val="21"/>
                <w:szCs w:val="21"/>
                <w:color w:val="auto"/>
              </w:rPr>
            </w:pPr>
          </w:p>
        </w:tc>
        <w:tc>
          <w:tcPr>
            <w:tcW w:w="2660" w:type="dxa"/>
            <w:vAlign w:val="bottom"/>
            <w:gridSpan w:val="2"/>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47"/>
        </w:trPr>
        <w:tc>
          <w:tcPr>
            <w:tcW w:w="2060" w:type="dxa"/>
            <w:vAlign w:val="bottom"/>
            <w:tcBorders>
              <w:bottom w:val="single" w:sz="8" w:color="0000EE"/>
            </w:tcBorders>
            <w:gridSpan w:val="13"/>
          </w:tcPr>
          <w:p>
            <w:pPr>
              <w:spacing w:after="0"/>
              <w:rPr>
                <w:rFonts w:ascii="Arial" w:cs="Arial" w:eastAsia="Arial" w:hAnsi="Arial"/>
                <w:sz w:val="17"/>
                <w:szCs w:val="17"/>
                <w:color w:val="0000EE"/>
              </w:rPr>
            </w:pPr>
            <w:hyperlink w:anchor="page154">
              <w:r>
                <w:rPr>
                  <w:rFonts w:ascii="Arial" w:cs="Arial" w:eastAsia="Arial" w:hAnsi="Arial"/>
                  <w:sz w:val="17"/>
                  <w:szCs w:val="17"/>
                  <w:color w:val="0000EE"/>
                </w:rPr>
                <w:t>Description of capital stock</w:t>
              </w:r>
            </w:hyperlink>
          </w:p>
        </w:tc>
        <w:tc>
          <w:tcPr>
            <w:tcW w:w="4500" w:type="dxa"/>
            <w:vAlign w:val="bottom"/>
            <w:gridSpan w:val="7"/>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47"/>
        </w:trPr>
        <w:tc>
          <w:tcPr>
            <w:tcW w:w="2240" w:type="dxa"/>
            <w:vAlign w:val="bottom"/>
            <w:tcBorders>
              <w:bottom w:val="single" w:sz="8" w:color="0000EE"/>
            </w:tcBorders>
            <w:gridSpan w:val="14"/>
          </w:tcPr>
          <w:p>
            <w:pPr>
              <w:spacing w:after="0"/>
              <w:rPr>
                <w:rFonts w:ascii="Arial" w:cs="Arial" w:eastAsia="Arial" w:hAnsi="Arial"/>
                <w:sz w:val="17"/>
                <w:szCs w:val="17"/>
                <w:color w:val="0000EE"/>
              </w:rPr>
            </w:pPr>
            <w:hyperlink w:anchor="page160">
              <w:r>
                <w:rPr>
                  <w:rFonts w:ascii="Arial" w:cs="Arial" w:eastAsia="Arial" w:hAnsi="Arial"/>
                  <w:sz w:val="17"/>
                  <w:szCs w:val="17"/>
                  <w:color w:val="0000EE"/>
                </w:rPr>
                <w:t>Shares eligible for future sale</w:t>
              </w:r>
            </w:hyperlink>
          </w:p>
        </w:tc>
        <w:tc>
          <w:tcPr>
            <w:tcW w:w="4320" w:type="dxa"/>
            <w:vAlign w:val="bottom"/>
            <w:gridSpan w:val="6"/>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47"/>
        </w:trPr>
        <w:tc>
          <w:tcPr>
            <w:tcW w:w="6560" w:type="dxa"/>
            <w:vAlign w:val="bottom"/>
            <w:gridSpan w:val="20"/>
          </w:tcPr>
          <w:p>
            <w:pPr>
              <w:spacing w:after="0"/>
              <w:rPr>
                <w:rFonts w:ascii="Arial" w:cs="Arial" w:eastAsia="Arial" w:hAnsi="Arial"/>
                <w:sz w:val="17"/>
                <w:szCs w:val="17"/>
                <w:color w:val="0000EE"/>
              </w:rPr>
            </w:pPr>
            <w:hyperlink w:anchor="page162">
              <w:r>
                <w:rPr>
                  <w:rFonts w:ascii="Arial" w:cs="Arial" w:eastAsia="Arial" w:hAnsi="Arial"/>
                  <w:sz w:val="17"/>
                  <w:szCs w:val="17"/>
                  <w:color w:val="0000EE"/>
                </w:rPr>
                <w:t>Material U.S. federal income tax consequences to non-U.S. holders</w:t>
              </w:r>
            </w:hyperlink>
          </w:p>
        </w:tc>
        <w:tc>
          <w:tcPr>
            <w:tcW w:w="426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47"/>
        </w:trPr>
        <w:tc>
          <w:tcPr>
            <w:tcW w:w="5160" w:type="dxa"/>
            <w:vAlign w:val="bottom"/>
            <w:tcBorders>
              <w:top w:val="single" w:sz="8" w:color="0000EE"/>
            </w:tcBorders>
            <w:gridSpan w:val="19"/>
          </w:tcPr>
          <w:p>
            <w:pPr>
              <w:spacing w:after="0"/>
              <w:rPr>
                <w:rFonts w:ascii="Arial" w:cs="Arial" w:eastAsia="Arial" w:hAnsi="Arial"/>
                <w:sz w:val="17"/>
                <w:szCs w:val="17"/>
                <w:color w:val="0000EE"/>
              </w:rPr>
            </w:pPr>
            <w:hyperlink w:anchor="page167">
              <w:r>
                <w:rPr>
                  <w:rFonts w:ascii="Arial" w:cs="Arial" w:eastAsia="Arial" w:hAnsi="Arial"/>
                  <w:sz w:val="17"/>
                  <w:szCs w:val="17"/>
                  <w:color w:val="0000EE"/>
                </w:rPr>
                <w:t>Underwriting</w:t>
              </w:r>
            </w:hyperlink>
          </w:p>
        </w:tc>
        <w:tc>
          <w:tcPr>
            <w:tcW w:w="1400" w:type="dxa"/>
            <w:vAlign w:val="bottom"/>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163</w:t>
            </w: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47"/>
        </w:trPr>
        <w:tc>
          <w:tcPr>
            <w:tcW w:w="6560" w:type="dxa"/>
            <w:vAlign w:val="bottom"/>
            <w:gridSpan w:val="20"/>
          </w:tcPr>
          <w:p>
            <w:pPr>
              <w:spacing w:after="0"/>
              <w:rPr>
                <w:rFonts w:ascii="Arial" w:cs="Arial" w:eastAsia="Arial" w:hAnsi="Arial"/>
                <w:sz w:val="17"/>
                <w:szCs w:val="17"/>
                <w:color w:val="0000EE"/>
              </w:rPr>
            </w:pPr>
            <w:hyperlink w:anchor="page175">
              <w:r>
                <w:rPr>
                  <w:rFonts w:ascii="Arial" w:cs="Arial" w:eastAsia="Arial" w:hAnsi="Arial"/>
                  <w:sz w:val="17"/>
                  <w:szCs w:val="17"/>
                  <w:color w:val="0000EE"/>
                </w:rPr>
                <w:t>Legal matters</w:t>
              </w:r>
            </w:hyperlink>
          </w:p>
        </w:tc>
        <w:tc>
          <w:tcPr>
            <w:tcW w:w="426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47"/>
        </w:trPr>
        <w:tc>
          <w:tcPr>
            <w:tcW w:w="1040" w:type="dxa"/>
            <w:vAlign w:val="bottom"/>
            <w:tcBorders>
              <w:top w:val="single" w:sz="8" w:color="0000EE"/>
            </w:tcBorders>
            <w:gridSpan w:val="6"/>
          </w:tcPr>
          <w:p>
            <w:pPr>
              <w:spacing w:after="0"/>
              <w:rPr>
                <w:rFonts w:ascii="Arial" w:cs="Arial" w:eastAsia="Arial" w:hAnsi="Arial"/>
                <w:sz w:val="17"/>
                <w:szCs w:val="17"/>
                <w:color w:val="0000EE"/>
              </w:rPr>
            </w:pPr>
            <w:hyperlink w:anchor="page175">
              <w:r>
                <w:rPr>
                  <w:rFonts w:ascii="Arial" w:cs="Arial" w:eastAsia="Arial" w:hAnsi="Arial"/>
                  <w:sz w:val="17"/>
                  <w:szCs w:val="17"/>
                  <w:color w:val="0000EE"/>
                </w:rPr>
                <w:t>Experts</w:t>
              </w:r>
            </w:hyperlink>
          </w:p>
        </w:tc>
        <w:tc>
          <w:tcPr>
            <w:tcW w:w="5520" w:type="dxa"/>
            <w:vAlign w:val="bottom"/>
            <w:gridSpan w:val="14"/>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0"/>
        </w:trPr>
        <w:tc>
          <w:tcPr>
            <w:tcW w:w="580" w:type="dxa"/>
            <w:vAlign w:val="bottom"/>
            <w:shd w:val="clear" w:color="auto" w:fill="0000EE"/>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47"/>
        </w:trPr>
        <w:tc>
          <w:tcPr>
            <w:tcW w:w="6560" w:type="dxa"/>
            <w:vAlign w:val="bottom"/>
            <w:gridSpan w:val="20"/>
          </w:tcPr>
          <w:p>
            <w:pPr>
              <w:spacing w:after="0"/>
              <w:rPr>
                <w:rFonts w:ascii="Arial" w:cs="Arial" w:eastAsia="Arial" w:hAnsi="Arial"/>
                <w:sz w:val="17"/>
                <w:szCs w:val="17"/>
                <w:color w:val="0000EE"/>
              </w:rPr>
            </w:pPr>
            <w:hyperlink w:anchor="page175">
              <w:r>
                <w:rPr>
                  <w:rFonts w:ascii="Arial" w:cs="Arial" w:eastAsia="Arial" w:hAnsi="Arial"/>
                  <w:sz w:val="17"/>
                  <w:szCs w:val="17"/>
                  <w:color w:val="0000EE"/>
                </w:rPr>
                <w:t>Additional information</w:t>
              </w:r>
            </w:hyperlink>
          </w:p>
        </w:tc>
        <w:tc>
          <w:tcPr>
            <w:tcW w:w="426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0"/>
        </w:trPr>
        <w:tc>
          <w:tcPr>
            <w:tcW w:w="1660" w:type="dxa"/>
            <w:vAlign w:val="bottom"/>
            <w:gridSpan w:val="10"/>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47"/>
        </w:trPr>
        <w:tc>
          <w:tcPr>
            <w:tcW w:w="3220" w:type="dxa"/>
            <w:vAlign w:val="bottom"/>
            <w:tcBorders>
              <w:bottom w:val="single" w:sz="8" w:color="0000EE"/>
            </w:tcBorders>
            <w:gridSpan w:val="16"/>
          </w:tcPr>
          <w:p>
            <w:pPr>
              <w:spacing w:after="0"/>
              <w:rPr>
                <w:rFonts w:ascii="Arial" w:cs="Arial" w:eastAsia="Arial" w:hAnsi="Arial"/>
                <w:sz w:val="17"/>
                <w:szCs w:val="17"/>
                <w:color w:val="0000EE"/>
              </w:rPr>
            </w:pPr>
            <w:hyperlink w:anchor="page176">
              <w:r>
                <w:rPr>
                  <w:rFonts w:ascii="Arial" w:cs="Arial" w:eastAsia="Arial" w:hAnsi="Arial"/>
                  <w:sz w:val="17"/>
                  <w:szCs w:val="17"/>
                  <w:color w:val="0000EE"/>
                </w:rPr>
                <w:t>Index to consolidated financial statements</w:t>
              </w:r>
            </w:hyperlink>
          </w:p>
        </w:tc>
        <w:tc>
          <w:tcPr>
            <w:tcW w:w="3340" w:type="dxa"/>
            <w:vAlign w:val="bottom"/>
            <w:gridSpan w:val="4"/>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144145</wp:posOffset>
            </wp:positionV>
            <wp:extent cx="1456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308" w:lineRule="exact"/>
        <w:rPr>
          <w:sz w:val="20"/>
          <w:szCs w:val="20"/>
          <w:color w:val="auto"/>
        </w:rPr>
      </w:pPr>
    </w:p>
    <w:p>
      <w:pPr>
        <w:ind w:left="280" w:right="180"/>
        <w:spacing w:after="0" w:line="267"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delivery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106045</wp:posOffset>
            </wp:positionV>
            <wp:extent cx="1456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70"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the date of this prospectus, regardless of the time of delivery of this prospectus or of any sale of the common stock.</w:t>
      </w:r>
    </w:p>
    <w:p>
      <w:pPr>
        <w:spacing w:after="0" w:line="93" w:lineRule="exact"/>
        <w:rPr>
          <w:sz w:val="20"/>
          <w:szCs w:val="20"/>
          <w:color w:val="auto"/>
        </w:rPr>
      </w:pPr>
    </w:p>
    <w:p>
      <w:pPr>
        <w:ind w:left="280" w:right="40"/>
        <w:spacing w:after="0" w:line="262" w:lineRule="auto"/>
        <w:rPr>
          <w:sz w:val="20"/>
          <w:szCs w:val="20"/>
          <w:color w:val="auto"/>
        </w:rPr>
      </w:pPr>
      <w:r>
        <w:rPr>
          <w:rFonts w:ascii="Arial" w:cs="Arial" w:eastAsia="Arial" w:hAnsi="Arial"/>
          <w:sz w:val="17"/>
          <w:szCs w:val="17"/>
          <w:color w:val="auto"/>
        </w:rPr>
        <w:t>Persons who come into possession of this prospectus and any applicable free writing prospectus in jurisdictions outside the United States are required to inform themselves about and to observe any restrictions as to this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140"/>
          </w:cols>
          <w:pgMar w:left="240" w:top="455"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offering and the distribution of this prospectus and any such free writing prospectus applicable to that jurisdiction.</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Trademarks and tradenames</w:t>
      </w:r>
    </w:p>
    <w:p>
      <w:pPr>
        <w:spacing w:after="0" w:line="141" w:lineRule="exact"/>
        <w:rPr>
          <w:sz w:val="20"/>
          <w:szCs w:val="20"/>
          <w:color w:val="auto"/>
        </w:rPr>
      </w:pPr>
    </w:p>
    <w:p>
      <w:pPr>
        <w:jc w:val="both"/>
        <w:ind w:left="280" w:right="100"/>
        <w:spacing w:after="0" w:line="249" w:lineRule="auto"/>
        <w:rPr>
          <w:sz w:val="20"/>
          <w:szCs w:val="20"/>
          <w:color w:val="auto"/>
        </w:rPr>
      </w:pPr>
      <w:r>
        <w:rPr>
          <w:rFonts w:ascii="Arial" w:cs="Arial" w:eastAsia="Arial" w:hAnsi="Arial"/>
          <w:sz w:val="17"/>
          <w:szCs w:val="17"/>
          <w:color w:val="auto"/>
        </w:rPr>
        <w:t xml:space="preserve">The mark “Stoke Therapeutics” is our registered trademark. The Stoke logo and all product names are our common law trademarks. All other service marks, trademarks and tradenames appearing in this prospectus are the property of their respective owners. Solely for convenience, the trademarks and tradenames referred to in this prospectus appear without the </w:t>
      </w:r>
      <w:r>
        <w:rPr>
          <w:rFonts w:ascii="Arial" w:cs="Arial" w:eastAsia="Arial" w:hAnsi="Arial"/>
          <w:sz w:val="11"/>
          <w:szCs w:val="11"/>
          <w:color w:val="auto"/>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Market and industry data</w:t>
      </w:r>
    </w:p>
    <w:p>
      <w:pPr>
        <w:spacing w:after="0" w:line="14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This prospectus contains estimates and other statistical data made by independent parties, as well as by Health Advances LLC in a report that we commissioned, and by us relating to our industry and the markets in which we operate, including our general expectations and market position, market opportunity, the incidence of certain medical conditions and other industry data. These data, to the extent they contain estimates or projections, involve a number of assumptions and limitations, and you are cautioned not to give undue weight to such estimates or projections. Although we have not independently verified the accuracy or completeness of the data contained in these industry publications and reports, based on our industry experience we believe that the publications are reliable, the conclusions contained in the publications and reports are reasonable and the third-party information included in this prospectus and in our estimates is accurate and complete. While we are not aware of any misstatements regarding the industry, survey or research data provided herein, our estimates involve risks and uncertainties and are subject to change based upon various factors, including those discussed under the sections titled “Risk factors” and “Special note regarding forward-looking statements.” These and other factors could cause results to differ materially from those expressed in these publications and reports.</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160"/>
          </w:cols>
          <w:pgMar w:left="240" w:top="455"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545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13880" cy="54571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auto"/>
        </w:rPr>
        <w:t>Prospectus summary</w:t>
      </w:r>
    </w:p>
    <w:p>
      <w:pPr>
        <w:spacing w:after="0" w:line="133"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entitled “Risk factors,” “Selected consolidated financial data” and “Management’s discussion and analysis of financial condition and results of operations,” in each case included in this prospectus. Some of the statements in this prospectus constitute forward-looking statements that involve risks and uncertainties. See the section entitled “Special note regarding forward-looking statements.” Unless the context otherwise requires, we use the terms “Stoke,” “company,” “we,” “us” and “our” in this prospectus to refer to Stoke Therapeutics, Inc.</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Company overview</w:t>
      </w:r>
    </w:p>
    <w:p>
      <w:pPr>
        <w:spacing w:after="0" w:line="141" w:lineRule="exact"/>
        <w:rPr>
          <w:sz w:val="20"/>
          <w:szCs w:val="20"/>
          <w:color w:val="auto"/>
        </w:rPr>
      </w:pPr>
    </w:p>
    <w:p>
      <w:pPr>
        <w:ind w:left="460"/>
        <w:spacing w:after="0" w:line="247" w:lineRule="auto"/>
        <w:rPr>
          <w:sz w:val="20"/>
          <w:szCs w:val="20"/>
          <w:color w:val="auto"/>
        </w:rPr>
      </w:pPr>
      <w:r>
        <w:rPr>
          <w:rFonts w:ascii="Arial" w:cs="Arial" w:eastAsia="Arial" w:hAnsi="Arial"/>
          <w:sz w:val="17"/>
          <w:szCs w:val="17"/>
          <w:color w:val="auto"/>
        </w:rPr>
        <w:t>We are pioneering a new way to treat the underlying causes of severe genetic diseases by precisely upregulating protein expression. We are developing novel antisense oligonucleotide, or ASO, medicines that target ribonucleic acid, or RNA, and modulate precursor-messenger RNA, or pre-mRNA, splicing to upregulate protein expression where needed and with appropriate specificity to near normal levels. We utilize our proprietary technology platform, Targeted Augmentation of Nuclear Gene Output, or TANGO, to design ASOs to upregulate the expression of protein by individual genes in a patient. Our approach is designed to allow us to deliver in a highly precise, durable and controlled manner disease-modifying therapies to a broad range of relevant tissues, including the central nervous system, or CNS, eye, kidney and liver. We designed our lead product candidate, STK-001, to treat Dravet syndrome, a severe and progressive genetic epilepsy. With a well-defined patient population based on routine genetic testing and learnings from recently approved drugs for the treatment of Dravet syndrome to inform the clinical and regulatory pathways for STK-001, we anticipate an efficient clinical program for STK-001. We plan to submit an investigational new drug application, or IND, for STK-001 by early 2020 and expect to initiate a Phase 1/2 clinical trial in the first half of 2020. We intend to nominate a second candidate to treat an additional genetic disease for preclinical development by the first half of 2020.</w:t>
      </w:r>
    </w:p>
    <w:p>
      <w:pPr>
        <w:spacing w:after="0" w:line="93" w:lineRule="exact"/>
        <w:rPr>
          <w:sz w:val="20"/>
          <w:szCs w:val="20"/>
          <w:color w:val="auto"/>
        </w:rPr>
      </w:pPr>
    </w:p>
    <w:p>
      <w:pPr>
        <w:ind w:left="460" w:right="20"/>
        <w:spacing w:after="0" w:line="247" w:lineRule="auto"/>
        <w:rPr>
          <w:sz w:val="20"/>
          <w:szCs w:val="20"/>
          <w:color w:val="auto"/>
        </w:rPr>
      </w:pPr>
      <w:r>
        <w:rPr>
          <w:rFonts w:ascii="Arial" w:cs="Arial" w:eastAsia="Arial" w:hAnsi="Arial"/>
          <w:sz w:val="17"/>
          <w:szCs w:val="17"/>
          <w:color w:val="auto"/>
        </w:rPr>
        <w:t xml:space="preserve">We are developing TANGO as potentially the first precision medicine platform for treating a category of severe genetic diseases known as autosomal dominant haploinsufficiencies, or diseases in which only one copy, or allele, of the gene needs to be mutated for the disease or trait to develop, and in which that mutated allele generates a protein that is severely deficient in amount or activity, resulting in approximately 50% of normal protein expression in the patient. Our novel ASOs are designed to address this protein deficiency by precisely upregulating target protein expression and have the potential to provide disease-modifying therapies to treat many diseases beyond the reach of current approaches. Within haploinsufficiencies, we are initially prioritizing the development of ASOs for the treatment of genetic epilepsies, and specifically Dravet syndrome. Current treatments for Dravet syndrome only address the occurrence of seizures. According to a 2017 study as published in the </w:t>
      </w:r>
      <w:r>
        <w:rPr>
          <w:rFonts w:ascii="Arial" w:cs="Arial" w:eastAsia="Arial" w:hAnsi="Arial"/>
          <w:sz w:val="17"/>
          <w:szCs w:val="17"/>
          <w:i w:val="1"/>
          <w:iCs w:val="1"/>
          <w:color w:val="auto"/>
        </w:rPr>
        <w:t>Developmental Medicine &amp; Child Neurology Journal</w:t>
      </w:r>
      <w:r>
        <w:rPr>
          <w:rFonts w:ascii="Arial" w:cs="Arial" w:eastAsia="Arial" w:hAnsi="Arial"/>
          <w:sz w:val="17"/>
          <w:szCs w:val="17"/>
          <w:color w:val="auto"/>
        </w:rPr>
        <w:t>, more than 90% of Dravet syndrome patients still report suffering from incomplete seizure control with existing antiepileptic regimens. Though we are early in our development, and have only completed preclinical studies to date, we believe we are developing the first genetic medicine designed to target the underlying cause of Dravet syndrome with the potential to significantly reduce the occurrence of seizures, and also potentially address, for the first time, the severe intellectual and developmental disabilities of the disease.</w:t>
      </w:r>
    </w:p>
    <w:p>
      <w:pPr>
        <w:spacing w:after="0" w:line="93" w:lineRule="exact"/>
        <w:rPr>
          <w:sz w:val="20"/>
          <w:szCs w:val="20"/>
          <w:color w:val="auto"/>
        </w:rPr>
      </w:pPr>
    </w:p>
    <w:p>
      <w:pPr>
        <w:jc w:val="both"/>
        <w:ind w:left="460" w:right="120"/>
        <w:spacing w:after="0" w:line="253" w:lineRule="auto"/>
        <w:rPr>
          <w:sz w:val="20"/>
          <w:szCs w:val="20"/>
          <w:color w:val="auto"/>
        </w:rPr>
      </w:pPr>
      <w:r>
        <w:rPr>
          <w:rFonts w:ascii="Arial" w:cs="Arial" w:eastAsia="Arial" w:hAnsi="Arial"/>
          <w:sz w:val="17"/>
          <w:szCs w:val="17"/>
          <w:color w:val="auto"/>
        </w:rPr>
        <w:t>Today, multiple therapeutic modalities, including gene therapy, gene editing, modified mRNA, protein-based drugs, small molecules and oligonucleotides are approved or are being developed to address all types of monogenic diseases. However, most of these therapeutic approaches are focused on autosomal recessive 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40"/>
          </w:cols>
          <w:pgMar w:left="240" w:top="455" w:right="7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5601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3880" cy="56013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60" w:right="40"/>
        <w:spacing w:after="0" w:line="249" w:lineRule="auto"/>
        <w:rPr>
          <w:sz w:val="20"/>
          <w:szCs w:val="20"/>
          <w:color w:val="auto"/>
        </w:rPr>
      </w:pPr>
      <w:r>
        <w:rPr>
          <w:rFonts w:ascii="Arial" w:cs="Arial" w:eastAsia="Arial" w:hAnsi="Arial"/>
          <w:sz w:val="17"/>
          <w:szCs w:val="17"/>
          <w:color w:val="auto"/>
        </w:rPr>
        <w:t>autosomal dominant gain-of-function diseases, and existing precision medicine platforms have fundamental limitations that make them poorly suited to address haploinsufficiencies. Numerous technical challenges preclude effective application of these modalities, including the inability to control level and tissue distribution of target protein expression, potential irreversible on- and off-target effects, target gene size limitations and incompatibility with diseases caused by many mutations. As a result, there is a need for novel therapeutics that can restore protein expression and address the underlying genetic causes of haploinsufficiencies.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Our precision medicine platform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Treatment of autosomal dominant haploinsufficiency diseases with TANGO</w:t>
      </w:r>
    </w:p>
    <w:p>
      <w:pPr>
        <w:spacing w:after="0" w:line="131" w:lineRule="exact"/>
        <w:rPr>
          <w:sz w:val="20"/>
          <w:szCs w:val="20"/>
          <w:color w:val="auto"/>
        </w:rPr>
      </w:pPr>
    </w:p>
    <w:p>
      <w:pPr>
        <w:ind w:left="460" w:right="40"/>
        <w:spacing w:after="0" w:line="247" w:lineRule="auto"/>
        <w:rPr>
          <w:sz w:val="20"/>
          <w:szCs w:val="20"/>
          <w:color w:val="auto"/>
        </w:rPr>
      </w:pPr>
      <w:r>
        <w:rPr>
          <w:rFonts w:ascii="Arial" w:cs="Arial" w:eastAsia="Arial" w:hAnsi="Arial"/>
          <w:sz w:val="17"/>
          <w:szCs w:val="17"/>
          <w:color w:val="auto"/>
        </w:rPr>
        <w:t>TANGO exploits unique, patented mechanisms for antisense-mediated modulation of splicing to prevent the synthesis of naturally occurring non-productive messenger RNA, or mRNA, and to increase the synthesis of productive mRNA to increase production of functional protein. TANGO is designed to address multiple forms of non-productive splicing events and is amenable to most loss-of-function mutations, thereby potentially providing a single-drug approach for diseases that are caused by a large number of mutations in a single gene. We have assembled a proprietary database of non-productive events in the human transcriptome and have identified approximately 2,900 monogenic, or single gene, diseases which we believe are amenable to TANGO. We have an intellectual property estate that includes multi-national allowed and pending claims for the TANGO mechanisms, as well as multi-national pending claims relating to compositions of matter of oligonucleotides designed to target specific TANGO elements in genes for more than 140 genetic diseases that we believe are amenable to upregulation of target protein expression using TANGO.</w:t>
      </w:r>
    </w:p>
    <w:p>
      <w:pPr>
        <w:spacing w:after="0" w:line="96" w:lineRule="exact"/>
        <w:rPr>
          <w:sz w:val="20"/>
          <w:szCs w:val="20"/>
          <w:color w:val="auto"/>
        </w:rPr>
      </w:pPr>
    </w:p>
    <w:p>
      <w:pPr>
        <w:ind w:left="460"/>
        <w:spacing w:after="0" w:line="248" w:lineRule="auto"/>
        <w:rPr>
          <w:sz w:val="20"/>
          <w:szCs w:val="20"/>
          <w:color w:val="auto"/>
        </w:rPr>
      </w:pPr>
      <w:r>
        <w:rPr>
          <w:rFonts w:ascii="Arial" w:cs="Arial" w:eastAsia="Arial" w:hAnsi="Arial"/>
          <w:sz w:val="17"/>
          <w:szCs w:val="17"/>
          <w:color w:val="auto"/>
        </w:rPr>
        <w:t>The figures below illustrate the TANGO mechanism for increasing protein synthesis in a prospective patient with a haploinsufficiency. To date, we have demonstrated this TANGO mechanism in preclinical models of haploinsufficiency. The left panel illustrates the prospective patient with a haploinsufficiency possessing one wild-type allele and one mutant allele. The mutant allele is translated into non-functional protein and results in approximately 50% of normal protein expression. In the right panel, treatment with our ASO would prevent the synthesis of naturally occurring non-productive mRNA and would increase the synthesis of productive mRNA, thereby restoring the target protein to near normal levels. Our preclinical studies show that any increase in mutant mRNA would have no effect on the net protein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60"/>
          </w:cols>
          <w:pgMar w:left="240" w:top="455" w:right="6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5838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3880" cy="58381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Advantages of TANGO</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TANGO may have several key advantages, including:</w:t>
      </w:r>
    </w:p>
    <w:p>
      <w:pPr>
        <w:spacing w:after="0" w:line="107" w:lineRule="exact"/>
        <w:rPr>
          <w:sz w:val="20"/>
          <w:szCs w:val="20"/>
          <w:color w:val="auto"/>
        </w:rPr>
      </w:pPr>
    </w:p>
    <w:p>
      <w:pPr>
        <w:ind w:left="640" w:right="360" w:hanging="186"/>
        <w:spacing w:after="0" w:line="28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Ability to address the underlying genetic cause of the disease. </w:t>
      </w:r>
      <w:r>
        <w:rPr>
          <w:rFonts w:ascii="Arial" w:cs="Arial" w:eastAsia="Arial" w:hAnsi="Arial"/>
          <w:sz w:val="17"/>
          <w:szCs w:val="17"/>
          <w:color w:val="auto"/>
        </w:rPr>
        <w:t>We utilize TANGO to design ASOs to precisely upregulate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expression, thereby addressing the underlying cause of the disease rather than the symptoms of the disease.</w:t>
      </w:r>
    </w:p>
    <w:p>
      <w:pPr>
        <w:spacing w:after="0" w:line="57" w:lineRule="exact"/>
        <w:rPr>
          <w:rFonts w:ascii="Arial" w:cs="Arial" w:eastAsia="Arial" w:hAnsi="Arial"/>
          <w:sz w:val="17"/>
          <w:szCs w:val="17"/>
          <w:color w:val="auto"/>
        </w:rPr>
      </w:pPr>
    </w:p>
    <w:p>
      <w:pPr>
        <w:ind w:left="640" w:right="420" w:hanging="186"/>
        <w:spacing w:after="0" w:line="28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Applicability is mutation-independent. </w:t>
      </w:r>
      <w:r>
        <w:rPr>
          <w:rFonts w:ascii="Arial" w:cs="Arial" w:eastAsia="Arial" w:hAnsi="Arial"/>
          <w:sz w:val="17"/>
          <w:szCs w:val="17"/>
          <w:color w:val="auto"/>
        </w:rPr>
        <w:t>Our ASOs upregulate expression of the wild-type allele, meaning the TANGO mechanism</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rely on targeting a specific mutation.</w:t>
      </w:r>
    </w:p>
    <w:p>
      <w:pPr>
        <w:spacing w:after="0" w:line="57" w:lineRule="exact"/>
        <w:rPr>
          <w:rFonts w:ascii="Arial" w:cs="Arial" w:eastAsia="Arial" w:hAnsi="Arial"/>
          <w:sz w:val="17"/>
          <w:szCs w:val="17"/>
          <w:color w:val="auto"/>
        </w:rPr>
      </w:pPr>
    </w:p>
    <w:p>
      <w:pPr>
        <w:ind w:left="640" w:right="60" w:hanging="186"/>
        <w:spacing w:after="0" w:line="28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Utility across small and large gene targets encoding intracellular and extracellular proteins. </w:t>
      </w:r>
      <w:r>
        <w:rPr>
          <w:rFonts w:ascii="Arial" w:cs="Arial" w:eastAsia="Arial" w:hAnsi="Arial"/>
          <w:sz w:val="17"/>
          <w:szCs w:val="17"/>
          <w:color w:val="auto"/>
        </w:rPr>
        <w:t>Our ASOs upregulate protein expression</w:t>
      </w:r>
      <w:r>
        <w:rPr>
          <w:rFonts w:ascii="Arial" w:cs="Arial" w:eastAsia="Arial" w:hAnsi="Arial"/>
          <w:sz w:val="17"/>
          <w:szCs w:val="17"/>
          <w:i w:val="1"/>
          <w:iCs w:val="1"/>
          <w:color w:val="auto"/>
        </w:rPr>
        <w:t xml:space="preserve"> </w:t>
      </w:r>
      <w:r>
        <w:rPr>
          <w:rFonts w:ascii="Arial" w:cs="Arial" w:eastAsia="Arial" w:hAnsi="Arial"/>
          <w:sz w:val="17"/>
          <w:szCs w:val="17"/>
          <w:color w:val="auto"/>
        </w:rPr>
        <w:t>regardless of gene size and are not constrained to smaller gene targets.</w:t>
      </w:r>
    </w:p>
    <w:p>
      <w:pPr>
        <w:spacing w:after="0" w:line="57" w:lineRule="exact"/>
        <w:rPr>
          <w:rFonts w:ascii="Arial" w:cs="Arial" w:eastAsia="Arial" w:hAnsi="Arial"/>
          <w:sz w:val="17"/>
          <w:szCs w:val="17"/>
          <w:color w:val="auto"/>
        </w:rPr>
      </w:pPr>
    </w:p>
    <w:p>
      <w:pPr>
        <w:ind w:left="640" w:right="140" w:hanging="186"/>
        <w:spacing w:after="0" w:line="28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No observed unwanted off-target effects. </w:t>
      </w:r>
      <w:r>
        <w:rPr>
          <w:rFonts w:ascii="Arial" w:cs="Arial" w:eastAsia="Arial" w:hAnsi="Arial"/>
          <w:sz w:val="17"/>
          <w:szCs w:val="17"/>
          <w:color w:val="auto"/>
        </w:rPr>
        <w:t>TANGO-mediated upregulation of protein expression only occurs where the gene is being</w:t>
      </w:r>
      <w:r>
        <w:rPr>
          <w:rFonts w:ascii="Arial" w:cs="Arial" w:eastAsia="Arial" w:hAnsi="Arial"/>
          <w:sz w:val="17"/>
          <w:szCs w:val="17"/>
          <w:i w:val="1"/>
          <w:iCs w:val="1"/>
          <w:color w:val="auto"/>
        </w:rPr>
        <w:t xml:space="preserve"> </w:t>
      </w:r>
      <w:r>
        <w:rPr>
          <w:rFonts w:ascii="Arial" w:cs="Arial" w:eastAsia="Arial" w:hAnsi="Arial"/>
          <w:sz w:val="17"/>
          <w:szCs w:val="17"/>
          <w:color w:val="auto"/>
        </w:rPr>
        <w:t>naturally transcribed, limiting the likelihood of expression in non-native tissues.</w:t>
      </w:r>
    </w:p>
    <w:p>
      <w:pPr>
        <w:spacing w:after="0" w:line="57" w:lineRule="exact"/>
        <w:rPr>
          <w:rFonts w:ascii="Arial" w:cs="Arial" w:eastAsia="Arial" w:hAnsi="Arial"/>
          <w:sz w:val="17"/>
          <w:szCs w:val="17"/>
          <w:color w:val="auto"/>
        </w:rPr>
      </w:pPr>
    </w:p>
    <w:p>
      <w:pPr>
        <w:ind w:left="640" w:hanging="186"/>
        <w:spacing w:after="0" w:line="26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Ability to control dose level and duration. </w:t>
      </w:r>
      <w:r>
        <w:rPr>
          <w:rFonts w:ascii="Arial" w:cs="Arial" w:eastAsia="Arial" w:hAnsi="Arial"/>
          <w:sz w:val="17"/>
          <w:szCs w:val="17"/>
          <w:color w:val="auto"/>
        </w:rPr>
        <w:t>Our ASOs provide the ability for dose titration, thereby allowing for dose-dependent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reversible control of level and duration of protein expression. The ability to titrate dosage provides us with flexibility to address a variety of tissue types, and potentially enables us to deliver the right dose, at the right location, for each indication.</w:t>
      </w:r>
    </w:p>
    <w:p>
      <w:pPr>
        <w:spacing w:after="0" w:line="75" w:lineRule="exact"/>
        <w:rPr>
          <w:rFonts w:ascii="Arial" w:cs="Arial" w:eastAsia="Arial" w:hAnsi="Arial"/>
          <w:sz w:val="17"/>
          <w:szCs w:val="17"/>
          <w:color w:val="auto"/>
        </w:rPr>
      </w:pPr>
    </w:p>
    <w:p>
      <w:pPr>
        <w:ind w:left="640" w:right="60" w:hanging="186"/>
        <w:spacing w:after="0" w:line="26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Utility across a wide array of diseases and tissue types. </w:t>
      </w:r>
      <w:r>
        <w:rPr>
          <w:rFonts w:ascii="Arial" w:cs="Arial" w:eastAsia="Arial" w:hAnsi="Arial"/>
          <w:sz w:val="17"/>
          <w:szCs w:val="17"/>
          <w:color w:val="auto"/>
        </w:rPr>
        <w:t>We believe that ASO delivery to the CNS, eye, kidney and liver is well-established, providing us the potential to address a broad range of genetic diseases. Additionally, we believe ASO delivery to the CNS is particularly well-precedented.</w:t>
      </w:r>
    </w:p>
    <w:p>
      <w:pPr>
        <w:spacing w:after="0" w:line="75" w:lineRule="exact"/>
        <w:rPr>
          <w:rFonts w:ascii="Arial" w:cs="Arial" w:eastAsia="Arial" w:hAnsi="Arial"/>
          <w:sz w:val="17"/>
          <w:szCs w:val="17"/>
          <w:color w:val="auto"/>
        </w:rPr>
      </w:pPr>
    </w:p>
    <w:p>
      <w:pPr>
        <w:ind w:left="640" w:right="520" w:hanging="186"/>
        <w:spacing w:after="0" w:line="26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Fixed dose, rather than weight-based dosing</w:t>
      </w:r>
      <w:r>
        <w:rPr>
          <w:rFonts w:ascii="Arial" w:cs="Arial" w:eastAsia="Arial" w:hAnsi="Arial"/>
          <w:sz w:val="17"/>
          <w:szCs w:val="17"/>
          <w:color w:val="auto"/>
        </w:rPr>
        <w:t>. For CNS and eye targets, the dose of our ASOs should not require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patients to be effective. We believe that a fixed dose across all ages in these targets will lessen reimbursement hurdles associated with a weight-adjusted dose pricing model.</w:t>
      </w:r>
    </w:p>
    <w:p>
      <w:pPr>
        <w:spacing w:after="0" w:line="75" w:lineRule="exact"/>
        <w:rPr>
          <w:rFonts w:ascii="Arial" w:cs="Arial" w:eastAsia="Arial" w:hAnsi="Arial"/>
          <w:sz w:val="17"/>
          <w:szCs w:val="17"/>
          <w:color w:val="auto"/>
        </w:rPr>
      </w:pPr>
    </w:p>
    <w:p>
      <w:pPr>
        <w:ind w:left="640" w:right="60" w:hanging="186"/>
        <w:spacing w:after="0" w:line="26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Favorable dosing regimen. </w:t>
      </w:r>
      <w:r>
        <w:rPr>
          <w:rFonts w:ascii="Arial" w:cs="Arial" w:eastAsia="Arial" w:hAnsi="Arial"/>
          <w:sz w:val="17"/>
          <w:szCs w:val="17"/>
          <w:color w:val="auto"/>
        </w:rPr>
        <w:t>We believe our ASOs may require as few as two to three administrations per year for the CNS or the eye</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generally involve relatively low doses, which would translate to simplified use, an improved safety profile from reduced systemic exposure and lower cost of goods.</w:t>
      </w:r>
    </w:p>
    <w:p>
      <w:pPr>
        <w:spacing w:after="0" w:line="75" w:lineRule="exact"/>
        <w:rPr>
          <w:rFonts w:ascii="Arial" w:cs="Arial" w:eastAsia="Arial" w:hAnsi="Arial"/>
          <w:sz w:val="17"/>
          <w:szCs w:val="17"/>
          <w:color w:val="auto"/>
        </w:rPr>
      </w:pPr>
    </w:p>
    <w:p>
      <w:pPr>
        <w:ind w:left="640" w:right="80" w:hanging="186"/>
        <w:spacing w:after="0" w:line="26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Simple and scalable manufacturing</w:t>
      </w:r>
      <w:r>
        <w:rPr>
          <w:rFonts w:ascii="Arial" w:cs="Arial" w:eastAsia="Arial" w:hAnsi="Arial"/>
          <w:sz w:val="17"/>
          <w:szCs w:val="17"/>
          <w:color w:val="auto"/>
        </w:rPr>
        <w:t>. Our novel ASOs are synthesized by highly scalable, solid-phase chemical synthesis and we</w:t>
      </w:r>
      <w:r>
        <w:rPr>
          <w:rFonts w:ascii="Arial" w:cs="Arial" w:eastAsia="Arial" w:hAnsi="Arial"/>
          <w:sz w:val="17"/>
          <w:szCs w:val="17"/>
          <w:i w:val="1"/>
          <w:iCs w:val="1"/>
          <w:color w:val="auto"/>
        </w:rPr>
        <w:t xml:space="preserve"> </w:t>
      </w:r>
      <w:r>
        <w:rPr>
          <w:rFonts w:ascii="Arial" w:cs="Arial" w:eastAsia="Arial" w:hAnsi="Arial"/>
          <w:sz w:val="17"/>
          <w:szCs w:val="17"/>
          <w:color w:val="auto"/>
        </w:rPr>
        <w:t>leverage a well-established contract manufacturing base. We believe the manufacturing requirements for our ASOs are much simpler, more scalable and more cost-effective than gene therapy and gene editing.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Our programs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Dravet syndrome—STK-001</w:t>
      </w:r>
    </w:p>
    <w:p>
      <w:pPr>
        <w:spacing w:after="0" w:line="131" w:lineRule="exact"/>
        <w:rPr>
          <w:sz w:val="20"/>
          <w:szCs w:val="20"/>
          <w:color w:val="auto"/>
        </w:rPr>
      </w:pPr>
    </w:p>
    <w:p>
      <w:pPr>
        <w:ind w:left="460" w:right="20"/>
        <w:spacing w:after="0" w:line="247" w:lineRule="auto"/>
        <w:rPr>
          <w:sz w:val="20"/>
          <w:szCs w:val="20"/>
          <w:color w:val="auto"/>
        </w:rPr>
      </w:pPr>
      <w:r>
        <w:rPr>
          <w:rFonts w:ascii="Arial" w:cs="Arial" w:eastAsia="Arial" w:hAnsi="Arial"/>
          <w:sz w:val="17"/>
          <w:szCs w:val="17"/>
          <w:color w:val="auto"/>
        </w:rPr>
        <w:t>Our most advanced program is a potentially disease-modifying treatment for Dravet syndrome, a severe and progressive genetic epilepsy. We have generated preclinical data demonstrating proof-of-mechanism for STK-001 and intend to submit an IND by early 2020. We are leveraging similar ASO chemistry as the approved drug, SPINRAZA, which minimizes potential safety and biodistribution risks in the CNS. We applied for Orphan Drug Designation from the FDA in May 2019, and we expect to initiate a Phase 1/2 clinical trial in children and adolescents with Dravet syndrome in the first half of 2020 and anticipate clinical data, including preliminary efficacy data, in 2021. If we see evidence of efficacy following clinical data, then we would plan to meet with regulatory authorities to discuss expedited regulatory pathways, in addition to requesting Fast Track Designation and Breakthrough Therapy Designation. To date, the FDA has given no indication regarding whether our product candidate will receive Orphan Drug Designation or be permitted to use any such expedited pathway.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60"/>
          </w:cols>
          <w:pgMar w:left="240" w:top="455"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551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3880" cy="55168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Additional product opportunities</w:t>
      </w:r>
    </w:p>
    <w:p>
      <w:pPr>
        <w:spacing w:after="0" w:line="131" w:lineRule="exact"/>
        <w:rPr>
          <w:sz w:val="20"/>
          <w:szCs w:val="20"/>
          <w:color w:val="auto"/>
        </w:rPr>
      </w:pPr>
    </w:p>
    <w:p>
      <w:pPr>
        <w:ind w:left="460" w:right="40"/>
        <w:spacing w:after="0" w:line="249" w:lineRule="auto"/>
        <w:rPr>
          <w:sz w:val="20"/>
          <w:szCs w:val="20"/>
          <w:color w:val="auto"/>
        </w:rPr>
      </w:pPr>
      <w:r>
        <w:rPr>
          <w:rFonts w:ascii="Arial" w:cs="Arial" w:eastAsia="Arial" w:hAnsi="Arial"/>
          <w:sz w:val="17"/>
          <w:szCs w:val="17"/>
          <w:color w:val="auto"/>
        </w:rPr>
        <w:t>We intend to nominate a second genetic disease preclinical candidate by the first half of 2020. We are also advancing several other early programs focused on multiple targets, including haploinsufficiency diseases of the CNS, eye, kidney and liver, given the potential of our ASOs to target cells in these organs, and will seek to further establish a pipeline of product candidates in the future. Additional non-epilepsy indications for which our technology may be applicable include autosomal dominant optic atrophy and autosomal dominant polycystic kidney disease.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Our strategy</w:t>
      </w:r>
    </w:p>
    <w:p>
      <w:pPr>
        <w:spacing w:after="0" w:line="141" w:lineRule="exact"/>
        <w:rPr>
          <w:sz w:val="20"/>
          <w:szCs w:val="20"/>
          <w:color w:val="auto"/>
        </w:rPr>
      </w:pPr>
    </w:p>
    <w:p>
      <w:pPr>
        <w:ind w:left="460" w:right="540"/>
        <w:spacing w:after="0" w:line="262" w:lineRule="auto"/>
        <w:rPr>
          <w:sz w:val="20"/>
          <w:szCs w:val="20"/>
          <w:color w:val="auto"/>
        </w:rPr>
      </w:pPr>
      <w:r>
        <w:rPr>
          <w:rFonts w:ascii="Arial" w:cs="Arial" w:eastAsia="Arial" w:hAnsi="Arial"/>
          <w:sz w:val="17"/>
          <w:szCs w:val="17"/>
          <w:color w:val="auto"/>
        </w:rPr>
        <w:t>We are using our proprietary TANGO technology platform to create ASOs for the treatment of severe genetic diseases. The critical components of our strategy include:</w:t>
      </w:r>
    </w:p>
    <w:p>
      <w:pPr>
        <w:spacing w:after="0" w:line="93" w:lineRule="exact"/>
        <w:rPr>
          <w:sz w:val="20"/>
          <w:szCs w:val="20"/>
          <w:color w:val="auto"/>
        </w:rPr>
      </w:pPr>
    </w:p>
    <w:p>
      <w:pPr>
        <w:ind w:left="640" w:hanging="18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Rapidly advance our lead program, STK-001, to clinical proof-of-concept, approval and commercialization.</w:t>
      </w:r>
    </w:p>
    <w:p>
      <w:pPr>
        <w:spacing w:after="0" w:line="124" w:lineRule="exact"/>
        <w:rPr>
          <w:rFonts w:ascii="Arial" w:cs="Arial" w:eastAsia="Arial" w:hAnsi="Arial"/>
          <w:sz w:val="17"/>
          <w:szCs w:val="17"/>
          <w:color w:val="auto"/>
        </w:rPr>
      </w:pPr>
    </w:p>
    <w:p>
      <w:pPr>
        <w:ind w:left="640" w:hanging="18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Prioritize genetic epilepsies for near-term development efforts.</w:t>
      </w:r>
    </w:p>
    <w:p>
      <w:pPr>
        <w:spacing w:after="0" w:line="124" w:lineRule="exact"/>
        <w:rPr>
          <w:rFonts w:ascii="Arial" w:cs="Arial" w:eastAsia="Arial" w:hAnsi="Arial"/>
          <w:sz w:val="17"/>
          <w:szCs w:val="17"/>
          <w:color w:val="auto"/>
        </w:rPr>
      </w:pPr>
    </w:p>
    <w:p>
      <w:pPr>
        <w:ind w:left="640" w:hanging="18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Expand our pipeline into other disease areas to fully exploit the potential of our proprietary platform.</w:t>
      </w:r>
    </w:p>
    <w:p>
      <w:pPr>
        <w:spacing w:after="0" w:line="124" w:lineRule="exact"/>
        <w:rPr>
          <w:rFonts w:ascii="Arial" w:cs="Arial" w:eastAsia="Arial" w:hAnsi="Arial"/>
          <w:sz w:val="17"/>
          <w:szCs w:val="17"/>
          <w:color w:val="auto"/>
        </w:rPr>
      </w:pPr>
    </w:p>
    <w:p>
      <w:pPr>
        <w:ind w:left="640" w:hanging="18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 broad commercial rights to our product candidates.</w:t>
      </w:r>
    </w:p>
    <w:p>
      <w:pPr>
        <w:spacing w:after="0" w:line="124" w:lineRule="exact"/>
        <w:rPr>
          <w:rFonts w:ascii="Arial" w:cs="Arial" w:eastAsia="Arial" w:hAnsi="Arial"/>
          <w:sz w:val="17"/>
          <w:szCs w:val="17"/>
          <w:color w:val="auto"/>
        </w:rPr>
      </w:pPr>
    </w:p>
    <w:p>
      <w:pPr>
        <w:ind w:left="640" w:hanging="18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 to strengthen and expand our intellectual property portfolio.</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Our team</w:t>
      </w:r>
    </w:p>
    <w:p>
      <w:pPr>
        <w:spacing w:after="0" w:line="141" w:lineRule="exact"/>
        <w:rPr>
          <w:sz w:val="20"/>
          <w:szCs w:val="20"/>
          <w:color w:val="auto"/>
        </w:rPr>
      </w:pPr>
    </w:p>
    <w:p>
      <w:pPr>
        <w:ind w:left="460" w:right="60"/>
        <w:spacing w:after="0" w:line="247" w:lineRule="auto"/>
        <w:rPr>
          <w:sz w:val="20"/>
          <w:szCs w:val="20"/>
          <w:color w:val="auto"/>
        </w:rPr>
      </w:pPr>
      <w:r>
        <w:rPr>
          <w:rFonts w:ascii="Arial" w:cs="Arial" w:eastAsia="Arial" w:hAnsi="Arial"/>
          <w:sz w:val="17"/>
          <w:szCs w:val="17"/>
          <w:color w:val="auto"/>
        </w:rPr>
        <w:t>Our executive management team has extensive collective expertise in human genetics and modulation of RNA processes using ASOs, as well as a track record of success in rare disease drug development. Our Chief Executive Officer, Edward M. Kaye, M.D., our Chief Operating Officer and Chief Business Officer, Huw M. Nash, Ph.D., and our Chief Medical Officer, Barry S. Ticho, M.D., Ph.D., FACC, bring extensive biotechnology and pharmaceutical industry experience to our team. In addition, our co-founders, Adrian R. Krainer, Ph.D. (who serves on our board of directors) and Isabel Aznarez, Ph.D. (who serves as our Vice President of Biology), offer extensive academic and research experience, including Professor Krainer’s experience which led to the invention and development of SPINRAZA. Finally, our scientific and clinical advisory boards are comprised of leading experts in the fields of human genetics, pre-mRNA splicing and ASOs, and neurodevelopmental and neurodegenerative diseases.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Our funding</w:t>
      </w:r>
    </w:p>
    <w:p>
      <w:pPr>
        <w:spacing w:after="0" w:line="141" w:lineRule="exact"/>
        <w:rPr>
          <w:sz w:val="20"/>
          <w:szCs w:val="20"/>
          <w:color w:val="auto"/>
        </w:rPr>
      </w:pPr>
    </w:p>
    <w:p>
      <w:pPr>
        <w:ind w:left="460"/>
        <w:spacing w:after="0" w:line="253" w:lineRule="auto"/>
        <w:rPr>
          <w:sz w:val="20"/>
          <w:szCs w:val="20"/>
          <w:color w:val="auto"/>
        </w:rPr>
      </w:pPr>
      <w:r>
        <w:rPr>
          <w:rFonts w:ascii="Arial" w:cs="Arial" w:eastAsia="Arial" w:hAnsi="Arial"/>
          <w:sz w:val="17"/>
          <w:szCs w:val="17"/>
          <w:color w:val="auto"/>
        </w:rPr>
        <w:t>As of March 31, 2019, we have raised over $130 million in funding from two financing rounds, including investments from Apple Tree Partners, RTW Investments, RA Capital Management, Cormorant Asset Management, Perceptive Advisors and funds managed by Janus Henderson Investors, Redmile Group, Sphera Funds Management and Alexandria Venture Investments.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Risks affecting us</w:t>
      </w:r>
    </w:p>
    <w:p>
      <w:pPr>
        <w:spacing w:after="0" w:line="141" w:lineRule="exact"/>
        <w:rPr>
          <w:sz w:val="20"/>
          <w:szCs w:val="20"/>
          <w:color w:val="auto"/>
        </w:rPr>
      </w:pPr>
    </w:p>
    <w:p>
      <w:pPr>
        <w:ind w:left="460" w:right="920"/>
        <w:spacing w:after="0" w:line="262" w:lineRule="auto"/>
        <w:rPr>
          <w:sz w:val="20"/>
          <w:szCs w:val="20"/>
          <w:color w:val="auto"/>
        </w:rPr>
      </w:pPr>
      <w:r>
        <w:rPr>
          <w:rFonts w:ascii="Arial" w:cs="Arial" w:eastAsia="Arial" w:hAnsi="Arial"/>
          <w:sz w:val="17"/>
          <w:szCs w:val="17"/>
          <w:color w:val="auto"/>
        </w:rPr>
        <w:t>Our business is subject to a number of risks and uncertainties, including those highlighted in the section entitled “Risk factors” immediately following this prospectus summary. These risks include, among others, the following:</w:t>
      </w:r>
    </w:p>
    <w:p>
      <w:pPr>
        <w:spacing w:after="0" w:line="93" w:lineRule="exact"/>
        <w:rPr>
          <w:sz w:val="20"/>
          <w:szCs w:val="20"/>
          <w:color w:val="auto"/>
        </w:rPr>
      </w:pPr>
    </w:p>
    <w:p>
      <w:pPr>
        <w:ind w:left="640" w:right="220" w:hanging="186"/>
        <w:spacing w:after="0" w:line="262"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early in our development efforts. If we are unable to develop, obtain regulatory approval for and commercialize STK-001 and our future product candidates, or if we experience significant delays in doing so, our business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80"/>
          </w:cols>
          <w:pgMar w:left="240" w:top="455"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5482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13880" cy="54825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40" w:right="460" w:hanging="186"/>
        <w:spacing w:after="0" w:line="262"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not tested any of our product candidates in clinical trials. Success in early preclinical studies or clinical trials may not be indicative of results obtained in later preclinical studies and clinical trials.</w:t>
      </w:r>
    </w:p>
    <w:p>
      <w:pPr>
        <w:spacing w:after="0" w:line="93" w:lineRule="exact"/>
        <w:rPr>
          <w:rFonts w:ascii="Arial" w:cs="Arial" w:eastAsia="Arial" w:hAnsi="Arial"/>
          <w:sz w:val="17"/>
          <w:szCs w:val="17"/>
          <w:color w:val="auto"/>
        </w:rPr>
      </w:pPr>
    </w:p>
    <w:p>
      <w:pPr>
        <w:ind w:left="640" w:right="660" w:hanging="186"/>
        <w:spacing w:after="0" w:line="262"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93" w:lineRule="exact"/>
        <w:rPr>
          <w:rFonts w:ascii="Arial" w:cs="Arial" w:eastAsia="Arial" w:hAnsi="Arial"/>
          <w:sz w:val="17"/>
          <w:szCs w:val="17"/>
          <w:color w:val="auto"/>
        </w:rPr>
      </w:pPr>
    </w:p>
    <w:p>
      <w:pPr>
        <w:ind w:left="640" w:hanging="186"/>
        <w:spacing w:after="0" w:line="25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of the diseases we seek to treat have low prevalence, and it may be difficult to identify patients with these diseases, which may lead to delays in enrollment for our trials or slower commercial revenue growth if STK-001 or our future product candidates are approved.</w:t>
      </w:r>
    </w:p>
    <w:p>
      <w:pPr>
        <w:spacing w:after="0" w:line="299" w:lineRule="exact"/>
        <w:rPr>
          <w:rFonts w:ascii="Arial" w:cs="Arial" w:eastAsia="Arial" w:hAnsi="Arial"/>
          <w:sz w:val="17"/>
          <w:szCs w:val="17"/>
          <w:color w:val="auto"/>
        </w:rPr>
      </w:pPr>
    </w:p>
    <w:p>
      <w:pPr>
        <w:ind w:left="640" w:hanging="18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be successful in our efforts to use TANGO to expand our pipeline of product candidates and develop marketable products.</w:t>
      </w:r>
    </w:p>
    <w:p>
      <w:pPr>
        <w:spacing w:after="0" w:line="124" w:lineRule="exact"/>
        <w:rPr>
          <w:rFonts w:ascii="Arial" w:cs="Arial" w:eastAsia="Arial" w:hAnsi="Arial"/>
          <w:sz w:val="17"/>
          <w:szCs w:val="17"/>
          <w:color w:val="auto"/>
        </w:rPr>
      </w:pPr>
    </w:p>
    <w:p>
      <w:pPr>
        <w:ind w:left="640" w:right="20" w:hanging="186"/>
        <w:spacing w:after="0" w:line="252"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304" w:lineRule="exact"/>
        <w:rPr>
          <w:rFonts w:ascii="Arial" w:cs="Arial" w:eastAsia="Arial" w:hAnsi="Arial"/>
          <w:sz w:val="17"/>
          <w:szCs w:val="17"/>
          <w:color w:val="auto"/>
        </w:rPr>
      </w:pPr>
    </w:p>
    <w:p>
      <w:pPr>
        <w:ind w:left="640" w:right="20" w:hanging="186"/>
        <w:spacing w:after="0" w:line="262"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93" w:lineRule="exact"/>
        <w:rPr>
          <w:rFonts w:ascii="Arial" w:cs="Arial" w:eastAsia="Arial" w:hAnsi="Arial"/>
          <w:sz w:val="17"/>
          <w:szCs w:val="17"/>
          <w:color w:val="auto"/>
        </w:rPr>
      </w:pPr>
    </w:p>
    <w:p>
      <w:pPr>
        <w:ind w:left="640" w:right="180" w:hanging="186"/>
        <w:spacing w:after="0" w:line="262"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on intellectual property licensed from third parties, and disputes regarding or termination of these licenses could result in loss of significant rights, which would harm our business.</w:t>
      </w:r>
    </w:p>
    <w:p>
      <w:pPr>
        <w:spacing w:after="0" w:line="93" w:lineRule="exact"/>
        <w:rPr>
          <w:rFonts w:ascii="Arial" w:cs="Arial" w:eastAsia="Arial" w:hAnsi="Arial"/>
          <w:sz w:val="17"/>
          <w:szCs w:val="17"/>
          <w:color w:val="auto"/>
        </w:rPr>
      </w:pPr>
    </w:p>
    <w:p>
      <w:pPr>
        <w:ind w:left="640" w:hanging="18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a limited operating history, a history of operating losses and may never achieve or sustain profitability.</w:t>
      </w:r>
    </w:p>
    <w:p>
      <w:pPr>
        <w:spacing w:after="0" w:line="124" w:lineRule="exact"/>
        <w:rPr>
          <w:rFonts w:ascii="Arial" w:cs="Arial" w:eastAsia="Arial" w:hAnsi="Arial"/>
          <w:sz w:val="17"/>
          <w:szCs w:val="17"/>
          <w:color w:val="auto"/>
        </w:rPr>
      </w:pPr>
    </w:p>
    <w:p>
      <w:pPr>
        <w:ind w:left="640" w:right="40" w:hanging="186"/>
        <w:spacing w:after="0" w:line="253"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we complete this offering, we will need substantial additional funds to advance development of STK-001 and our future product candidates, and failure to obtain timely funding may force us to delay, limit or terminate our product development programs, commercialization efforts or other operations.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Corporate information</w:t>
      </w:r>
    </w:p>
    <w:p>
      <w:pPr>
        <w:spacing w:after="0" w:line="141" w:lineRule="exact"/>
        <w:rPr>
          <w:sz w:val="20"/>
          <w:szCs w:val="20"/>
          <w:color w:val="auto"/>
        </w:rPr>
      </w:pPr>
    </w:p>
    <w:p>
      <w:pPr>
        <w:ind w:left="460" w:right="280"/>
        <w:spacing w:after="0" w:line="248" w:lineRule="auto"/>
        <w:rPr>
          <w:sz w:val="20"/>
          <w:szCs w:val="20"/>
          <w:color w:val="auto"/>
        </w:rPr>
      </w:pPr>
      <w:r>
        <w:rPr>
          <w:rFonts w:ascii="Arial" w:cs="Arial" w:eastAsia="Arial" w:hAnsi="Arial"/>
          <w:sz w:val="17"/>
          <w:szCs w:val="17"/>
          <w:color w:val="auto"/>
        </w:rPr>
        <w:t>We were incorporated under the laws of the State of Delaware in June 2014 under the name ASOthera Pharmaceuticals, Inc. We subsequently changed our name to Stoke Therapeutics, Inc. on May 18, 2016. Our principal executive office is located at 45 Wiggins Avenue, Bedford, Massachusetts, 01730, and our telephone number is (781) 430-8200. Our website address is www.stoketherapeutics.com.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Implications of being an emerging growth company and smaller reporting company</w:t>
      </w:r>
    </w:p>
    <w:p>
      <w:pPr>
        <w:spacing w:after="0" w:line="141" w:lineRule="exact"/>
        <w:rPr>
          <w:sz w:val="20"/>
          <w:szCs w:val="20"/>
          <w:color w:val="auto"/>
        </w:rPr>
      </w:pPr>
    </w:p>
    <w:p>
      <w:pPr>
        <w:ind w:left="460" w:right="120"/>
        <w:spacing w:after="0" w:line="253"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or JOBS Act. An emerging growth company may take advantage of reduced reporting requirements that are otherwise applicable to public companies. These provisions include, but are not limited to:</w:t>
      </w:r>
    </w:p>
    <w:p>
      <w:pPr>
        <w:spacing w:after="0" w:line="102" w:lineRule="exact"/>
        <w:rPr>
          <w:sz w:val="20"/>
          <w:szCs w:val="20"/>
          <w:color w:val="auto"/>
        </w:rPr>
      </w:pPr>
    </w:p>
    <w:p>
      <w:pPr>
        <w:ind w:left="640" w:right="120" w:hanging="186"/>
        <w:spacing w:after="0" w:line="262"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only two years of related Management’s discussion and analysis of financial condition and results of operations in this prospectus;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60"/>
          </w:cols>
          <w:pgMar w:left="240" w:top="455"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510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13880" cy="51015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40" w:right="600" w:hanging="186"/>
        <w:spacing w:after="0" w:line="26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on the effectiveness of our internal controls over financial reporting;</w:t>
      </w:r>
    </w:p>
    <w:p>
      <w:pPr>
        <w:spacing w:after="0" w:line="93" w:lineRule="exact"/>
        <w:rPr>
          <w:rFonts w:ascii="Arial" w:cs="Arial" w:eastAsia="Arial" w:hAnsi="Arial"/>
          <w:sz w:val="17"/>
          <w:szCs w:val="17"/>
          <w:color w:val="auto"/>
        </w:rPr>
      </w:pPr>
    </w:p>
    <w:p>
      <w:pPr>
        <w:ind w:left="640" w:right="40" w:hanging="186"/>
        <w:spacing w:after="0" w:line="253"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1" w:lineRule="exact"/>
        <w:rPr>
          <w:rFonts w:ascii="Arial" w:cs="Arial" w:eastAsia="Arial" w:hAnsi="Arial"/>
          <w:sz w:val="17"/>
          <w:szCs w:val="17"/>
          <w:color w:val="auto"/>
        </w:rPr>
      </w:pPr>
    </w:p>
    <w:p>
      <w:pPr>
        <w:ind w:left="640" w:hanging="18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arrangements; and</w:t>
      </w:r>
    </w:p>
    <w:p>
      <w:pPr>
        <w:spacing w:after="0" w:line="124" w:lineRule="exact"/>
        <w:rPr>
          <w:rFonts w:ascii="Arial" w:cs="Arial" w:eastAsia="Arial" w:hAnsi="Arial"/>
          <w:sz w:val="17"/>
          <w:szCs w:val="17"/>
          <w:color w:val="auto"/>
        </w:rPr>
      </w:pPr>
    </w:p>
    <w:p>
      <w:pPr>
        <w:ind w:left="640" w:right="140" w:hanging="186"/>
        <w:spacing w:after="0" w:line="26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80" w:lineRule="exact"/>
        <w:rPr>
          <w:sz w:val="20"/>
          <w:szCs w:val="20"/>
          <w:color w:val="auto"/>
        </w:rPr>
      </w:pPr>
    </w:p>
    <w:p>
      <w:pPr>
        <w:ind w:left="460" w:right="40"/>
        <w:spacing w:after="0" w:line="251" w:lineRule="auto"/>
        <w:rPr>
          <w:sz w:val="20"/>
          <w:szCs w:val="20"/>
          <w:color w:val="auto"/>
        </w:rPr>
      </w:pPr>
      <w:r>
        <w:rPr>
          <w:rFonts w:ascii="Arial" w:cs="Arial" w:eastAsia="Arial" w:hAnsi="Arial"/>
          <w:sz w:val="17"/>
          <w:szCs w:val="17"/>
          <w:color w:val="auto"/>
        </w:rPr>
        <w:t>We may use these provisions until the last day of our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the prior three-year period, we will cease to be an emerging growth company prior to the end of such five-year period.</w:t>
      </w:r>
    </w:p>
    <w:p>
      <w:pPr>
        <w:spacing w:after="0" w:line="89" w:lineRule="exact"/>
        <w:rPr>
          <w:sz w:val="20"/>
          <w:szCs w:val="20"/>
          <w:color w:val="auto"/>
        </w:rPr>
      </w:pPr>
    </w:p>
    <w:p>
      <w:pPr>
        <w:ind w:left="460" w:right="100"/>
        <w:spacing w:after="0" w:line="251"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89" w:lineRule="exact"/>
        <w:rPr>
          <w:sz w:val="20"/>
          <w:szCs w:val="20"/>
          <w:color w:val="auto"/>
        </w:rPr>
      </w:pPr>
    </w:p>
    <w:p>
      <w:pPr>
        <w:ind w:left="460"/>
        <w:spacing w:after="0" w:line="247"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or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96" w:lineRule="exact"/>
        <w:rPr>
          <w:sz w:val="20"/>
          <w:szCs w:val="20"/>
          <w:color w:val="auto"/>
        </w:rPr>
      </w:pPr>
    </w:p>
    <w:p>
      <w:pPr>
        <w:ind w:left="460" w:right="80"/>
        <w:spacing w:after="0" w:line="247"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80"/>
          </w:cols>
          <w:pgMar w:left="240" w:top="455"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5245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13880" cy="52457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auto"/>
        </w:rPr>
        <w:t>The offering</w:t>
      </w:r>
    </w:p>
    <w:p>
      <w:pPr>
        <w:spacing w:after="0" w:line="143"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7"/>
          <w:szCs w:val="17"/>
          <w:b w:val="1"/>
          <w:bCs w:val="1"/>
          <w:color w:val="auto"/>
        </w:rPr>
        <w:t>Common stock offered by</w:t>
      </w:r>
      <w:r>
        <w:rPr>
          <w:sz w:val="20"/>
          <w:szCs w:val="20"/>
          <w:color w:val="auto"/>
        </w:rPr>
        <w:tab/>
      </w:r>
      <w:r>
        <w:rPr>
          <w:rFonts w:ascii="Arial" w:cs="Arial" w:eastAsia="Arial" w:hAnsi="Arial"/>
          <w:sz w:val="17"/>
          <w:szCs w:val="17"/>
          <w:color w:val="auto"/>
        </w:rPr>
        <w:t>6,700,000 shares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us</w:t>
      </w:r>
    </w:p>
    <w:p>
      <w:pPr>
        <w:sectPr>
          <w:pgSz w:w="11900" w:h="16838" w:orient="portrait"/>
          <w:cols w:equalWidth="0" w:num="1">
            <w:col w:w="10900"/>
          </w:cols>
          <w:pgMar w:left="240" w:top="455" w:right="759" w:bottom="1440" w:gutter="0" w:footer="0" w:header="0"/>
        </w:sectPr>
      </w:pPr>
    </w:p>
    <w:p>
      <w:pPr>
        <w:spacing w:after="0" w:line="116" w:lineRule="exact"/>
        <w:rPr>
          <w:sz w:val="20"/>
          <w:szCs w:val="20"/>
          <w:color w:val="auto"/>
        </w:rPr>
      </w:pPr>
    </w:p>
    <w:p>
      <w:pPr>
        <w:ind w:left="460" w:right="60"/>
        <w:spacing w:after="0" w:line="267" w:lineRule="auto"/>
        <w:rPr>
          <w:sz w:val="20"/>
          <w:szCs w:val="20"/>
          <w:color w:val="auto"/>
        </w:rPr>
      </w:pPr>
      <w:r>
        <w:rPr>
          <w:rFonts w:ascii="Arial" w:cs="Arial" w:eastAsia="Arial" w:hAnsi="Arial"/>
          <w:sz w:val="17"/>
          <w:szCs w:val="17"/>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color w:val="auto"/>
        </w:rPr>
        <w:t>30,269,808 shares (or 31,274,808 shares if the underwriters exercise their option to purchase additional shares in full).</w:t>
      </w:r>
    </w:p>
    <w:p>
      <w:pPr>
        <w:spacing w:after="0" w:line="284" w:lineRule="exact"/>
        <w:rPr>
          <w:sz w:val="20"/>
          <w:szCs w:val="20"/>
          <w:color w:val="auto"/>
        </w:rPr>
      </w:pPr>
    </w:p>
    <w:p>
      <w:pPr>
        <w:sectPr>
          <w:pgSz w:w="11900" w:h="16838" w:orient="portrait"/>
          <w:cols w:equalWidth="0" w:num="2">
            <w:col w:w="2560" w:space="720"/>
            <w:col w:w="7620"/>
          </w:cols>
          <w:pgMar w:left="240" w:top="455" w:right="759" w:bottom="1440" w:gutter="0" w:footer="0" w:header="0"/>
          <w:type w:val="continuous"/>
        </w:sectPr>
      </w:pPr>
    </w:p>
    <w:p>
      <w:pPr>
        <w:ind w:left="460"/>
        <w:spacing w:after="0"/>
        <w:tabs>
          <w:tab w:leader="none" w:pos="3260" w:val="left"/>
        </w:tabs>
        <w:rPr>
          <w:sz w:val="20"/>
          <w:szCs w:val="20"/>
          <w:color w:val="auto"/>
        </w:rPr>
      </w:pPr>
      <w:r>
        <w:rPr>
          <w:rFonts w:ascii="Arial" w:cs="Arial" w:eastAsia="Arial" w:hAnsi="Arial"/>
          <w:sz w:val="17"/>
          <w:szCs w:val="17"/>
          <w:b w:val="1"/>
          <w:bCs w:val="1"/>
          <w:color w:val="auto"/>
        </w:rPr>
        <w:t>Option to purchase</w:t>
      </w:r>
      <w:r>
        <w:rPr>
          <w:sz w:val="20"/>
          <w:szCs w:val="20"/>
          <w:color w:val="auto"/>
        </w:rPr>
        <w:tab/>
      </w:r>
      <w:r>
        <w:rPr>
          <w:rFonts w:ascii="Arial" w:cs="Arial" w:eastAsia="Arial" w:hAnsi="Arial"/>
          <w:sz w:val="17"/>
          <w:szCs w:val="17"/>
          <w:color w:val="auto"/>
        </w:rPr>
        <w:t>We have granted the underwriters an option, exercisable for 30 days after the date of this</w:t>
      </w:r>
    </w:p>
    <w:p>
      <w:pPr>
        <w:spacing w:after="0" w:line="27"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7"/>
          <w:szCs w:val="17"/>
          <w:b w:val="1"/>
          <w:bCs w:val="1"/>
          <w:color w:val="auto"/>
        </w:rPr>
        <w:t>additional shares</w:t>
      </w:r>
      <w:r>
        <w:rPr>
          <w:sz w:val="20"/>
          <w:szCs w:val="20"/>
          <w:color w:val="auto"/>
        </w:rPr>
        <w:tab/>
      </w:r>
      <w:r>
        <w:rPr>
          <w:rFonts w:ascii="Arial" w:cs="Arial" w:eastAsia="Arial" w:hAnsi="Arial"/>
          <w:sz w:val="17"/>
          <w:szCs w:val="17"/>
          <w:color w:val="auto"/>
        </w:rPr>
        <w:t>prospectus, to purchase up to an additional 1,005,000 shares from us.</w:t>
      </w:r>
    </w:p>
    <w:p>
      <w:pPr>
        <w:spacing w:after="0" w:line="116"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7"/>
          <w:szCs w:val="17"/>
          <w:b w:val="1"/>
          <w:bCs w:val="1"/>
          <w:color w:val="auto"/>
        </w:rPr>
        <w:t>Use of proceeds</w:t>
      </w:r>
      <w:r>
        <w:rPr>
          <w:sz w:val="20"/>
          <w:szCs w:val="20"/>
          <w:color w:val="auto"/>
        </w:rPr>
        <w:tab/>
      </w:r>
      <w:r>
        <w:rPr>
          <w:rFonts w:ascii="Arial" w:cs="Arial" w:eastAsia="Arial" w:hAnsi="Arial"/>
          <w:sz w:val="17"/>
          <w:szCs w:val="17"/>
          <w:color w:val="auto"/>
        </w:rPr>
        <w:t>We estimate that the net proceeds from this offering will be approximately $91.0 million (or</w:t>
      </w:r>
    </w:p>
    <w:p>
      <w:pPr>
        <w:spacing w:after="0" w:line="27" w:lineRule="exact"/>
        <w:rPr>
          <w:sz w:val="20"/>
          <w:szCs w:val="20"/>
          <w:color w:val="auto"/>
        </w:rPr>
      </w:pPr>
    </w:p>
    <w:p>
      <w:pPr>
        <w:ind w:left="3280" w:right="80"/>
        <w:spacing w:after="0" w:line="251" w:lineRule="auto"/>
        <w:rPr>
          <w:sz w:val="20"/>
          <w:szCs w:val="20"/>
          <w:color w:val="auto"/>
        </w:rPr>
      </w:pPr>
      <w:r>
        <w:rPr>
          <w:rFonts w:ascii="Arial" w:cs="Arial" w:eastAsia="Arial" w:hAnsi="Arial"/>
          <w:sz w:val="17"/>
          <w:szCs w:val="17"/>
          <w:color w:val="auto"/>
        </w:rPr>
        <w:t>approximately $105.0 million if the underwriters exercise their option to purchase additional shares in full), based upon the assumed initial public offering price of $15.00 per share, which is the midpoint of the estimated price range set forth on the cover of this prospectus, after deducting the estimated underwriting discounts and commissions and estimated offering expenses.</w:t>
      </w:r>
    </w:p>
    <w:p>
      <w:pPr>
        <w:spacing w:after="0" w:line="102" w:lineRule="exact"/>
        <w:rPr>
          <w:sz w:val="20"/>
          <w:szCs w:val="20"/>
          <w:color w:val="auto"/>
        </w:rPr>
      </w:pPr>
    </w:p>
    <w:p>
      <w:pPr>
        <w:ind w:left="3280" w:right="280"/>
        <w:spacing w:after="0" w:line="251" w:lineRule="auto"/>
        <w:rPr>
          <w:sz w:val="20"/>
          <w:szCs w:val="20"/>
          <w:color w:val="auto"/>
        </w:rPr>
      </w:pPr>
      <w:r>
        <w:rPr>
          <w:rFonts w:ascii="Arial" w:cs="Arial" w:eastAsia="Arial" w:hAnsi="Arial"/>
          <w:sz w:val="17"/>
          <w:szCs w:val="17"/>
          <w:color w:val="auto"/>
        </w:rPr>
        <w:t>We intend to use the net proceeds that we receive in this offering to advance our lead product candidate, STK-001, through initiation of a Phase 3 clinical trial, to nominate, conduct preclinical studies for and demonstrate clinical proof of concept for additional product candidates and for general corporate purposes. See the section entitled “Use of proceeds.”</w:t>
      </w:r>
    </w:p>
    <w:p>
      <w:pPr>
        <w:spacing w:after="0" w:line="80"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7"/>
          <w:szCs w:val="17"/>
          <w:b w:val="1"/>
          <w:bCs w:val="1"/>
          <w:color w:val="auto"/>
        </w:rPr>
        <w:t>Risk factors</w:t>
      </w:r>
      <w:r>
        <w:rPr>
          <w:sz w:val="20"/>
          <w:szCs w:val="20"/>
          <w:color w:val="auto"/>
        </w:rPr>
        <w:tab/>
      </w:r>
      <w:r>
        <w:rPr>
          <w:rFonts w:ascii="Arial" w:cs="Arial" w:eastAsia="Arial" w:hAnsi="Arial"/>
          <w:sz w:val="17"/>
          <w:szCs w:val="17"/>
          <w:color w:val="auto"/>
        </w:rPr>
        <w:t>You should read the section entitled “Risk factors” in this prospectus for a discussion of factors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consider carefully before deciding to invest in shares of our common stock.</w:t>
      </w:r>
    </w:p>
    <w:p>
      <w:pPr>
        <w:spacing w:after="0" w:line="103"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7"/>
          <w:szCs w:val="17"/>
          <w:b w:val="1"/>
          <w:bCs w:val="1"/>
          <w:color w:val="auto"/>
        </w:rPr>
        <w:t>Controlled company</w:t>
      </w:r>
      <w:r>
        <w:rPr>
          <w:sz w:val="20"/>
          <w:szCs w:val="20"/>
          <w:color w:val="auto"/>
        </w:rPr>
        <w:tab/>
      </w:r>
      <w:r>
        <w:rPr>
          <w:rFonts w:ascii="Arial" w:cs="Arial" w:eastAsia="Arial" w:hAnsi="Arial"/>
          <w:sz w:val="17"/>
          <w:szCs w:val="17"/>
          <w:color w:val="auto"/>
        </w:rPr>
        <w:t>After the completion of this offering, an entity affiliated with Apple Tree Partners will beneficially own</w:t>
      </w:r>
    </w:p>
    <w:p>
      <w:pPr>
        <w:spacing w:after="0" w:line="27" w:lineRule="exact"/>
        <w:rPr>
          <w:sz w:val="20"/>
          <w:szCs w:val="20"/>
          <w:color w:val="auto"/>
        </w:rPr>
      </w:pPr>
    </w:p>
    <w:p>
      <w:pPr>
        <w:ind w:left="3280" w:right="20"/>
        <w:spacing w:after="0" w:line="251" w:lineRule="auto"/>
        <w:rPr>
          <w:sz w:val="20"/>
          <w:szCs w:val="20"/>
          <w:color w:val="auto"/>
        </w:rPr>
      </w:pPr>
      <w:r>
        <w:rPr>
          <w:rFonts w:ascii="Arial" w:cs="Arial" w:eastAsia="Arial" w:hAnsi="Arial"/>
          <w:sz w:val="17"/>
          <w:szCs w:val="17"/>
          <w:color w:val="auto"/>
        </w:rPr>
        <w:t>a majority of the voting power of all outstanding shares of our common stock. As a result, after the filing of our restated certificate of incorporation and the automatic termination of the amended and restated voting agreement as of the closing of this offering, we will be a “controlled company” within the meaning of the corporate governance standards of Nasdaq.</w:t>
      </w:r>
    </w:p>
    <w:p>
      <w:pPr>
        <w:spacing w:after="0" w:line="80"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7"/>
          <w:szCs w:val="17"/>
          <w:b w:val="1"/>
          <w:bCs w:val="1"/>
          <w:color w:val="auto"/>
        </w:rPr>
        <w:t>Proposed Nasdaq Global</w:t>
      </w:r>
      <w:r>
        <w:rPr>
          <w:sz w:val="20"/>
          <w:szCs w:val="20"/>
          <w:color w:val="auto"/>
        </w:rPr>
        <w:tab/>
      </w:r>
      <w:r>
        <w:rPr>
          <w:rFonts w:ascii="Arial" w:cs="Arial" w:eastAsia="Arial" w:hAnsi="Arial"/>
          <w:sz w:val="17"/>
          <w:szCs w:val="17"/>
          <w:color w:val="auto"/>
        </w:rPr>
        <w:t>“STOK”</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Market symbol</w:t>
      </w:r>
    </w:p>
    <w:p>
      <w:pPr>
        <w:spacing w:after="0" w:line="125" w:lineRule="exact"/>
        <w:rPr>
          <w:sz w:val="20"/>
          <w:szCs w:val="20"/>
          <w:color w:val="auto"/>
        </w:rPr>
      </w:pPr>
    </w:p>
    <w:p>
      <w:pPr>
        <w:ind w:left="460" w:right="340"/>
        <w:spacing w:after="0" w:line="251" w:lineRule="auto"/>
        <w:rPr>
          <w:sz w:val="20"/>
          <w:szCs w:val="20"/>
          <w:color w:val="auto"/>
        </w:rPr>
      </w:pPr>
      <w:r>
        <w:rPr>
          <w:rFonts w:ascii="Arial" w:cs="Arial" w:eastAsia="Arial" w:hAnsi="Arial"/>
          <w:sz w:val="17"/>
          <w:szCs w:val="17"/>
          <w:color w:val="auto"/>
        </w:rPr>
        <w:t>The number of shares of our common stock to be outstanding after this offering is based on (i) 892,223 shares of our common stock outstanding as of March 31, 2019 and (ii) the automatic conversion of all outstanding shares of our convertible preferred stock as of March 31, 2019 into an aggregate of 22,677,585 shares of common stock immediately prior to the completion of this offering and excludes:</w:t>
      </w:r>
    </w:p>
    <w:p>
      <w:pPr>
        <w:spacing w:after="0" w:line="102" w:lineRule="exact"/>
        <w:rPr>
          <w:sz w:val="20"/>
          <w:szCs w:val="20"/>
          <w:color w:val="auto"/>
        </w:rPr>
      </w:pPr>
    </w:p>
    <w:p>
      <w:pPr>
        <w:ind w:left="640" w:right="280" w:hanging="186"/>
        <w:spacing w:after="0" w:line="262"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4,034,649 shares of common stock issuable upon the exercise of options outstanding as of March 31, 2019 under our 2014 Equity Incentive Plan, or the 2014 Plan, with a weighted-average exercise price of $1.64 per share;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00"/>
          </w:cols>
          <w:pgMar w:left="240" w:top="455" w:right="7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3221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3880" cy="32219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40" w:right="300" w:hanging="186"/>
        <w:spacing w:after="0" w:line="262"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191,372 shares of common stock issuable upon the exercise of options granted after March 31, 2019 under the 2014 Plan, with a weighted average exercise price of $9.07 per share; and</w:t>
      </w:r>
    </w:p>
    <w:p>
      <w:pPr>
        <w:spacing w:after="0" w:line="93" w:lineRule="exact"/>
        <w:rPr>
          <w:rFonts w:ascii="Arial" w:cs="Arial" w:eastAsia="Arial" w:hAnsi="Arial"/>
          <w:sz w:val="17"/>
          <w:szCs w:val="17"/>
          <w:color w:val="auto"/>
        </w:rPr>
      </w:pPr>
    </w:p>
    <w:p>
      <w:pPr>
        <w:ind w:left="640" w:hanging="186"/>
        <w:spacing w:after="0" w:line="247"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2,910,316 shares of common stock reserved for future issuance under our stock-based compensation plans, consisting of (i) 395,316 shares of common stock reserved for future issuance under our 2014 Plan as of March 31, 2019, (ii) 2,200,000 shares of common stock reserved for future issuance under our 2019 Equity Incentive Plan, which will become effective on the date immediately prior to the date of the effectiveness of the registration statement of which this prospectus forms a part and (iii) 315,000 shares of common stock reserved for future issuance under our 2019 Employee Stock Purchase Plan, which will become effective on the date of the effectiveness of the registration statement of which this prospectus forms a part. Upon completion of this offering, any remaining shares available for issuance under our 2014 Plan will be added to the shares reserved under our 2019 Equity Incentive Plan and we will cease granting awards under our 2014 Plan. Our 2019 Equity Incentive Plan and 2019 Employee Stock Purchase Plan also provide for automatic annual increases in the number of shares reserved under the plans each year, as more fully described in “Executive compensation—Equity compensation plans and other benefit plans.”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otherwise indicated, all information in this prospectus assumes or gives effect to:</w:t>
      </w:r>
    </w:p>
    <w:p>
      <w:pPr>
        <w:spacing w:after="0" w:line="125" w:lineRule="exact"/>
        <w:rPr>
          <w:sz w:val="20"/>
          <w:szCs w:val="20"/>
          <w:color w:val="auto"/>
        </w:rPr>
      </w:pPr>
    </w:p>
    <w:p>
      <w:pPr>
        <w:ind w:left="640" w:right="500" w:hanging="186"/>
        <w:spacing w:after="0" w:line="262"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an aggregate of 22,677,585 shares of common stock immediately prior to the completion of this offering;</w:t>
      </w:r>
    </w:p>
    <w:p>
      <w:pPr>
        <w:spacing w:after="0" w:line="93" w:lineRule="exact"/>
        <w:rPr>
          <w:rFonts w:ascii="Arial" w:cs="Arial" w:eastAsia="Arial" w:hAnsi="Arial"/>
          <w:sz w:val="17"/>
          <w:szCs w:val="17"/>
          <w:color w:val="auto"/>
        </w:rPr>
      </w:pPr>
    </w:p>
    <w:p>
      <w:pPr>
        <w:ind w:left="640" w:hanging="18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9.95-for-1 reverse stock split effected on June 6, 2019;</w:t>
      </w:r>
    </w:p>
    <w:p>
      <w:pPr>
        <w:spacing w:after="0" w:line="124" w:lineRule="exact"/>
        <w:rPr>
          <w:rFonts w:ascii="Arial" w:cs="Arial" w:eastAsia="Arial" w:hAnsi="Arial"/>
          <w:sz w:val="17"/>
          <w:szCs w:val="17"/>
          <w:color w:val="auto"/>
        </w:rPr>
      </w:pPr>
    </w:p>
    <w:p>
      <w:pPr>
        <w:ind w:left="640" w:hanging="18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effectiveness of our restated certificate of incorporation and restated bylaws in connection with the completion of this offering;</w:t>
      </w:r>
    </w:p>
    <w:p>
      <w:pPr>
        <w:spacing w:after="0" w:line="124" w:lineRule="exact"/>
        <w:rPr>
          <w:rFonts w:ascii="Arial" w:cs="Arial" w:eastAsia="Arial" w:hAnsi="Arial"/>
          <w:sz w:val="17"/>
          <w:szCs w:val="17"/>
          <w:color w:val="auto"/>
        </w:rPr>
      </w:pPr>
    </w:p>
    <w:p>
      <w:pPr>
        <w:ind w:left="640" w:hanging="18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exercise of outstanding options after March 31, 2019; and</w:t>
      </w:r>
    </w:p>
    <w:p>
      <w:pPr>
        <w:spacing w:after="0" w:line="124" w:lineRule="exact"/>
        <w:rPr>
          <w:rFonts w:ascii="Arial" w:cs="Arial" w:eastAsia="Arial" w:hAnsi="Arial"/>
          <w:sz w:val="17"/>
          <w:szCs w:val="17"/>
          <w:color w:val="auto"/>
        </w:rPr>
      </w:pPr>
    </w:p>
    <w:p>
      <w:pPr>
        <w:ind w:left="640" w:hanging="18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40"/>
          </w:cols>
          <w:pgMar w:left="240" w:top="455" w:right="8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5516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3880" cy="55168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51" w:lineRule="exact"/>
        <w:rPr>
          <w:sz w:val="20"/>
          <w:szCs w:val="20"/>
          <w:color w:val="auto"/>
        </w:rPr>
      </w:pPr>
    </w:p>
    <w:p>
      <w:pPr>
        <w:ind w:left="460" w:right="100"/>
        <w:spacing w:after="0" w:line="247" w:lineRule="auto"/>
        <w:rPr>
          <w:sz w:val="20"/>
          <w:szCs w:val="20"/>
          <w:color w:val="auto"/>
        </w:rPr>
      </w:pPr>
      <w:r>
        <w:rPr>
          <w:rFonts w:ascii="Arial" w:cs="Arial" w:eastAsia="Arial" w:hAnsi="Arial"/>
          <w:sz w:val="17"/>
          <w:szCs w:val="17"/>
          <w:color w:val="auto"/>
        </w:rPr>
        <w:t>The following tables set forth our summary consolidated statements of operations and consolidated balance sheet data. The summary consolidated statements of operations data presented below for the years ended December 31, 2018 and 2017 are derived from our audited consolidated financial statements included elsewhere in this prospectus. The summary consolidated statements of operations data presented below for the three months ended March 31, 2019 and 2018 are derived from our unaudited consolidated financial statements included elsewhere in this prospectus. The following summary consolidated financial data should be read in conjunction with “Selected consolidated financial data,” “Management’s discussion and analysis of financial condition and results of operations” and our consolidated financial statements and related notes included elsewhere in this prospectus. Our historical results are not necessarily indicative of the results that may be expected in any future period. The summary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5"/>
          </w:tcPr>
          <w:p>
            <w:pPr>
              <w:jc w:val="right"/>
              <w:ind w:right="260"/>
              <w:spacing w:after="0"/>
              <w:rPr>
                <w:sz w:val="20"/>
                <w:szCs w:val="20"/>
                <w:color w:val="auto"/>
              </w:rPr>
            </w:pPr>
            <w:r>
              <w:rPr>
                <w:rFonts w:ascii="Arial" w:cs="Arial" w:eastAsia="Arial" w:hAnsi="Arial"/>
                <w:sz w:val="17"/>
                <w:szCs w:val="17"/>
                <w:b w:val="1"/>
                <w:bCs w:val="1"/>
                <w:color w:val="auto"/>
              </w:rPr>
              <w:t>Three months ended March 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5"/>
          </w:tcPr>
          <w:p>
            <w:pPr>
              <w:jc w:val="right"/>
              <w:ind w:right="10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60" w:type="dxa"/>
            <w:vAlign w:val="bottom"/>
            <w:gridSpan w:val="12"/>
          </w:tcPr>
          <w:p>
            <w:pPr>
              <w:jc w:val="center"/>
              <w:ind w:left="873"/>
              <w:spacing w:after="0"/>
              <w:rPr>
                <w:sz w:val="20"/>
                <w:szCs w:val="20"/>
                <w:color w:val="auto"/>
              </w:rPr>
            </w:pPr>
            <w:r>
              <w:rPr>
                <w:rFonts w:ascii="Arial" w:cs="Arial" w:eastAsia="Arial" w:hAnsi="Arial"/>
                <w:sz w:val="17"/>
                <w:szCs w:val="17"/>
                <w:b w:val="1"/>
                <w:bCs w:val="1"/>
                <w:color w:val="auto"/>
              </w:rPr>
              <w:t>(In thousands, except share and per share amounts)</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4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48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center"/>
              <w:ind w:left="13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4,133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1,252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8,371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and administrative</w:t>
            </w: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2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4,410</w:t>
            </w:r>
          </w:p>
        </w:tc>
        <w:tc>
          <w:tcPr>
            <w:tcW w:w="2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400"/>
              <w:spacing w:after="0"/>
              <w:rPr>
                <w:sz w:val="20"/>
                <w:szCs w:val="20"/>
                <w:color w:val="auto"/>
              </w:rPr>
            </w:pPr>
            <w:r>
              <w:rPr>
                <w:rFonts w:ascii="Arial" w:cs="Arial" w:eastAsia="Arial" w:hAnsi="Arial"/>
                <w:sz w:val="17"/>
                <w:szCs w:val="17"/>
                <w:color w:val="auto"/>
              </w:rPr>
              <w:t>Total operating expenses</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6,322</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12,781</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(6,322)</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(12,781)</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(5,554)</w:t>
            </w:r>
          </w:p>
        </w:tc>
        <w:tc>
          <w:tcPr>
            <w:tcW w:w="0" w:type="dxa"/>
            <w:vAlign w:val="bottom"/>
          </w:tcPr>
          <w:p>
            <w:pPr>
              <w:spacing w:after="0"/>
              <w:rPr>
                <w:sz w:val="1"/>
                <w:szCs w:val="1"/>
                <w:color w:val="auto"/>
              </w:rPr>
            </w:pPr>
          </w:p>
        </w:tc>
      </w:tr>
      <w:tr>
        <w:trPr>
          <w:trHeight w:val="273"/>
        </w:trPr>
        <w:tc>
          <w:tcPr>
            <w:tcW w:w="4560" w:type="dxa"/>
            <w:vAlign w:val="bottom"/>
            <w:gridSpan w:val="2"/>
          </w:tcPr>
          <w:p>
            <w:pPr>
              <w:spacing w:after="0"/>
              <w:rPr>
                <w:sz w:val="20"/>
                <w:szCs w:val="20"/>
                <w:color w:val="auto"/>
              </w:rPr>
            </w:pPr>
            <w:r>
              <w:rPr>
                <w:rFonts w:ascii="Arial" w:cs="Arial" w:eastAsia="Arial" w:hAnsi="Arial"/>
                <w:sz w:val="17"/>
                <w:szCs w:val="17"/>
                <w:color w:val="auto"/>
              </w:rPr>
              <w:t>Other income (expense):</w:t>
            </w:r>
          </w:p>
        </w:tc>
        <w:tc>
          <w:tcPr>
            <w:tcW w:w="26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tcPr>
          <w:p>
            <w:pPr>
              <w:ind w:left="200"/>
              <w:spacing w:after="0"/>
              <w:rPr>
                <w:sz w:val="20"/>
                <w:szCs w:val="20"/>
                <w:color w:val="auto"/>
              </w:rPr>
            </w:pPr>
            <w:r>
              <w:rPr>
                <w:rFonts w:ascii="Arial" w:cs="Arial" w:eastAsia="Arial" w:hAnsi="Arial"/>
                <w:sz w:val="17"/>
                <w:szCs w:val="17"/>
                <w:color w:val="auto"/>
              </w:rPr>
              <w:t>Other expense, net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other income (expense)</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26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(5,742)</w:t>
            </w:r>
          </w:p>
        </w:tc>
        <w:tc>
          <w:tcPr>
            <w:tcW w:w="4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(1,912)</w:t>
            </w:r>
          </w:p>
        </w:tc>
        <w:tc>
          <w:tcPr>
            <w:tcW w:w="320" w:type="dxa"/>
            <w:vAlign w:val="bottom"/>
            <w:gridSpan w:val="2"/>
          </w:tcPr>
          <w:p>
            <w:pPr>
              <w:jc w:val="center"/>
              <w:ind w:left="133"/>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(12,521)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(5,558)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w:t>
            </w: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197" w:lineRule="exact"/>
              <w:rPr>
                <w:sz w:val="20"/>
                <w:szCs w:val="20"/>
                <w:color w:val="auto"/>
              </w:rPr>
            </w:pPr>
            <w:r>
              <w:rPr>
                <w:rFonts w:ascii="Arial" w:cs="Arial" w:eastAsia="Arial" w:hAnsi="Arial"/>
                <w:sz w:val="17"/>
                <w:szCs w:val="17"/>
                <w:color w:val="auto"/>
              </w:rPr>
              <w:t>basic and diluted</w:t>
            </w:r>
            <w:r>
              <w:rPr>
                <w:rFonts w:ascii="Arial" w:cs="Arial" w:eastAsia="Arial" w:hAnsi="Arial"/>
                <w:sz w:val="22"/>
                <w:szCs w:val="22"/>
                <w:color w:val="auto"/>
                <w:vertAlign w:val="superscript"/>
              </w:rPr>
              <w:t>(1)</w:t>
            </w:r>
          </w:p>
        </w:tc>
        <w:tc>
          <w:tcPr>
            <w:tcW w:w="4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(6.89)</w:t>
            </w: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(2.78)</w:t>
            </w:r>
          </w:p>
        </w:tc>
        <w:tc>
          <w:tcPr>
            <w:tcW w:w="320" w:type="dxa"/>
            <w:vAlign w:val="bottom"/>
            <w:gridSpan w:val="2"/>
            <w:shd w:val="clear" w:color="auto" w:fill="CCEEFF"/>
          </w:tcPr>
          <w:p>
            <w:pPr>
              <w:jc w:val="center"/>
              <w:ind w:left="13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(8.29)</w:t>
            </w: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7"/>
                <w:szCs w:val="17"/>
                <w:color w:val="auto"/>
              </w:rPr>
              <w:t>Weighted-average common shares outstanding, basic</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tcPr>
          <w:p>
            <w:pPr>
              <w:ind w:left="200"/>
              <w:spacing w:after="0" w:line="197" w:lineRule="exact"/>
              <w:rPr>
                <w:sz w:val="20"/>
                <w:szCs w:val="20"/>
                <w:color w:val="auto"/>
              </w:rPr>
            </w:pPr>
            <w:r>
              <w:rPr>
                <w:rFonts w:ascii="Arial" w:cs="Arial" w:eastAsia="Arial" w:hAnsi="Arial"/>
                <w:sz w:val="17"/>
                <w:szCs w:val="17"/>
                <w:color w:val="auto"/>
              </w:rPr>
              <w:t>and diluted</w:t>
            </w:r>
            <w:r>
              <w:rPr>
                <w:rFonts w:ascii="Arial" w:cs="Arial" w:eastAsia="Arial" w:hAnsi="Arial"/>
                <w:sz w:val="22"/>
                <w:szCs w:val="22"/>
                <w:color w:val="auto"/>
                <w:vertAlign w:val="superscript"/>
              </w:rPr>
              <w:t>(1)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833,469</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686,985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709,336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670,090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spacing w:after="0" w:line="200" w:lineRule="exact"/>
              <w:rPr>
                <w:sz w:val="20"/>
                <w:szCs w:val="20"/>
                <w:color w:val="auto"/>
              </w:rPr>
            </w:pPr>
            <w:r>
              <w:rPr>
                <w:rFonts w:ascii="Arial" w:cs="Arial" w:eastAsia="Arial" w:hAnsi="Arial"/>
                <w:sz w:val="17"/>
                <w:szCs w:val="17"/>
                <w:color w:val="auto"/>
              </w:rPr>
              <w:t>Pro forma net loss per share, basic and diluted</w:t>
            </w:r>
            <w:r>
              <w:rPr>
                <w:rFonts w:ascii="Arial" w:cs="Arial" w:eastAsia="Arial" w:hAnsi="Arial"/>
                <w:sz w:val="22"/>
                <w:szCs w:val="22"/>
                <w:color w:val="auto"/>
                <w:vertAlign w:val="superscript"/>
              </w:rPr>
              <w:t>(1)</w:t>
            </w:r>
          </w:p>
        </w:tc>
        <w:tc>
          <w:tcPr>
            <w:tcW w:w="4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(0.24)</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center"/>
              <w:ind w:left="133"/>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(0.98)</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7"/>
                <w:szCs w:val="17"/>
                <w:color w:val="auto"/>
              </w:rPr>
              <w:t>Weighted-average shares used in computing pro forma</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tcPr>
          <w:p>
            <w:pPr>
              <w:ind w:left="200"/>
              <w:spacing w:after="0" w:line="210" w:lineRule="exact"/>
              <w:rPr>
                <w:sz w:val="20"/>
                <w:szCs w:val="20"/>
                <w:color w:val="auto"/>
              </w:rPr>
            </w:pPr>
            <w:r>
              <w:rPr>
                <w:rFonts w:ascii="Arial" w:cs="Arial" w:eastAsia="Arial" w:hAnsi="Arial"/>
                <w:sz w:val="17"/>
                <w:szCs w:val="17"/>
                <w:color w:val="auto"/>
              </w:rPr>
              <w:t>net loss per share, basic and diluted</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23,511,054</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12,784,811</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740" w:right="40" w:hanging="286"/>
        <w:spacing w:after="0" w:line="244" w:lineRule="auto"/>
        <w:tabs>
          <w:tab w:leader="none" w:pos="7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Notes 2 and 11 to our audited consolidated financial statements and Note 9 to our unaudited consolidated financial statements included elsewhere in this prospectus for a description of how we compute basic and diluted net loss per share and basic and diluted pro forma net loss per share, and the weighted-average number of shares used in the computation of these per share amounts.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60"/>
          </w:cols>
          <w:pgMar w:left="240" w:top="455"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199390</wp:posOffset>
            </wp:positionV>
            <wp:extent cx="6913880" cy="32473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13880" cy="32473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 March 31, 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Actual</w:t>
            </w:r>
          </w:p>
        </w:tc>
        <w:tc>
          <w:tcPr>
            <w:tcW w:w="1560" w:type="dxa"/>
            <w:vAlign w:val="bottom"/>
            <w:tcBorders>
              <w:bottom w:val="single" w:sz="8" w:color="auto"/>
            </w:tcBorders>
            <w:gridSpan w:val="3"/>
          </w:tcPr>
          <w:p>
            <w:pPr>
              <w:jc w:val="right"/>
              <w:ind w:right="280"/>
              <w:spacing w:after="0" w:line="220" w:lineRule="exact"/>
              <w:rPr>
                <w:sz w:val="20"/>
                <w:szCs w:val="20"/>
                <w:color w:val="auto"/>
              </w:rPr>
            </w:pPr>
            <w:r>
              <w:rPr>
                <w:rFonts w:ascii="Arial" w:cs="Arial" w:eastAsia="Arial" w:hAnsi="Arial"/>
                <w:sz w:val="17"/>
                <w:szCs w:val="17"/>
                <w:b w:val="1"/>
                <w:bCs w:val="1"/>
                <w:color w:val="auto"/>
              </w:rPr>
              <w:t>Pro forma</w:t>
            </w:r>
            <w:r>
              <w:rPr>
                <w:rFonts w:ascii="Arial" w:cs="Arial" w:eastAsia="Arial" w:hAnsi="Arial"/>
                <w:sz w:val="22"/>
                <w:szCs w:val="22"/>
                <w:b w:val="1"/>
                <w:bCs w:val="1"/>
                <w:color w:val="auto"/>
                <w:vertAlign w:val="superscript"/>
              </w:rPr>
              <w:t>(1)(2)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280"/>
              <w:spacing w:after="0" w:line="175" w:lineRule="exact"/>
              <w:rPr>
                <w:sz w:val="20"/>
                <w:szCs w:val="20"/>
                <w:color w:val="auto"/>
              </w:rPr>
            </w:pPr>
            <w:r>
              <w:rPr>
                <w:rFonts w:ascii="Arial" w:cs="Arial" w:eastAsia="Arial" w:hAnsi="Arial"/>
                <w:sz w:val="17"/>
                <w:szCs w:val="17"/>
                <w:b w:val="1"/>
                <w:bCs w:val="1"/>
                <w:color w:val="auto"/>
              </w:rPr>
              <w:t>(unaudited)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2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0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w:t>
            </w:r>
          </w:p>
        </w:tc>
        <w:tc>
          <w:tcPr>
            <w:tcW w:w="3240" w:type="dxa"/>
            <w:vAlign w:val="bottom"/>
            <w:gridSpan w:val="2"/>
          </w:tcPr>
          <w:p>
            <w:pPr>
              <w:jc w:val="right"/>
              <w:ind w:right="33"/>
              <w:spacing w:after="0"/>
              <w:rPr>
                <w:sz w:val="20"/>
                <w:szCs w:val="20"/>
                <w:color w:val="auto"/>
              </w:rPr>
            </w:pPr>
            <w:r>
              <w:rPr>
                <w:rFonts w:ascii="Arial" w:cs="Arial" w:eastAsia="Arial" w:hAnsi="Arial"/>
                <w:sz w:val="17"/>
                <w:szCs w:val="17"/>
                <w:color w:val="auto"/>
              </w:rPr>
              <w:t>$ 98,913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190,070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102,934</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193,006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00" w:type="dxa"/>
            <w:vAlign w:val="bottom"/>
            <w:gridSpan w:val="2"/>
          </w:tcPr>
          <w:p>
            <w:pPr>
              <w:spacing w:after="0" w:line="200" w:lineRule="exact"/>
              <w:rPr>
                <w:sz w:val="20"/>
                <w:szCs w:val="20"/>
                <w:color w:val="auto"/>
              </w:rPr>
            </w:pPr>
            <w:r>
              <w:rPr>
                <w:rFonts w:ascii="Arial" w:cs="Arial" w:eastAsia="Arial" w:hAnsi="Arial"/>
                <w:sz w:val="17"/>
                <w:szCs w:val="17"/>
                <w:color w:val="auto"/>
              </w:rPr>
              <w:t>Working capital</w:t>
            </w:r>
            <w:r>
              <w:rPr>
                <w:rFonts w:ascii="Arial" w:cs="Arial" w:eastAsia="Arial" w:hAnsi="Arial"/>
                <w:sz w:val="22"/>
                <w:szCs w:val="22"/>
                <w:color w:val="auto"/>
                <w:vertAlign w:val="superscript"/>
              </w:rPr>
              <w:t>(3)</w:t>
            </w:r>
          </w:p>
        </w:tc>
        <w:tc>
          <w:tcPr>
            <w:tcW w:w="3240" w:type="dxa"/>
            <w:vAlign w:val="bottom"/>
            <w:gridSpan w:val="2"/>
          </w:tcPr>
          <w:p>
            <w:pPr>
              <w:jc w:val="right"/>
              <w:ind w:right="33"/>
              <w:spacing w:after="0"/>
              <w:rPr>
                <w:sz w:val="20"/>
                <w:szCs w:val="20"/>
                <w:color w:val="auto"/>
              </w:rPr>
            </w:pPr>
            <w:r>
              <w:rPr>
                <w:rFonts w:ascii="Arial" w:cs="Arial" w:eastAsia="Arial" w:hAnsi="Arial"/>
                <w:sz w:val="17"/>
                <w:szCs w:val="17"/>
                <w:color w:val="auto"/>
              </w:rPr>
              <w:t>97,933</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188,948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3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3,353</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00" w:type="dxa"/>
            <w:vAlign w:val="bottom"/>
            <w:gridSpan w:val="2"/>
          </w:tcPr>
          <w:p>
            <w:pPr>
              <w:spacing w:after="0"/>
              <w:rPr>
                <w:sz w:val="20"/>
                <w:szCs w:val="20"/>
                <w:color w:val="auto"/>
              </w:rPr>
            </w:pPr>
            <w:r>
              <w:rPr>
                <w:rFonts w:ascii="Arial" w:cs="Arial" w:eastAsia="Arial" w:hAnsi="Arial"/>
                <w:sz w:val="17"/>
                <w:szCs w:val="17"/>
                <w:color w:val="auto"/>
              </w:rPr>
              <w:t>Accumulated deficit</w:t>
            </w:r>
          </w:p>
        </w:tc>
        <w:tc>
          <w:tcPr>
            <w:tcW w:w="3240" w:type="dxa"/>
            <w:vAlign w:val="bottom"/>
            <w:gridSpan w:val="2"/>
          </w:tcPr>
          <w:p>
            <w:pPr>
              <w:jc w:val="right"/>
              <w:spacing w:after="0"/>
              <w:rPr>
                <w:sz w:val="20"/>
                <w:szCs w:val="20"/>
                <w:color w:val="auto"/>
              </w:rPr>
            </w:pPr>
            <w:r>
              <w:rPr>
                <w:rFonts w:ascii="Arial" w:cs="Arial" w:eastAsia="Arial" w:hAnsi="Arial"/>
                <w:sz w:val="17"/>
                <w:szCs w:val="17"/>
                <w:color w:val="auto"/>
              </w:rPr>
              <w:t>(31,452)</w:t>
            </w:r>
          </w:p>
        </w:tc>
        <w:tc>
          <w:tcPr>
            <w:tcW w:w="3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(31,452)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3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99,581</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190,596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both"/>
        <w:ind w:left="740" w:right="480" w:hanging="286"/>
        <w:spacing w:after="0" w:line="235" w:lineRule="auto"/>
        <w:tabs>
          <w:tab w:leader="none" w:pos="7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pro forma balance sheet data gives effect to (i) the automatic conversion of all outstanding shares of our convertible preferred stock as of March 31, 2019 into an aggregate of 22,677,585 shares of common stock immediately prior to the completion of this offering and (ii) the receipt of $91.0 million in net proceeds from the sale</w:t>
      </w:r>
    </w:p>
    <w:p>
      <w:pPr>
        <w:ind w:left="740" w:right="240"/>
        <w:spacing w:after="0" w:line="253" w:lineRule="auto"/>
        <w:rPr>
          <w:rFonts w:ascii="Arial" w:cs="Arial" w:eastAsia="Arial" w:hAnsi="Arial"/>
          <w:sz w:val="13"/>
          <w:szCs w:val="13"/>
          <w:color w:val="auto"/>
        </w:rPr>
      </w:pPr>
      <w:r>
        <w:rPr>
          <w:rFonts w:ascii="Arial" w:cs="Arial" w:eastAsia="Arial" w:hAnsi="Arial"/>
          <w:sz w:val="13"/>
          <w:szCs w:val="13"/>
          <w:color w:val="auto"/>
        </w:rPr>
        <w:t>of 6,700,000 shares of common stock in this offering, based upon an assumed initial public offering price of $15.00 per share, which is the midpoint of the estimated price range set forth on the cover of this prospectus, after deducting the estimated underwriting discounts and commissions and estimated offering expenses.</w:t>
      </w:r>
    </w:p>
    <w:p>
      <w:pPr>
        <w:spacing w:after="0" w:line="44" w:lineRule="exact"/>
        <w:rPr>
          <w:rFonts w:ascii="Arial" w:cs="Arial" w:eastAsia="Arial" w:hAnsi="Arial"/>
          <w:sz w:val="13"/>
          <w:szCs w:val="13"/>
          <w:color w:val="auto"/>
        </w:rPr>
      </w:pPr>
    </w:p>
    <w:p>
      <w:pPr>
        <w:ind w:left="740" w:right="20" w:hanging="286"/>
        <w:spacing w:after="0" w:line="238" w:lineRule="auto"/>
        <w:tabs>
          <w:tab w:leader="none" w:pos="7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Each $1.00 increase (decrease) in the assumed initial public offering price of $15.00 per share, which is the midpoint of the estimated price range set forth on the cover of this prospectus, would increase (decrease) each of our pro forma cash, cash equivalents and restricted cash, working capital, total assets and total stockholders’ equity by approximately $6.2 million, assuming that the number of shares offered, as set forth on the cover of this prospectus, remains the same and after deducting the estimated underwriting discounts and commissions. Similarly, each increase (decrease) of 1,000,000 shares in the number of shares of common stock offered would increase (decrease) each of our pro forma cash, cash equivalents and restricted cash, working capital, total assets and total stockholders’ equity by approximately $14.0 million, assuming the assumed initial public offering price per share as set forth on the cover of this prospectus remains the same and after deducting the estimated underwriting discounts and commissions. The pro forma information is illustrative only, and we will adjust this information based on the actual initial public offering price and other terms of this offering determined at pricing.</w:t>
      </w:r>
    </w:p>
    <w:p>
      <w:pPr>
        <w:spacing w:after="0" w:line="54" w:lineRule="exact"/>
        <w:rPr>
          <w:rFonts w:ascii="Arial" w:cs="Arial" w:eastAsia="Arial" w:hAnsi="Arial"/>
          <w:sz w:val="13"/>
          <w:szCs w:val="13"/>
          <w:color w:val="auto"/>
        </w:rPr>
      </w:pPr>
    </w:p>
    <w:p>
      <w:pPr>
        <w:ind w:left="740" w:right="320" w:hanging="286"/>
        <w:spacing w:after="0" w:line="253" w:lineRule="auto"/>
        <w:tabs>
          <w:tab w:leader="none" w:pos="7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consolidated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60"/>
          </w:cols>
          <w:pgMar w:left="240" w:top="455"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Risk factors</w:t>
      </w:r>
    </w:p>
    <w:p>
      <w:pPr>
        <w:spacing w:after="0" w:line="133" w:lineRule="exact"/>
        <w:rPr>
          <w:sz w:val="20"/>
          <w:szCs w:val="20"/>
          <w:color w:val="auto"/>
        </w:rPr>
      </w:pPr>
    </w:p>
    <w:p>
      <w:pPr>
        <w:ind w:left="280" w:right="80"/>
        <w:spacing w:after="0" w:line="253"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consolidated financial statements and the related notes appearing at the end of this prospectus.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5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Risks related to product development and regulatory approval</w:t>
      </w:r>
    </w:p>
    <w:p>
      <w:pPr>
        <w:spacing w:after="0" w:line="121" w:lineRule="exact"/>
        <w:rPr>
          <w:sz w:val="20"/>
          <w:szCs w:val="20"/>
          <w:color w:val="auto"/>
        </w:rPr>
      </w:pPr>
    </w:p>
    <w:p>
      <w:pPr>
        <w:ind w:left="280" w:right="60"/>
        <w:spacing w:after="0" w:line="286" w:lineRule="auto"/>
        <w:rPr>
          <w:sz w:val="20"/>
          <w:szCs w:val="20"/>
          <w:color w:val="auto"/>
        </w:rPr>
      </w:pPr>
      <w:r>
        <w:rPr>
          <w:rFonts w:ascii="Arial" w:cs="Arial" w:eastAsia="Arial" w:hAnsi="Arial"/>
          <w:sz w:val="17"/>
          <w:szCs w:val="17"/>
          <w:b w:val="1"/>
          <w:bCs w:val="1"/>
          <w:i w:val="1"/>
          <w:iCs w:val="1"/>
          <w:color w:val="auto"/>
        </w:rPr>
        <w:t>We are early in our development efforts. If we are unable to develop, obtain regulatory approval for and commercialize STK-001 and our future product candidates, or if we experience significant delays in doing so, our business will be materially harmed.</w:t>
      </w:r>
    </w:p>
    <w:p>
      <w:pPr>
        <w:spacing w:after="0" w:line="6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We have invested substantially all of our efforts and financial resources in the development of TANGO and our current lead product candidate, STK-001 for the treatment of Dravet syndrome. We plan to submit an investigational new drug application, or IND, for STK-001 by early 2020. Our ability to generate product revenue, which we do not expect will occur for many years, if ever, will depend heavily on the successful development and eventual commercialization of TANGO and our product candidates, which may never occur. We currently generate no revenue from sales of any product and we may never be able to develop or commercialize a marketable product.</w:t>
      </w:r>
    </w:p>
    <w:p>
      <w:pPr>
        <w:spacing w:after="0" w:line="93"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Each of our programs and product candidates will require preclinical and 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STK-001 and our future product candidates must be authorized for marketing by the U.S. Food and Drug Administration, or the FDA, or certain other foreign regulatory agencies, such as the European Medicines Agency, or the EMA, before we may commercialize any of our product candidates.</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success of STK-001 and our future product candidates depends on multiple factors, including:</w:t>
      </w:r>
    </w:p>
    <w:p>
      <w:pPr>
        <w:spacing w:after="0" w:line="125" w:lineRule="exact"/>
        <w:rPr>
          <w:sz w:val="20"/>
          <w:szCs w:val="20"/>
          <w:color w:val="auto"/>
        </w:rPr>
      </w:pPr>
    </w:p>
    <w:p>
      <w:pPr>
        <w:ind w:left="480" w:right="240" w:hanging="207"/>
        <w:spacing w:after="0" w:line="262"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 INDs and Clinical Trial Authorizations, or CTAs, that allow commencement of our planned clinical trials or future clinical trials for our product candidates in relevant territories;</w:t>
      </w:r>
    </w:p>
    <w:p>
      <w:pPr>
        <w:spacing w:after="0" w:line="93" w:lineRule="exact"/>
        <w:rPr>
          <w:rFonts w:ascii="Arial" w:cs="Arial" w:eastAsia="Arial" w:hAnsi="Arial"/>
          <w:sz w:val="17"/>
          <w:szCs w:val="17"/>
          <w:color w:val="auto"/>
        </w:rPr>
      </w:pPr>
    </w:p>
    <w:p>
      <w:pPr>
        <w:jc w:val="both"/>
        <w:ind w:left="480" w:right="80" w:hanging="207"/>
        <w:spacing w:after="0" w:line="253"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those compliant with Good Laboratory Practices, or GLP, or GLP toxicology studies, biodistribution studies and minimum effective dose studies in animals, and successful enrollment and completion of clinical trials compliant with current Good Clinical Practices, or GCPs;</w:t>
      </w:r>
    </w:p>
    <w:p>
      <w:pPr>
        <w:spacing w:after="0" w:line="101" w:lineRule="exact"/>
        <w:rPr>
          <w:rFonts w:ascii="Arial" w:cs="Arial" w:eastAsia="Arial" w:hAnsi="Arial"/>
          <w:sz w:val="17"/>
          <w:szCs w:val="17"/>
          <w:color w:val="auto"/>
        </w:rPr>
      </w:pPr>
    </w:p>
    <w:p>
      <w:pPr>
        <w:ind w:left="480" w:right="280" w:hanging="207"/>
        <w:spacing w:after="0" w:line="262"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positive results from our clinical programs that are supportive of safety and efficacy and provide an acceptable risk-benefit profile for our product candidates in the intended patient populations;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receipt of regulatory approvals from applicable regulatory authorities;</w:t>
      </w:r>
    </w:p>
    <w:p>
      <w:pPr>
        <w:spacing w:after="0" w:line="124" w:lineRule="exact"/>
        <w:rPr>
          <w:rFonts w:ascii="Arial" w:cs="Arial" w:eastAsia="Arial" w:hAnsi="Arial"/>
          <w:sz w:val="17"/>
          <w:szCs w:val="17"/>
          <w:color w:val="auto"/>
        </w:rPr>
      </w:pPr>
    </w:p>
    <w:p>
      <w:pPr>
        <w:ind w:left="480" w:hanging="207"/>
        <w:spacing w:after="0" w:line="262"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establishment of arrangements with third-party contract manufacturing organizations, or CMOs, for key materials used in our manufacturing processes and to establish backup sources for clinical and large-scale commercial supply;</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establishment and maintenance of patent and trade secret protection and regulatory exclusivity for our product candidates;</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60"/>
          </w:cols>
          <w:pgMar w:left="240" w:top="455"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hanging="207"/>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commercial launch of our product candidates, if and when approved, whether alone or in collaboration with others;</w:t>
      </w:r>
    </w:p>
    <w:p>
      <w:pPr>
        <w:spacing w:after="0" w:line="124" w:lineRule="exact"/>
        <w:rPr>
          <w:rFonts w:ascii="Arial" w:cs="Arial" w:eastAsia="Arial" w:hAnsi="Arial"/>
          <w:sz w:val="17"/>
          <w:szCs w:val="17"/>
          <w:color w:val="auto"/>
        </w:rPr>
      </w:pPr>
    </w:p>
    <w:p>
      <w:pPr>
        <w:ind w:left="480" w:right="420" w:hanging="207"/>
        <w:spacing w:after="0" w:line="262"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acceptance of our product candidates, if and when approved, by patients, patient advocacy groups, third-party payors and the general medical community;</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effective competition against other therapies available in the market;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establishment and maintenance of adequate reimbursement from third-party payors for our product candidates;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acquire or in-license additional product candidates;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prosecution, maintenance, enforcement and defense of intellectual property rights and claims;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maintenance of a continued acceptable safety profile of our product candidates following approval.</w:t>
      </w:r>
    </w:p>
    <w:p>
      <w:pPr>
        <w:spacing w:after="0" w:line="111" w:lineRule="exact"/>
        <w:rPr>
          <w:sz w:val="20"/>
          <w:szCs w:val="20"/>
          <w:color w:val="auto"/>
        </w:rPr>
      </w:pPr>
    </w:p>
    <w:p>
      <w:pPr>
        <w:ind w:left="280" w:right="220"/>
        <w:spacing w:after="0" w:line="253" w:lineRule="auto"/>
        <w:rPr>
          <w:sz w:val="20"/>
          <w:szCs w:val="20"/>
          <w:color w:val="auto"/>
        </w:rPr>
      </w:pPr>
      <w:r>
        <w:rPr>
          <w:rFonts w:ascii="Arial" w:cs="Arial" w:eastAsia="Arial" w:hAnsi="Arial"/>
          <w:sz w:val="17"/>
          <w:szCs w:val="17"/>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9" w:lineRule="exact"/>
        <w:rPr>
          <w:sz w:val="20"/>
          <w:szCs w:val="20"/>
          <w:color w:val="auto"/>
        </w:rPr>
      </w:pPr>
    </w:p>
    <w:p>
      <w:pPr>
        <w:ind w:left="280" w:right="180"/>
        <w:spacing w:after="0" w:line="286" w:lineRule="auto"/>
        <w:rPr>
          <w:sz w:val="20"/>
          <w:szCs w:val="20"/>
          <w:color w:val="auto"/>
        </w:rPr>
      </w:pPr>
      <w:r>
        <w:rPr>
          <w:rFonts w:ascii="Arial" w:cs="Arial" w:eastAsia="Arial" w:hAnsi="Arial"/>
          <w:sz w:val="17"/>
          <w:szCs w:val="17"/>
          <w:b w:val="1"/>
          <w:bCs w:val="1"/>
          <w:i w:val="1"/>
          <w:iCs w:val="1"/>
          <w:color w:val="auto"/>
        </w:rPr>
        <w:t>We have not tested any of our product candidates in clinical trials. Success in early preclinical studies or clinical trials may not be indicative of results obtained in later preclinical studies and clinical trials.</w:t>
      </w:r>
    </w:p>
    <w:p>
      <w:pPr>
        <w:spacing w:after="0" w:line="61" w:lineRule="exact"/>
        <w:rPr>
          <w:sz w:val="20"/>
          <w:szCs w:val="20"/>
          <w:color w:val="auto"/>
        </w:rPr>
      </w:pPr>
    </w:p>
    <w:p>
      <w:pPr>
        <w:ind w:left="280" w:right="20"/>
        <w:spacing w:after="0" w:line="246" w:lineRule="auto"/>
        <w:rPr>
          <w:sz w:val="20"/>
          <w:szCs w:val="20"/>
          <w:color w:val="auto"/>
        </w:rPr>
      </w:pPr>
      <w:r>
        <w:rPr>
          <w:rFonts w:ascii="Arial" w:cs="Arial" w:eastAsia="Arial" w:hAnsi="Arial"/>
          <w:sz w:val="17"/>
          <w:szCs w:val="17"/>
          <w:color w:val="auto"/>
        </w:rPr>
        <w:t>Though ASOs have been evaluated by others in clinical trials, STK-001 has not been evaluated in human clinical trials, and we may experience unexpected or negative results in the future. We will be required to demonstrate through adequate and well-controlled clinical trials that our product candidates are safe and effective, with a favorable benefit-risk profile, for use in their target indications before we can seek regulatory approvals for their commercial sale. The positive results we have observed for our product candidates in preclinical animal models may not be predictive of our future clinical trials in humans, as mouse models carry inherent limitations relevant to all preclinical studies. In particular, the Dravet syndrome mouse model is more severe than the human disease and provides a shorter post-symptomatic observation period. Trial designs and results from early-phase trials are not necessarily predictive of future clinical trial designs or results, and initial positive results we may observe may not be confirmed in later-phase clinical trials. Our product candidates may also fail to show the desired safety and efficacy in later stages of clinical development even if they successfully advance through initial clinical trials. We may not be able to demonstrate a disease-modifying effect of STK-001 in our clinical trials in Dravet syndrome patients, even if we are able to demonstrate efficacy on seizure reduction. Even if our clinical trials demonstrate acceptable safety and efficacy of STK-001,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02"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 not consistently or sufficiently demonstrate the safety or efficacy of any of our product</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160"/>
          </w:cols>
          <w:pgMar w:left="240" w:top="455"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candidates, including STK-001, then the regulatory approvals for such product candidates could be significantly delayed as we work to meet approval requirements, or, if we are not able to meet these requirements, such approvals could be withheld or withdrawn. Regulatory delays or rejections may be encountered as a result of many factors, including changes in regulatory policy during the period of product development. We cannot be certain that we will not face similar setbacks.</w:t>
      </w:r>
    </w:p>
    <w:p>
      <w:pPr>
        <w:spacing w:after="0" w:line="69" w:lineRule="exact"/>
        <w:rPr>
          <w:sz w:val="20"/>
          <w:szCs w:val="20"/>
          <w:color w:val="auto"/>
        </w:rPr>
      </w:pPr>
    </w:p>
    <w:p>
      <w:pPr>
        <w:ind w:left="280" w:right="40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61"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Prior to commercialization, STK-001 and our future product candidates must be approved by the FDA pursuant to a new drug application, or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STK-001 or any of our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or file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Approval of STK-001 and our future product candidates may be delayed or refused for many reasons, including:</w:t>
      </w:r>
    </w:p>
    <w:p>
      <w:pPr>
        <w:spacing w:after="0" w:line="125" w:lineRule="exact"/>
        <w:rPr>
          <w:sz w:val="20"/>
          <w:szCs w:val="20"/>
          <w:color w:val="auto"/>
        </w:rPr>
      </w:pPr>
    </w:p>
    <w:p>
      <w:pPr>
        <w:ind w:left="480" w:hanging="207"/>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124" w:lineRule="exact"/>
        <w:rPr>
          <w:rFonts w:ascii="Arial" w:cs="Arial" w:eastAsia="Arial" w:hAnsi="Arial"/>
          <w:sz w:val="17"/>
          <w:szCs w:val="17"/>
          <w:color w:val="auto"/>
        </w:rPr>
      </w:pPr>
    </w:p>
    <w:p>
      <w:pPr>
        <w:ind w:left="480" w:right="140" w:hanging="207"/>
        <w:spacing w:after="0" w:line="262"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our product candidates are safe and effective for any of their proposed indications;</w:t>
      </w:r>
    </w:p>
    <w:p>
      <w:pPr>
        <w:spacing w:after="0" w:line="93" w:lineRule="exact"/>
        <w:rPr>
          <w:rFonts w:ascii="Arial" w:cs="Arial" w:eastAsia="Arial" w:hAnsi="Arial"/>
          <w:sz w:val="17"/>
          <w:szCs w:val="17"/>
          <w:color w:val="auto"/>
        </w:rPr>
      </w:pPr>
    </w:p>
    <w:p>
      <w:pPr>
        <w:ind w:left="480" w:right="840" w:hanging="207"/>
        <w:spacing w:after="0" w:line="262"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unable to demonstrate that our product candidates’ clinical and other benefits outweigh their safety risks;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programs or clinical trials;</w:t>
      </w:r>
    </w:p>
    <w:p>
      <w:pPr>
        <w:spacing w:after="0" w:line="124" w:lineRule="exact"/>
        <w:rPr>
          <w:rFonts w:ascii="Arial" w:cs="Arial" w:eastAsia="Arial" w:hAnsi="Arial"/>
          <w:sz w:val="17"/>
          <w:szCs w:val="17"/>
          <w:color w:val="auto"/>
        </w:rPr>
      </w:pPr>
    </w:p>
    <w:p>
      <w:pPr>
        <w:ind w:left="480" w:right="780" w:hanging="207"/>
        <w:spacing w:after="0" w:line="262"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160"/>
          </w:cols>
          <w:pgMar w:left="240" w:top="455"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560" w:hanging="207"/>
        <w:spacing w:after="0" w:line="262"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facilities of third-party manufacturers with which we contract or procure certain service or raw materials, may not be adequate to support approval of our product candidates; and</w:t>
      </w:r>
    </w:p>
    <w:p>
      <w:pPr>
        <w:spacing w:after="0" w:line="93" w:lineRule="exact"/>
        <w:rPr>
          <w:rFonts w:ascii="Arial" w:cs="Arial" w:eastAsia="Arial" w:hAnsi="Arial"/>
          <w:sz w:val="17"/>
          <w:szCs w:val="17"/>
          <w:color w:val="auto"/>
        </w:rPr>
      </w:pPr>
    </w:p>
    <w:p>
      <w:pPr>
        <w:ind w:left="480" w:hanging="207"/>
        <w:spacing w:after="0" w:line="262"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80" w:lineRule="exact"/>
        <w:rPr>
          <w:sz w:val="20"/>
          <w:szCs w:val="20"/>
          <w:color w:val="auto"/>
        </w:rPr>
      </w:pPr>
    </w:p>
    <w:p>
      <w:pPr>
        <w:ind w:left="280" w:right="260"/>
        <w:spacing w:after="0" w:line="249" w:lineRule="auto"/>
        <w:rPr>
          <w:sz w:val="20"/>
          <w:szCs w:val="20"/>
          <w:color w:val="auto"/>
        </w:rPr>
      </w:pPr>
      <w:r>
        <w:rPr>
          <w:rFonts w:ascii="Arial" w:cs="Arial" w:eastAsia="Arial" w:hAnsi="Arial"/>
          <w:sz w:val="17"/>
          <w:szCs w:val="17"/>
          <w:color w:val="auto"/>
        </w:rPr>
        <w:t>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93" w:lineRule="exact"/>
        <w:rPr>
          <w:sz w:val="20"/>
          <w:szCs w:val="20"/>
          <w:color w:val="auto"/>
        </w:rPr>
      </w:pPr>
    </w:p>
    <w:p>
      <w:pPr>
        <w:ind w:left="280" w:right="180"/>
        <w:spacing w:after="0" w:line="248"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Risk Evaluation and Mitigation Strategies.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75" w:lineRule="exact"/>
        <w:rPr>
          <w:sz w:val="20"/>
          <w:szCs w:val="20"/>
          <w:color w:val="auto"/>
        </w:rPr>
      </w:pPr>
    </w:p>
    <w:p>
      <w:pPr>
        <w:ind w:left="280"/>
        <w:spacing w:after="0" w:line="266" w:lineRule="auto"/>
        <w:rPr>
          <w:sz w:val="20"/>
          <w:szCs w:val="20"/>
          <w:color w:val="auto"/>
        </w:rPr>
      </w:pPr>
      <w:r>
        <w:rPr>
          <w:rFonts w:ascii="Arial" w:cs="Arial" w:eastAsia="Arial" w:hAnsi="Arial"/>
          <w:sz w:val="17"/>
          <w:szCs w:val="17"/>
          <w:b w:val="1"/>
          <w:bCs w:val="1"/>
          <w:i w:val="1"/>
          <w:iCs w:val="1"/>
          <w:color w:val="auto"/>
        </w:rPr>
        <w:t>Certain of the diseases we seek to treat have low prevalence, and it may be difficult to identify patients with these diseases, which may lead to delays in enrollment for our trials or slower commercial revenue growth if STK-001 or our future product candidates are approved.</w:t>
      </w:r>
    </w:p>
    <w:p>
      <w:pPr>
        <w:spacing w:after="0" w:line="77"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Genetically defined diseases generally, and especially those for which our lead product candidate is targeted, have low incidence and prevalence. We estimate that the incidence of Dravet syndrome is approximately 1 in 15,625 births. This could pose obstacles to the timely recruitment and enrollment of a sufficient number of eligible patients into our trials, or limit a product candidate’s commercial potential. Patient enrollment may be affected by other factors including:</w:t>
      </w:r>
    </w:p>
    <w:p>
      <w:pPr>
        <w:spacing w:after="0" w:line="102" w:lineRule="exact"/>
        <w:rPr>
          <w:sz w:val="20"/>
          <w:szCs w:val="20"/>
          <w:color w:val="auto"/>
        </w:rPr>
      </w:pPr>
    </w:p>
    <w:p>
      <w:pPr>
        <w:ind w:left="480" w:hanging="20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to identify and enroll patients that meet study eligibility criteria in a timely manner for clinical trials;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design of the study protocol;</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perceived risks, benefits and convenience of administration of the product candidate being studied;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patient referral practices of providers;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to prospective patients.</w:t>
      </w:r>
    </w:p>
    <w:p>
      <w:pPr>
        <w:spacing w:after="0" w:line="111"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Our inability to enroll a sufficient number of patients with these diseases for our planned clinical trials would result in significant delays and could cause us to not initiate or abandon one or more clinical trials altogether. Enrollment delays in our clinical trials may result in increased development costs for our product candidate, which would cause the value of our company to decline and limit our ability to obtain additional financing.</w:t>
      </w:r>
    </w:p>
    <w:p>
      <w:pPr>
        <w:spacing w:after="0" w:line="89" w:lineRule="exact"/>
        <w:rPr>
          <w:sz w:val="20"/>
          <w:szCs w:val="20"/>
          <w:color w:val="auto"/>
        </w:rPr>
      </w:pPr>
    </w:p>
    <w:p>
      <w:pPr>
        <w:ind w:left="280" w:right="200"/>
        <w:spacing w:after="0" w:line="253" w:lineRule="auto"/>
        <w:rPr>
          <w:sz w:val="20"/>
          <w:szCs w:val="20"/>
          <w:color w:val="auto"/>
        </w:rPr>
      </w:pPr>
      <w:r>
        <w:rPr>
          <w:rFonts w:ascii="Arial" w:cs="Arial" w:eastAsia="Arial" w:hAnsi="Arial"/>
          <w:sz w:val="17"/>
          <w:szCs w:val="17"/>
          <w:color w:val="auto"/>
        </w:rPr>
        <w:t>Additionally, our projections of both the number of people who have Dravet syndrome, as well as the people with this disease who have the potential to benefit from treatment with our product candidate, are based on estimates derived from a market research study that we commissioned, which may not accurately identify the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120"/>
          </w:cols>
          <w:pgMar w:left="240" w:top="455"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280" w:right="180"/>
        <w:spacing w:after="0" w:line="248" w:lineRule="auto"/>
        <w:rPr>
          <w:sz w:val="20"/>
          <w:szCs w:val="20"/>
          <w:color w:val="auto"/>
        </w:rPr>
      </w:pPr>
      <w:r>
        <w:rPr>
          <w:rFonts w:ascii="Arial" w:cs="Arial" w:eastAsia="Arial" w:hAnsi="Arial"/>
          <w:sz w:val="17"/>
          <w:szCs w:val="17"/>
          <w:color w:val="auto"/>
        </w:rPr>
        <w:t>size of the market for our product candidates. The total addressable market opportunity for STK-001 and our future product candidates will ultimately depend upon, among other things, the final labeling for our product candidates, if our product candidates are approved for sale in our target indications, acceptance by the medical community and patient access, drug pricing and reimbursement. The number of patients globally may turn out to be lower than expected, patients may not be otherwise amenable to treatment with our product candidates, or new patients may become increasingly difficult to identify or gain access to, all of which would adversely affect our results of operations and our business.</w:t>
      </w:r>
    </w:p>
    <w:p>
      <w:pPr>
        <w:spacing w:after="0" w:line="95" w:lineRule="exact"/>
        <w:rPr>
          <w:sz w:val="20"/>
          <w:szCs w:val="20"/>
          <w:color w:val="auto"/>
        </w:rPr>
      </w:pPr>
    </w:p>
    <w:p>
      <w:pPr>
        <w:ind w:left="280" w:right="140"/>
        <w:spacing w:after="0" w:line="249" w:lineRule="auto"/>
        <w:rPr>
          <w:sz w:val="20"/>
          <w:szCs w:val="20"/>
          <w:color w:val="auto"/>
        </w:rPr>
      </w:pPr>
      <w:r>
        <w:rPr>
          <w:rFonts w:ascii="Arial" w:cs="Arial" w:eastAsia="Arial" w:hAnsi="Arial"/>
          <w:sz w:val="17"/>
          <w:szCs w:val="17"/>
          <w:color w:val="auto"/>
        </w:rPr>
        <w:t>Moreover, in light of the limited number of potential patients impacted by Dravet syndrome, our per-patient therapy pricing of STK-001, if approved, must be high in order to recover our development and manufacturing costs, fund additional research and achieve profitability. We may also need to fund patient support programs upon the marketing of a product candidate, which would negatively affect our product revenue. We may be unable to maintain or obtain sufficient therapy sales volumes at a price high enough to justify our development efforts and our sales, marketing and manufacturing expenses.</w:t>
      </w:r>
    </w:p>
    <w:p>
      <w:pPr>
        <w:spacing w:after="0" w:line="73" w:lineRule="exact"/>
        <w:rPr>
          <w:sz w:val="20"/>
          <w:szCs w:val="20"/>
          <w:color w:val="auto"/>
        </w:rPr>
      </w:pPr>
    </w:p>
    <w:p>
      <w:pPr>
        <w:ind w:left="280" w:right="540"/>
        <w:spacing w:after="0" w:line="286" w:lineRule="auto"/>
        <w:rPr>
          <w:sz w:val="20"/>
          <w:szCs w:val="20"/>
          <w:color w:val="auto"/>
        </w:rPr>
      </w:pPr>
      <w:r>
        <w:rPr>
          <w:rFonts w:ascii="Arial" w:cs="Arial" w:eastAsia="Arial" w:hAnsi="Arial"/>
          <w:sz w:val="17"/>
          <w:szCs w:val="17"/>
          <w:b w:val="1"/>
          <w:bCs w:val="1"/>
          <w:i w:val="1"/>
          <w:iCs w:val="1"/>
          <w:color w:val="auto"/>
        </w:rPr>
        <w:t>We may not be successful in our efforts to use TANGO to expand our pipeline of product candidates and develop marketable products.</w:t>
      </w:r>
    </w:p>
    <w:p>
      <w:pPr>
        <w:spacing w:after="0" w:line="6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TANGO by successfully developing and commercializing product candidates based upon our technological approach, we may not be able to obtain product revenue in future periods, which would adversely affect our business, prospects, financial condition and results of operations.</w:t>
      </w:r>
    </w:p>
    <w:p>
      <w:pPr>
        <w:spacing w:after="0" w:line="94"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Although we intend to nominate a second genetic disease candidate for preclinical development in the first half of 2020, we are primarily focused on our lead product candidate, STK-001,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100"/>
          </w:cols>
          <w:pgMar w:left="240" w:top="455"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line="25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83" w:lineRule="exact"/>
        <w:rPr>
          <w:sz w:val="20"/>
          <w:szCs w:val="20"/>
          <w:color w:val="auto"/>
        </w:rPr>
      </w:pPr>
    </w:p>
    <w:p>
      <w:pPr>
        <w:ind w:left="280" w:right="100"/>
        <w:spacing w:after="0" w:line="248" w:lineRule="auto"/>
        <w:rPr>
          <w:sz w:val="20"/>
          <w:szCs w:val="20"/>
          <w:color w:val="auto"/>
        </w:rPr>
      </w:pPr>
      <w:r>
        <w:rPr>
          <w:rFonts w:ascii="Arial" w:cs="Arial" w:eastAsia="Arial" w:hAnsi="Arial"/>
          <w:sz w:val="17"/>
          <w:szCs w:val="17"/>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or cGMPs, quality control, quality assurance and corresponding maintenance of records and documents, including periodic inspections by the FDA and other regulatory authorities and requirements regarding the distribution of samples to providers and recordkeeping.</w:t>
      </w:r>
    </w:p>
    <w:p>
      <w:pPr>
        <w:spacing w:after="0" w:line="93"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any approved product. The FDA closely regulates the post-approval marketing and promotion of drugs and biologics to ensure drugs and biologics are marketed only for the approved indications and in accordance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97" w:lineRule="exact"/>
        <w:rPr>
          <w:sz w:val="20"/>
          <w:szCs w:val="20"/>
          <w:color w:val="auto"/>
        </w:rPr>
      </w:pPr>
    </w:p>
    <w:p>
      <w:pPr>
        <w:ind w:left="280" w:right="840"/>
        <w:spacing w:after="0" w:line="262" w:lineRule="auto"/>
        <w:rPr>
          <w:sz w:val="20"/>
          <w:szCs w:val="20"/>
          <w:color w:val="auto"/>
        </w:rPr>
      </w:pPr>
      <w:r>
        <w:rPr>
          <w:rFonts w:ascii="Arial" w:cs="Arial" w:eastAsia="Arial" w:hAnsi="Arial"/>
          <w:sz w:val="17"/>
          <w:szCs w:val="17"/>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93" w:lineRule="exact"/>
        <w:rPr>
          <w:sz w:val="20"/>
          <w:szCs w:val="20"/>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on such product candidates, manufacturers or manufacturing processes;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on the labeling or marketing of a product;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withdrawal of any approved product from the market;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recall of product candidates;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 candidates;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seizure; or</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100"/>
          </w:cols>
          <w:pgMar w:left="240" w:top="455"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720"/>
        <w:spacing w:after="0" w:line="245" w:lineRule="auto"/>
        <w:rPr>
          <w:sz w:val="20"/>
          <w:szCs w:val="20"/>
          <w:color w:val="auto"/>
        </w:rPr>
      </w:pPr>
      <w:r>
        <w:rPr>
          <w:rFonts w:ascii="Arial" w:cs="Arial" w:eastAsia="Arial" w:hAnsi="Arial"/>
          <w:sz w:val="17"/>
          <w:szCs w:val="17"/>
          <w:color w:val="auto"/>
        </w:rPr>
        <w:t>Non-compliance with European requirements regarding safety monitoring or pharmacovigilance, and with requirements related to the development of products for the pediatric population, can also result in significant</w:t>
      </w:r>
    </w:p>
    <w:p>
      <w:pPr>
        <w:spacing w:after="0" w:line="1" w:lineRule="exact"/>
        <w:rPr>
          <w:sz w:val="20"/>
          <w:szCs w:val="20"/>
          <w:color w:val="auto"/>
        </w:rPr>
      </w:pPr>
    </w:p>
    <w:p>
      <w:pPr>
        <w:ind w:left="280" w:right="320"/>
        <w:spacing w:after="0" w:line="262" w:lineRule="auto"/>
        <w:rPr>
          <w:sz w:val="20"/>
          <w:szCs w:val="20"/>
          <w:color w:val="auto"/>
        </w:rPr>
      </w:pPr>
      <w:r>
        <w:rPr>
          <w:rFonts w:ascii="Arial" w:cs="Arial" w:eastAsia="Arial" w:hAnsi="Arial"/>
          <w:sz w:val="17"/>
          <w:szCs w:val="17"/>
          <w:color w:val="auto"/>
        </w:rPr>
        <w:t>financial penalties. Similarly, failure to comply with Europe’s requirements regarding the protection of personal information can also lead to significant penalties and sanctions.</w:t>
      </w:r>
    </w:p>
    <w:p>
      <w:pPr>
        <w:spacing w:after="0" w:line="60" w:lineRule="exact"/>
        <w:rPr>
          <w:sz w:val="20"/>
          <w:szCs w:val="20"/>
          <w:color w:val="auto"/>
        </w:rPr>
      </w:pPr>
    </w:p>
    <w:p>
      <w:pPr>
        <w:ind w:left="280" w:right="440"/>
        <w:spacing w:after="0" w:line="286" w:lineRule="auto"/>
        <w:rPr>
          <w:sz w:val="20"/>
          <w:szCs w:val="20"/>
          <w:color w:val="auto"/>
        </w:rPr>
      </w:pPr>
      <w:r>
        <w:rPr>
          <w:rFonts w:ascii="Arial" w:cs="Arial" w:eastAsia="Arial" w:hAnsi="Arial"/>
          <w:sz w:val="17"/>
          <w:szCs w:val="17"/>
          <w:b w:val="1"/>
          <w:bCs w:val="1"/>
          <w:i w:val="1"/>
          <w:iCs w:val="1"/>
          <w:color w:val="auto"/>
        </w:rPr>
        <w:t>Our failure to obtain regulatory approval in international jurisdictions would prevent us from marketing our product candidates outside the United States.</w:t>
      </w:r>
    </w:p>
    <w:p>
      <w:pPr>
        <w:spacing w:after="0" w:line="6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To market and sell STK-001 and our future product candidates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 The United Kingdom’s pending exit from the European Union, or the EU, which is referred to as “Brexit,” continues to create political and economic uncertainty, particularly in the United Kingdom and the EU. Since a significant proportion of the regulatory framework in the United Kingdom is derived from EU directives and regulations, the withdrawal of the United Kingdom from the EU could materially impact the regulatory regime with respect to the approval of our product candidates in the United Kingdom or the EU.</w:t>
      </w:r>
    </w:p>
    <w:p>
      <w:pPr>
        <w:spacing w:after="0" w:line="94"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73" w:lineRule="exact"/>
        <w:rPr>
          <w:sz w:val="20"/>
          <w:szCs w:val="20"/>
          <w:color w:val="auto"/>
        </w:rPr>
      </w:pPr>
    </w:p>
    <w:p>
      <w:pPr>
        <w:ind w:left="280" w:right="140"/>
        <w:spacing w:after="0" w:line="266" w:lineRule="auto"/>
        <w:rPr>
          <w:sz w:val="20"/>
          <w:szCs w:val="20"/>
          <w:color w:val="auto"/>
        </w:rPr>
      </w:pPr>
      <w:r>
        <w:rPr>
          <w:rFonts w:ascii="Arial" w:cs="Arial" w:eastAsia="Arial" w:hAnsi="Arial"/>
          <w:sz w:val="17"/>
          <w:szCs w:val="17"/>
          <w:b w:val="1"/>
          <w:bCs w:val="1"/>
          <w:i w:val="1"/>
          <w:iCs w:val="1"/>
          <w:color w:val="auto"/>
        </w:rPr>
        <w:t>STK-001 and our future product candidates may cause undesirable and unforeseen side effects or be perceived by the public as unsafe, which could delay or prevent their advancement into clinical trials or regulatory approval, limit the commercial potential or result in significant negative consequences.</w:t>
      </w:r>
    </w:p>
    <w:p>
      <w:pPr>
        <w:spacing w:after="0" w:line="77" w:lineRule="exact"/>
        <w:rPr>
          <w:sz w:val="20"/>
          <w:szCs w:val="20"/>
          <w:color w:val="auto"/>
        </w:rPr>
      </w:pPr>
    </w:p>
    <w:p>
      <w:pPr>
        <w:jc w:val="both"/>
        <w:ind w:left="280" w:right="180"/>
        <w:spacing w:after="0" w:line="253" w:lineRule="auto"/>
        <w:rPr>
          <w:sz w:val="20"/>
          <w:szCs w:val="20"/>
          <w:color w:val="auto"/>
        </w:rPr>
      </w:pPr>
      <w:r>
        <w:rPr>
          <w:rFonts w:ascii="Arial" w:cs="Arial" w:eastAsia="Arial" w:hAnsi="Arial"/>
          <w:sz w:val="17"/>
          <w:szCs w:val="17"/>
          <w:color w:val="auto"/>
        </w:rPr>
        <w:t>Although other ASOs have received regulatory approval, our method of seeking to upregulate protein expression by targeting the underlying genetic causes of haploinsufficiencies presents a new approach to disease treatment, which means there is uncertainty associated with the safety profile of STK-001 and our future product candidates and drugs in the antisense oligonucleotide class.</w:t>
      </w:r>
    </w:p>
    <w:p>
      <w:pPr>
        <w:spacing w:after="0" w:line="89"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In addition to side effects caused by our product candidates, the intrathecal administration process or related procedures also can cause adverse side effects. If any such adverse events occur, our clinical trials could be suspended or terminated. If we are unable to demonstrate that any adverse events were caused by the administration process or related procedures, the FDA,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160"/>
          </w:cols>
          <w:pgMar w:left="240" w:top="455"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business, financial condition, results of operations and prospects significantly. Finally, SPINRAZA, which is produced by Biogen Inc., is an ASO therapy utilizing intrathecal delivery, and if SPINRAZA is found to cause undesirable side effects or to be unsafe due to a potential class effect, it may adversely affect demand for STK-001 and our other future product candidates. Other ASOs in clinical development utilizing intrathecal delivery could also generate data that could adversely affect the clinical, regulatory or commercial perception of STK-001 and our other future product candidates.</w:t>
      </w:r>
    </w:p>
    <w:p>
      <w:pPr>
        <w:spacing w:after="0" w:line="93"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our product candidate, several potentially significant negative consequences could result, including:</w:t>
      </w:r>
    </w:p>
    <w:p>
      <w:pPr>
        <w:spacing w:after="0" w:line="106" w:lineRule="exact"/>
        <w:rPr>
          <w:sz w:val="20"/>
          <w:szCs w:val="20"/>
          <w:color w:val="auto"/>
        </w:rPr>
      </w:pPr>
    </w:p>
    <w:p>
      <w:pPr>
        <w:ind w:left="480" w:hanging="207"/>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suspend or withdraw approvals of such product candidate;</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administered or conduct additional clinical trials;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Any of these occurrences may harm our business, financial condition, results of operations and prospects significantly.</w:t>
      </w:r>
    </w:p>
    <w:p>
      <w:pPr>
        <w:spacing w:after="0" w:line="91" w:lineRule="exact"/>
        <w:rPr>
          <w:sz w:val="20"/>
          <w:szCs w:val="20"/>
          <w:color w:val="auto"/>
        </w:rPr>
      </w:pPr>
    </w:p>
    <w:p>
      <w:pPr>
        <w:ind w:left="280" w:right="160"/>
        <w:spacing w:after="0" w:line="266" w:lineRule="auto"/>
        <w:rPr>
          <w:sz w:val="20"/>
          <w:szCs w:val="20"/>
          <w:color w:val="auto"/>
        </w:rPr>
      </w:pPr>
      <w:r>
        <w:rPr>
          <w:rFonts w:ascii="Arial" w:cs="Arial" w:eastAsia="Arial" w:hAnsi="Arial"/>
          <w:sz w:val="17"/>
          <w:szCs w:val="17"/>
          <w:b w:val="1"/>
          <w:bCs w:val="1"/>
          <w:i w:val="1"/>
          <w:iCs w:val="1"/>
          <w:color w:val="auto"/>
        </w:rPr>
        <w:t>A Fast Track Designation by the FDA, even if granted for STK-001 or any of our future product candidates, may not lead to a faster development or regulatory review or approval process, and does not increase the likelihood that our product candidates will receive marketing approval.</w:t>
      </w:r>
    </w:p>
    <w:p>
      <w:pPr>
        <w:spacing w:after="0" w:line="77"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We may seek Fast Track Designation for STK-001 or our future product candidates. If a drug is intended for the treatment of a serious or life-threatening condition and the drug demonstrates the potential to address unmet medical needs for this condition, the drug sponsor may apply to the FDA for Fast Track Designation. The FDA has broad discretion whether to grant this designation.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approval.</w:t>
      </w:r>
    </w:p>
    <w:p>
      <w:pPr>
        <w:spacing w:after="0" w:line="93"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We may also seek accelerated approval for product candidates that have obtained Fast Track Designation. 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and/or initiated prior to approval. Moreover,</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160"/>
          </w:cols>
          <w:pgMar w:left="240" w:top="455"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FDA may withdraw approval of any product candidate or indication approved under the accelerated approval pathway if, for example:</w:t>
      </w:r>
    </w:p>
    <w:p>
      <w:pPr>
        <w:spacing w:after="0" w:line="125" w:lineRule="exact"/>
        <w:rPr>
          <w:sz w:val="20"/>
          <w:szCs w:val="20"/>
          <w:color w:val="auto"/>
        </w:rPr>
      </w:pPr>
    </w:p>
    <w:p>
      <w:pPr>
        <w:ind w:left="480" w:right="380" w:hanging="207"/>
        <w:spacing w:after="0" w:line="262"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trial or trials required to verify the predicted clinical benefit of the product candidate fail to verify such benefit or do not demonstrate sufficient clinical benefit to justify the risks associated with the drug;</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evidence demonstrates that the product candidate is not shown to be safe or effective under the conditions of use;</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fail to conduct any required post-approval trial of the product candidate with due diligence; or</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disseminate false or misleading promotional materials relating to the product candidate.</w:t>
      </w:r>
    </w:p>
    <w:p>
      <w:pPr>
        <w:spacing w:after="0" w:line="91" w:lineRule="exact"/>
        <w:rPr>
          <w:sz w:val="20"/>
          <w:szCs w:val="20"/>
          <w:color w:val="auto"/>
        </w:rPr>
      </w:pPr>
    </w:p>
    <w:p>
      <w:pPr>
        <w:ind w:left="280" w:right="500"/>
        <w:spacing w:after="0" w:line="266" w:lineRule="auto"/>
        <w:rPr>
          <w:sz w:val="20"/>
          <w:szCs w:val="20"/>
          <w:color w:val="auto"/>
        </w:rPr>
      </w:pPr>
      <w:r>
        <w:rPr>
          <w:rFonts w:ascii="Arial" w:cs="Arial" w:eastAsia="Arial" w:hAnsi="Arial"/>
          <w:sz w:val="17"/>
          <w:szCs w:val="17"/>
          <w:b w:val="1"/>
          <w:bCs w:val="1"/>
          <w:i w:val="1"/>
          <w:iCs w:val="1"/>
          <w:color w:val="auto"/>
        </w:rPr>
        <w:t>A Breakthrough Therapy Designation by the FDA for STK-001 or our future product candidates may not lead to a faster development or regulatory review or approval process, and it would not increase the likelihood that the product candidate will receive marketing approval.</w:t>
      </w:r>
    </w:p>
    <w:p>
      <w:pPr>
        <w:spacing w:after="0" w:line="77"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We may seek a Breakthrough Therapy Designation for STK-001 or one or more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293" w:lineRule="exact"/>
        <w:rPr>
          <w:sz w:val="20"/>
          <w:szCs w:val="20"/>
          <w:color w:val="auto"/>
        </w:rPr>
      </w:pPr>
    </w:p>
    <w:p>
      <w:pPr>
        <w:ind w:left="280" w:right="160"/>
        <w:spacing w:after="0" w:line="248"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73" w:lineRule="exact"/>
        <w:rPr>
          <w:sz w:val="20"/>
          <w:szCs w:val="20"/>
          <w:color w:val="auto"/>
        </w:rPr>
      </w:pPr>
    </w:p>
    <w:p>
      <w:pPr>
        <w:ind w:left="280" w:right="320"/>
        <w:spacing w:after="0" w:line="286" w:lineRule="auto"/>
        <w:rPr>
          <w:sz w:val="20"/>
          <w:szCs w:val="20"/>
          <w:color w:val="auto"/>
        </w:rPr>
      </w:pPr>
      <w:r>
        <w:rPr>
          <w:rFonts w:ascii="Arial" w:cs="Arial" w:eastAsia="Arial" w:hAnsi="Arial"/>
          <w:sz w:val="17"/>
          <w:szCs w:val="17"/>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93"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of 2010, or collectively the Affordable Care Act, or the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As implementation of the ACA is ongoing, the law appears likely to continue the downward pressure on</w:t>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140"/>
          </w:cols>
          <w:pgMar w:left="240" w:top="455"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pharmaceutical pricing, especially under the Medicare program, and may also increase our regulatory burdens and operating costs. The current U.S. presidential administration and U.S. Congress have sought, and we expect they will continue to, seek to modify, repeal, or otherwise invalidate all, or certain provisions of, the ACA. Since January 2017, the current U.S. presidential administration has issued two executive orders and other directives designed to delay the implementation of certain provisions of the ACA or otherwise circumvent some of the requirements for health insurance mandated by the ACA. For example, on October 12, 2017, the current U.S. presidential administration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uncertainty with respect to which legislation, if any, will be enacted and the impact the current U.S. presidential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 We may choose to seek an expanded access program for our product candidates, or to utilize comparable rules in other countries that allow the use of a drug, on a named patient basis or under a compassionate use program.</w:t>
      </w:r>
    </w:p>
    <w:p>
      <w:pPr>
        <w:spacing w:after="0" w:line="99"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93"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140"/>
          </w:cols>
          <w:pgMar w:left="240" w:top="455"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240"/>
        <w:spacing w:after="0" w:line="266" w:lineRule="auto"/>
        <w:rPr>
          <w:sz w:val="20"/>
          <w:szCs w:val="20"/>
          <w:color w:val="auto"/>
        </w:rPr>
      </w:pPr>
      <w:r>
        <w:rPr>
          <w:rFonts w:ascii="Arial" w:cs="Arial" w:eastAsia="Arial" w:hAnsi="Arial"/>
          <w:sz w:val="17"/>
          <w:szCs w:val="17"/>
          <w:b w:val="1"/>
          <w:bCs w:val="1"/>
          <w:i w:val="1"/>
          <w:iCs w:val="1"/>
          <w:color w:val="auto"/>
        </w:rPr>
        <w:t>We may be unsuccessful in obtaining Orphan Drug Designation or transfer of designations obtained by others for future product candidates. and, even if we obtain such designation, we may be unable to maintain the benefits associated with Orphan Drug Designation, including the potential for market exclusivity, for STK-001 or our future product candidates.</w:t>
      </w:r>
    </w:p>
    <w:p>
      <w:pPr>
        <w:spacing w:after="0" w:line="77"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In the United States, Orphan Drug Designation entitles a party to financial incentives such as opportunities for tax credits for qualified clinical research costs and exemption from prescription drug user fees. Similarly, in the EU, the European Commission grants Orphan Drug Designation after receiving the opinion of the EMA’s Committee for Orphan Medicinal Products on an Orphan Drug Designation application. In the EU, Orphan Drug Designation is intended to promote the development of drug that are intended for the diagnosis, prevention or treatment of life-threatening or chronically debilitating conditions affecting not more than five in 10,000 persons in the EU and for which no satisfactory method of diagnosis, prevention or treatment has been authorized (or the product would be a significant benefit to those affected). In the EU, Orphan Drug Designation entitles a party to financial incentives such as reduction of fees or fee waivers.</w:t>
      </w:r>
    </w:p>
    <w:p>
      <w:pPr>
        <w:spacing w:after="0" w:line="95"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EMA or the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w:t>
      </w:r>
    </w:p>
    <w:p>
      <w:pPr>
        <w:spacing w:after="0" w:line="97"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As part of our business strategy, we have applied for Orphan Drug Designation for STK-001 in the United States, and we may seek such designation in Europe and other countries. However, Orphan Drug Designation does not guarantee future orphan drug marketing exclusivity.</w:t>
      </w:r>
    </w:p>
    <w:p>
      <w:pPr>
        <w:spacing w:after="0" w:line="80"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120"/>
          </w:cols>
          <w:pgMar w:left="240" w:top="455"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80" w:right="180"/>
        <w:spacing w:after="0" w:line="266" w:lineRule="auto"/>
        <w:rPr>
          <w:sz w:val="20"/>
          <w:szCs w:val="20"/>
          <w:color w:val="auto"/>
        </w:rPr>
      </w:pPr>
      <w:r>
        <w:rPr>
          <w:rFonts w:ascii="Arial" w:cs="Arial" w:eastAsia="Arial" w:hAnsi="Arial"/>
          <w:sz w:val="17"/>
          <w:szCs w:val="17"/>
          <w:b w:val="1"/>
          <w:bCs w:val="1"/>
          <w:i w:val="1"/>
          <w:iCs w:val="1"/>
          <w:color w:val="auto"/>
        </w:rPr>
        <w:t>A Rare Pediatric Disease designation by the FDA does not guarantee that the NDA for the product will qualify for a priority review voucher upon approval, and it does not lead to a faster development or regulatory review process, or increase the likelihood that STK-001 or any of our future product candidates will receive marketing approval.</w:t>
      </w:r>
    </w:p>
    <w:p>
      <w:pPr>
        <w:spacing w:after="0" w:line="77"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Under the Rare Pediatric Disease Priority Review Voucher program, upon the approval of a qualifying NDA for the treatment of a rare pediatric disease, the sponsor of such an application would be eligible for a rare pediatric disease priority review voucher that can be used to obtain priority review for a subsequent Biologics License Application, or BLA, or NDA. We may seek Rare Pediatric Disease designations for STK-001. If a product candidate is designated before October 1, 2020, it is eligible to receive a voucher if it is approved before October 1, 2022. However, there is no expectation that STK-001 or any of our future product candidates will be approved by that date, or at all, and, therefore, we may not be in a position to obtain priority review vouchers prior to expiration of the program, unless Congress further reauthorizes the program. Additionally, designation of a drug for a rare pediatric disease does not guarantee that an NDA will meet the eligibility criteria for a rare pediatric disease priority review voucher at the time the application is approved. Finally, a Rare Pediatric Disease Designation does not lead to faster development or regulatory review of the product, or increase the likelihood that it will receive marketing approval.</w:t>
      </w:r>
    </w:p>
    <w:p>
      <w:pPr>
        <w:spacing w:after="0" w:line="276" w:lineRule="exact"/>
        <w:rPr>
          <w:sz w:val="20"/>
          <w:szCs w:val="20"/>
          <w:color w:val="auto"/>
        </w:rPr>
      </w:pPr>
    </w:p>
    <w:p>
      <w:pPr>
        <w:jc w:val="both"/>
        <w:ind w:left="280"/>
        <w:spacing w:after="0" w:line="286" w:lineRule="auto"/>
        <w:rPr>
          <w:sz w:val="20"/>
          <w:szCs w:val="20"/>
          <w:color w:val="auto"/>
        </w:rPr>
      </w:pPr>
      <w:r>
        <w:rPr>
          <w:rFonts w:ascii="Arial" w:cs="Arial" w:eastAsia="Arial" w:hAnsi="Arial"/>
          <w:sz w:val="17"/>
          <w:szCs w:val="17"/>
          <w:b w:val="1"/>
          <w:bCs w:val="1"/>
          <w:i w:val="1"/>
          <w:iCs w:val="1"/>
          <w:color w:val="auto"/>
        </w:rPr>
        <w:t>The FDA’s ability to review and approve new products may be hindered by a variety of factors, including budget and funding levels, ability to hire and retain key personnel, and statutory, regulatory and policy changes.</w:t>
      </w:r>
    </w:p>
    <w:p>
      <w:pPr>
        <w:spacing w:after="0" w:line="61" w:lineRule="exact"/>
        <w:rPr>
          <w:sz w:val="20"/>
          <w:szCs w:val="20"/>
          <w:color w:val="auto"/>
        </w:rPr>
      </w:pPr>
    </w:p>
    <w:p>
      <w:pPr>
        <w:jc w:val="both"/>
        <w:ind w:left="280" w:right="20"/>
        <w:spacing w:after="0" w:line="253"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budget and funding levels, ability to hire and retain key personnel, and statutory, regulatory, and policy changes. In addition, government funding of other government agencies that fund research and development activities is subject to the political process, which is inherently fluid and unpredictable.</w:t>
      </w:r>
    </w:p>
    <w:p>
      <w:pPr>
        <w:spacing w:after="0" w:line="89"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ability of the FDA and other government agencies to properly administer their functions is highly dependent on the levels of government funding and the ability to fill key leadership appointments, among various factors. Currently, the FDA Commissioner position is vacant, pending the appointment of a new Commissioner by the new presidential administration. The confirmation process for a new commissioner may not occur efficiently. Delays in filling or replacing key positions could significantly impact the ability of the FDA and other agencies to fulfill their functions, and could greatly impact healthcare and the pharmaceutical industry.</w:t>
      </w:r>
    </w:p>
    <w:p>
      <w:pPr>
        <w:spacing w:after="0" w:line="93"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In December 2016, the 21</w:t>
      </w:r>
      <w:r>
        <w:rPr>
          <w:rFonts w:ascii="Arial" w:cs="Arial" w:eastAsia="Arial" w:hAnsi="Arial"/>
          <w:sz w:val="11"/>
          <w:szCs w:val="11"/>
          <w:color w:val="auto"/>
        </w:rPr>
        <w:t>st</w:t>
      </w:r>
      <w:r>
        <w:rPr>
          <w:rFonts w:ascii="Arial" w:cs="Arial" w:eastAsia="Arial" w:hAnsi="Arial"/>
          <w:sz w:val="17"/>
          <w:szCs w:val="17"/>
          <w:color w:val="auto"/>
        </w:rPr>
        <w:t xml:space="preserve"> Century Cures Act was signed into law, and was designed to advance medical innovation and empower the FDA with the authority to directly hire positions related to drug and device development and review. In the past, the FDA was often unable to offer key leadership candidates (including scientists) competitive compensation packages as compared to those offered by private industry. The 21</w:t>
      </w:r>
      <w:r>
        <w:rPr>
          <w:rFonts w:ascii="Arial" w:cs="Arial" w:eastAsia="Arial" w:hAnsi="Arial"/>
          <w:sz w:val="11"/>
          <w:szCs w:val="11"/>
          <w:color w:val="auto"/>
        </w:rPr>
        <w:t>st</w:t>
      </w:r>
      <w:r>
        <w:rPr>
          <w:rFonts w:ascii="Arial" w:cs="Arial" w:eastAsia="Arial" w:hAnsi="Arial"/>
          <w:sz w:val="17"/>
          <w:szCs w:val="17"/>
          <w:color w:val="auto"/>
        </w:rPr>
        <w:t xml:space="preserve"> Century Cures Act is designed to streamline the agency’s hiring process and enable the FDA to compete for leadership talent by expanding the narrow ranges that are provided in the existing compensation structures.</w:t>
      </w:r>
    </w:p>
    <w:p>
      <w:pPr>
        <w:spacing w:after="0" w:line="93" w:lineRule="exact"/>
        <w:rPr>
          <w:sz w:val="20"/>
          <w:szCs w:val="20"/>
          <w:color w:val="auto"/>
        </w:rPr>
      </w:pPr>
    </w:p>
    <w:p>
      <w:pPr>
        <w:ind w:left="280" w:right="340"/>
        <w:spacing w:after="0" w:line="262" w:lineRule="auto"/>
        <w:rPr>
          <w:sz w:val="20"/>
          <w:szCs w:val="20"/>
          <w:color w:val="auto"/>
        </w:rPr>
      </w:pPr>
      <w:r>
        <w:rPr>
          <w:rFonts w:ascii="Arial" w:cs="Arial" w:eastAsia="Arial" w:hAnsi="Arial"/>
          <w:sz w:val="17"/>
          <w:szCs w:val="17"/>
          <w:color w:val="auto"/>
        </w:rPr>
        <w:t>Disruptions at the FDA and other governmental agencies may also slow the time necessary for new drugs to be reviewed or approved by necessary government agencies, which would adversely affect our operating results and business.</w:t>
      </w:r>
    </w:p>
    <w:p>
      <w:pPr>
        <w:spacing w:after="0" w:line="60" w:lineRule="exact"/>
        <w:rPr>
          <w:sz w:val="20"/>
          <w:szCs w:val="20"/>
          <w:color w:val="auto"/>
        </w:rPr>
      </w:pPr>
    </w:p>
    <w:p>
      <w:pPr>
        <w:ind w:left="280" w:right="600"/>
        <w:spacing w:after="0" w:line="266" w:lineRule="auto"/>
        <w:rPr>
          <w:sz w:val="20"/>
          <w:szCs w:val="20"/>
          <w:color w:val="auto"/>
        </w:rPr>
      </w:pPr>
      <w:r>
        <w:rPr>
          <w:rFonts w:ascii="Arial" w:cs="Arial" w:eastAsia="Arial" w:hAnsi="Arial"/>
          <w:sz w:val="17"/>
          <w:szCs w:val="17"/>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77" w:lineRule="exact"/>
        <w:rPr>
          <w:sz w:val="20"/>
          <w:szCs w:val="20"/>
          <w:color w:val="auto"/>
        </w:rPr>
      </w:pPr>
    </w:p>
    <w:p>
      <w:pPr>
        <w:ind w:left="280" w:right="360"/>
        <w:spacing w:after="0" w:line="262" w:lineRule="auto"/>
        <w:rPr>
          <w:sz w:val="20"/>
          <w:szCs w:val="20"/>
          <w:color w:val="auto"/>
        </w:rPr>
      </w:pPr>
      <w:r>
        <w:rPr>
          <w:rFonts w:ascii="Arial" w:cs="Arial" w:eastAsia="Arial" w:hAnsi="Arial"/>
          <w:sz w:val="17"/>
          <w:szCs w:val="17"/>
          <w:color w:val="auto"/>
        </w:rPr>
        <w:t>Healthcare providers and third-party payors will play a primary role in the recommendation and prescription of any product candidates for which we obtain marketing approval. Our future arrangements with providers,</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100"/>
          </w:cols>
          <w:pgMar w:left="240" w:top="455" w:right="5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280" w:right="260"/>
        <w:spacing w:after="0" w:line="253" w:lineRule="auto"/>
        <w:rPr>
          <w:sz w:val="20"/>
          <w:szCs w:val="20"/>
          <w:color w:val="auto"/>
        </w:rPr>
      </w:pPr>
      <w:r>
        <w:rPr>
          <w:rFonts w:ascii="Arial" w:cs="Arial" w:eastAsia="Arial" w:hAnsi="Arial"/>
          <w:sz w:val="17"/>
          <w:szCs w:val="17"/>
          <w:color w:val="auto"/>
        </w:rPr>
        <w:t>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Restrictions under applicable U.S. federal and state healthcare laws and regulations include the following:</w:t>
      </w:r>
    </w:p>
    <w:p>
      <w:pPr>
        <w:spacing w:after="0" w:line="125" w:lineRule="exact"/>
        <w:rPr>
          <w:sz w:val="20"/>
          <w:szCs w:val="20"/>
          <w:color w:val="auto"/>
        </w:rPr>
      </w:pPr>
    </w:p>
    <w:p>
      <w:pPr>
        <w:ind w:left="480" w:right="40" w:hanging="207"/>
        <w:spacing w:after="0" w:line="251"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02" w:lineRule="exact"/>
        <w:rPr>
          <w:rFonts w:ascii="Arial" w:cs="Arial" w:eastAsia="Arial" w:hAnsi="Arial"/>
          <w:sz w:val="17"/>
          <w:szCs w:val="17"/>
          <w:color w:val="auto"/>
        </w:rPr>
      </w:pPr>
    </w:p>
    <w:p>
      <w:pPr>
        <w:ind w:left="480" w:hanging="207"/>
        <w:spacing w:after="0" w:line="251"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federal false claims laws, including 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02" w:lineRule="exact"/>
        <w:rPr>
          <w:rFonts w:ascii="Arial" w:cs="Arial" w:eastAsia="Arial" w:hAnsi="Arial"/>
          <w:sz w:val="17"/>
          <w:szCs w:val="17"/>
          <w:color w:val="auto"/>
        </w:rPr>
      </w:pPr>
    </w:p>
    <w:p>
      <w:pPr>
        <w:ind w:left="480" w:right="400" w:hanging="207"/>
        <w:spacing w:after="0" w:line="253"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statements relating to healthcare matters;</w:t>
      </w:r>
    </w:p>
    <w:p>
      <w:pPr>
        <w:spacing w:after="0" w:line="101" w:lineRule="exact"/>
        <w:rPr>
          <w:rFonts w:ascii="Arial" w:cs="Arial" w:eastAsia="Arial" w:hAnsi="Arial"/>
          <w:sz w:val="17"/>
          <w:szCs w:val="17"/>
          <w:color w:val="auto"/>
        </w:rPr>
      </w:pPr>
    </w:p>
    <w:p>
      <w:pPr>
        <w:ind w:left="480" w:right="620" w:hanging="207"/>
        <w:spacing w:after="0" w:line="253"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its implementing regulations, also imposes obligations, including mandatory contractual terms, on certain types of people and entities with respect to safeguarding the privacy, security and transmission of individually identifiable health information;</w:t>
      </w:r>
    </w:p>
    <w:p>
      <w:pPr>
        <w:spacing w:after="0" w:line="101" w:lineRule="exact"/>
        <w:rPr>
          <w:rFonts w:ascii="Arial" w:cs="Arial" w:eastAsia="Arial" w:hAnsi="Arial"/>
          <w:sz w:val="17"/>
          <w:szCs w:val="17"/>
          <w:color w:val="auto"/>
        </w:rPr>
      </w:pPr>
    </w:p>
    <w:p>
      <w:pPr>
        <w:ind w:left="480" w:right="80" w:hanging="207"/>
        <w:spacing w:after="0" w:line="251"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Physician Payment Sunshine Act requires applicable manufacturers of covered drugs, devices, biologics, and medical supplies for which payment is available under Medicare, Medicaid, or the Children’s Health Insurance Program, with specific exceptions, to report payments and other transfers of value to physicians and teaching hospitals, as well as certain ownership and investment interests held by physicians and their immediate family, which includes annual data collection and reporting obligations; and</w:t>
      </w:r>
    </w:p>
    <w:p>
      <w:pPr>
        <w:spacing w:after="0" w:line="102" w:lineRule="exact"/>
        <w:rPr>
          <w:rFonts w:ascii="Arial" w:cs="Arial" w:eastAsia="Arial" w:hAnsi="Arial"/>
          <w:sz w:val="17"/>
          <w:szCs w:val="17"/>
          <w:color w:val="auto"/>
        </w:rPr>
      </w:pPr>
    </w:p>
    <w:p>
      <w:pPr>
        <w:jc w:val="both"/>
        <w:ind w:left="480" w:right="440" w:hanging="207"/>
        <w:spacing w:after="0" w:line="253"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89" w:lineRule="exact"/>
        <w:rPr>
          <w:sz w:val="20"/>
          <w:szCs w:val="20"/>
          <w:color w:val="auto"/>
        </w:rPr>
      </w:pPr>
    </w:p>
    <w:p>
      <w:pPr>
        <w:jc w:val="both"/>
        <w:ind w:left="280" w:right="280"/>
        <w:spacing w:after="0" w:line="249"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93"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from government-funded healthcare programs, such as Medicare and Medicaid, disgorgement, contractual damages,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140"/>
          </w:cols>
          <w:pgMar w:left="240" w:top="455"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reputational harm, diminished profits and future earnings,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government-funded healthcare programs.</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Risks related to commercialization and manufacturing</w:t>
      </w:r>
    </w:p>
    <w:p>
      <w:pPr>
        <w:spacing w:after="0" w:line="121" w:lineRule="exact"/>
        <w:rPr>
          <w:sz w:val="20"/>
          <w:szCs w:val="20"/>
          <w:color w:val="auto"/>
        </w:rPr>
      </w:pPr>
    </w:p>
    <w:p>
      <w:pPr>
        <w:ind w:left="280" w:right="380"/>
        <w:spacing w:after="0" w:line="286" w:lineRule="auto"/>
        <w:rPr>
          <w:sz w:val="20"/>
          <w:szCs w:val="20"/>
          <w:color w:val="auto"/>
        </w:rPr>
      </w:pPr>
      <w:r>
        <w:rPr>
          <w:rFonts w:ascii="Arial" w:cs="Arial" w:eastAsia="Arial" w:hAnsi="Arial"/>
          <w:sz w:val="17"/>
          <w:szCs w:val="17"/>
          <w:b w:val="1"/>
          <w:bCs w:val="1"/>
          <w:i w:val="1"/>
          <w:iCs w:val="1"/>
          <w:color w:val="auto"/>
        </w:rPr>
        <w:t>The commercial success of our product candidates, including STK-001, will depend upon their degree of market acceptance by providers, patients, patient advocacy groups, third-party payors and the general medical community.</w:t>
      </w:r>
    </w:p>
    <w:p>
      <w:pPr>
        <w:spacing w:after="0" w:line="6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Ethical, social and legal concerns about genetic treatments generally could result in additional regulations restricting or prohibiting our product candidates. Even with the requisite approvals from the FDA, the EMA and other regulatory authorities internationally, the commercial success of our product candidates will depend, in part, on the acceptance of providers, patients and third-party payors of drugs designed to increase protein expression in general, and our product candidates in particular, as medically necessary, cost-effective and safe. In addition, we may face challenges in seeking to establish and grow sales of STK-001, including acceptance of the lumbar puncture and intrathecal administration, which carries risks of infection or other complications.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 The degree of market acceptance of genetic medicines and, in particular, STK-001 and our future product candidates, if approved for commercial sale, will depend on several factors, including:</w:t>
      </w:r>
    </w:p>
    <w:p>
      <w:pPr>
        <w:spacing w:after="0" w:line="108" w:lineRule="exact"/>
        <w:rPr>
          <w:sz w:val="20"/>
          <w:szCs w:val="20"/>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efficacy, durability and safety of such product candidates as demonstrated in clinical trials;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treatment relative to alternative treatments;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 by the FDA or the European Commission;</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willingness of providers to prescribe new therapies;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24" w:lineRule="exact"/>
        <w:rPr>
          <w:rFonts w:ascii="Arial" w:cs="Arial" w:eastAsia="Arial" w:hAnsi="Arial"/>
          <w:sz w:val="17"/>
          <w:szCs w:val="17"/>
          <w:color w:val="auto"/>
        </w:rPr>
      </w:pPr>
    </w:p>
    <w:p>
      <w:pPr>
        <w:ind w:left="480" w:right="520" w:hanging="207"/>
        <w:spacing w:after="0" w:line="262"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EMA or other regulatory authorities, including any limitations or warnings contained in a product’s approved labeling;</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willingness of providers to prescribe, and of patients to receive, intrathecal injections;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of market introduction of competitive products;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quality of our relationships with patient advocacy groups;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publicity concerning our product candidates or competing products and treatments;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sufficient third-party payor coverage and adequate reimbursement.</w:t>
      </w:r>
    </w:p>
    <w:p>
      <w:pPr>
        <w:spacing w:after="0" w:line="111" w:lineRule="exact"/>
        <w:rPr>
          <w:sz w:val="20"/>
          <w:szCs w:val="20"/>
          <w:color w:val="auto"/>
        </w:rPr>
      </w:pPr>
    </w:p>
    <w:p>
      <w:pPr>
        <w:ind w:left="280" w:right="300"/>
        <w:spacing w:after="0" w:line="262" w:lineRule="auto"/>
        <w:rPr>
          <w:sz w:val="20"/>
          <w:szCs w:val="20"/>
          <w:color w:val="auto"/>
        </w:rPr>
      </w:pPr>
      <w:r>
        <w:rPr>
          <w:rFonts w:ascii="Arial" w:cs="Arial" w:eastAsia="Arial" w:hAnsi="Arial"/>
          <w:sz w:val="17"/>
          <w:szCs w:val="17"/>
          <w:color w:val="auto"/>
        </w:rPr>
        <w:t>Even if a potential product displays a favorable efficacy and safety profile in preclinical studies and clinical trials, market acceptance of the product will not be fully known until after it is launched.</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120"/>
          </w:cols>
          <w:pgMar w:left="240" w:top="455"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20"/>
        <w:spacing w:after="0" w:line="266" w:lineRule="auto"/>
        <w:rPr>
          <w:sz w:val="20"/>
          <w:szCs w:val="20"/>
          <w:color w:val="auto"/>
        </w:rPr>
      </w:pPr>
      <w:r>
        <w:rPr>
          <w:rFonts w:ascii="Arial" w:cs="Arial" w:eastAsia="Arial" w:hAnsi="Arial"/>
          <w:sz w:val="17"/>
          <w:szCs w:val="17"/>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77" w:lineRule="exact"/>
        <w:rPr>
          <w:sz w:val="20"/>
          <w:szCs w:val="20"/>
          <w:color w:val="auto"/>
        </w:rPr>
      </w:pPr>
    </w:p>
    <w:p>
      <w:pPr>
        <w:ind w:left="280" w:right="100"/>
        <w:spacing w:after="0" w:line="248" w:lineRule="auto"/>
        <w:rPr>
          <w:sz w:val="20"/>
          <w:szCs w:val="20"/>
          <w:color w:val="auto"/>
        </w:rPr>
      </w:pPr>
      <w:r>
        <w:rPr>
          <w:rFonts w:ascii="Arial" w:cs="Arial" w:eastAsia="Arial" w:hAnsi="Arial"/>
          <w:sz w:val="17"/>
          <w:szCs w:val="17"/>
          <w:color w:val="auto"/>
        </w:rPr>
        <w:t>Our target indications, including Dravet syndrome, are indications with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 If we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w:t>
      </w:r>
    </w:p>
    <w:p>
      <w:pPr>
        <w:spacing w:after="0" w:line="95"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We expect that coverage and reimbursement by third-party payors will be essential for most patients to be able to afford these treatments. Accordingly, sales of STK-001 and our future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Even if coverage is provided, the approved reimbursement amount may not be high enough to allow us to establish or maintain pricing sufficient to realize a sufficient return on our investment.</w:t>
      </w:r>
    </w:p>
    <w:p>
      <w:pPr>
        <w:spacing w:after="0" w:line="95"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by government authorities for new products are typically made by the Centers for Medicare &amp; Medicaid Services, or CMS, since CMS decides whether and to what extent a new product will be covered and reimbursed under Medicare. Private payors tend to follow CMS to a substantial degree. However, one payor’s determination to provide coverage for a drug product does not assure that other payors will also provide coverage for the drug product. Further, a payor’s decision to provide coverage for a drug product does not imply that an adequate reimbursement rate will be approved. Reimbursement agencies in Europe may be more conservative than CMS. For example, a number of cancer drugs have been approved for reimbursement in the United States and have not been approved for reimbursement in certain European countries</w:t>
      </w:r>
    </w:p>
    <w:p>
      <w:pPr>
        <w:spacing w:after="0" w:line="97"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94" w:lineRule="exact"/>
        <w:rPr>
          <w:sz w:val="20"/>
          <w:szCs w:val="20"/>
          <w:color w:val="auto"/>
        </w:rPr>
      </w:pPr>
    </w:p>
    <w:p>
      <w:pPr>
        <w:ind w:left="280" w:right="120"/>
        <w:spacing w:after="0" w:line="25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140"/>
          </w:cols>
          <w:pgMar w:left="240" w:top="455"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 Even if we are successful in obtaining FDA approvals to commercialize our product candidates, we cannot guarantee that we will be able to secure reimbursement for all patients for whom treatment with our product candidates is indicated.</w:t>
      </w:r>
    </w:p>
    <w:p>
      <w:pPr>
        <w:spacing w:after="0" w:line="97"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the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 Even if favorable coverage and reimbursement status is attained for one or more product candidates for which we or our collaborators receive regulatory approval, less favorable coverage policies and reimbursement rates may be implemented in the future.</w:t>
      </w:r>
    </w:p>
    <w:p>
      <w:pPr>
        <w:spacing w:after="0" w:line="75" w:lineRule="exact"/>
        <w:rPr>
          <w:sz w:val="20"/>
          <w:szCs w:val="20"/>
          <w:color w:val="auto"/>
        </w:rPr>
      </w:pPr>
    </w:p>
    <w:p>
      <w:pPr>
        <w:ind w:left="280" w:right="140"/>
        <w:spacing w:after="0" w:line="266" w:lineRule="auto"/>
        <w:rPr>
          <w:sz w:val="20"/>
          <w:szCs w:val="20"/>
          <w:color w:val="auto"/>
        </w:rPr>
      </w:pPr>
      <w:r>
        <w:rPr>
          <w:rFonts w:ascii="Arial" w:cs="Arial" w:eastAsia="Arial" w:hAnsi="Arial"/>
          <w:sz w:val="17"/>
          <w:szCs w:val="17"/>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7"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We rely on third parties for genetic testing, and on third party contract research organizations, or CROs, contract manufacturing organizations, or CMOs, consultants and others to design, conduct, supervise and monitor key activities relating to, discovery, manufacturing, preclinical studies and clinical trials of our product candidates, and we intend to do the same for future activities relating to existing and future programs. Because we rely on third parties and do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295"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160"/>
          </w:cols>
          <w:pgMar w:left="240" w:top="455"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200"/>
        <w:spacing w:after="0" w:line="266"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our ability to successfully market or commercialize STK-001 and our future product candidates.</w:t>
      </w:r>
    </w:p>
    <w:p>
      <w:pPr>
        <w:spacing w:after="0" w:line="77"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biotechnology and pharmaceutical industries, including the genetic medicine and antisense oligonucleotide fields, are characterized by rapidly changing technologies, competition and a strong emphasis on intellectual property. We are aware of several companies focused on developing ASO treatments in various indications as well as several companies addressing other methods for modifying genes and regulating protein expression. We may also face competition from large and specialty pharmaceutical and biotechnology companies, academic research institutions, government agencies and public and private research institutions.</w:t>
      </w:r>
    </w:p>
    <w:p>
      <w:pPr>
        <w:spacing w:after="0" w:line="93"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Although few companies focus treatments on Dravet syndrome, such as Encoded Therapeutics, Inc., numerous treatments for epilepsy exist, including cannabidiols, such as GW Pharmaceuticals, plc’s Epidiolex, GABA receptor agonists, such as clobazam, and glutamate blockers, such as topiramate. In addition, numerous compounds are in clinical development for treatment of epilepsy. We believe the clinical development pipeline includes cannabinoids, 5-HT release stimulants, cholesterol 24-hydroxylase inhibitors, and sodium channel antagonists from a variety of companies. In addition to competition from these small molecule drugs, any products we may develop may also face competition from other types of therapies, such as gene therapy, gene editing, modified mRNA therapies or other ASO approaches.</w:t>
      </w:r>
    </w:p>
    <w:p>
      <w:pPr>
        <w:spacing w:after="0" w:line="95"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96"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120"/>
          </w:cols>
          <w:pgMar w:left="240" w:top="455"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line="259" w:lineRule="auto"/>
        <w:rPr>
          <w:sz w:val="20"/>
          <w:szCs w:val="20"/>
          <w:color w:val="auto"/>
        </w:rPr>
      </w:pPr>
      <w:r>
        <w:rPr>
          <w:rFonts w:ascii="Arial" w:cs="Arial" w:eastAsia="Arial" w:hAnsi="Arial"/>
          <w:sz w:val="17"/>
          <w:szCs w:val="17"/>
          <w:b w:val="1"/>
          <w:bCs w:val="1"/>
          <w:i w:val="1"/>
          <w:iCs w:val="1"/>
          <w:color w:val="auto"/>
        </w:rPr>
        <w:t>The manufacture of drugs is complex and our third-party manufacturers may encounter difficulties in production. If any of our third-party manufacturers encounter such difficulties, our ability to provide supply of STK-001 or our future product candidates for clinical trials, our ability to obtain marketing approval, or our ability to provide supply of our product candidates for patients, if approved, could be delayed or stopped.</w:t>
      </w:r>
    </w:p>
    <w:p>
      <w:pPr>
        <w:spacing w:after="0" w:line="83"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We have established manufacturing relationships with a limited number of suppliers to manufacture raw materials and the drug substance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97"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The process of manufacturing drugs is complex, highly-regulated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manufacturers are not in compliance with FDA laws and regulations, including those governing cGMPs, the FDA may deny NDA approval until the deficiencies are corrected or we replace the manufacturer in our NDA with a manufacturer that is in compliance.</w:t>
      </w:r>
    </w:p>
    <w:p>
      <w:pPr>
        <w:spacing w:after="0" w:line="97"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293"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Our reliance on a limited number of manufacturers,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140"/>
          </w:cols>
          <w:pgMar w:left="240" w:top="455"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60"/>
        <w:spacing w:after="0" w:line="286" w:lineRule="auto"/>
        <w:rPr>
          <w:sz w:val="20"/>
          <w:szCs w:val="20"/>
          <w:color w:val="auto"/>
        </w:rPr>
      </w:pPr>
      <w:r>
        <w:rPr>
          <w:rFonts w:ascii="Arial" w:cs="Arial" w:eastAsia="Arial" w:hAnsi="Arial"/>
          <w:sz w:val="17"/>
          <w:szCs w:val="17"/>
          <w:b w:val="1"/>
          <w:bCs w:val="1"/>
          <w:i w:val="1"/>
          <w:iCs w:val="1"/>
          <w:color w:val="auto"/>
        </w:rPr>
        <w:t>If we are unable to establish sales and marketing capabilities or enter into agreements with third parties to market and sell STK-001 and our future product candidates, we may be unable to generate any revenues.</w:t>
      </w:r>
    </w:p>
    <w:p>
      <w:pPr>
        <w:spacing w:after="0" w:line="61" w:lineRule="exact"/>
        <w:rPr>
          <w:sz w:val="20"/>
          <w:szCs w:val="20"/>
          <w:color w:val="auto"/>
        </w:rPr>
      </w:pPr>
    </w:p>
    <w:p>
      <w:pPr>
        <w:ind w:left="280" w:right="80"/>
        <w:spacing w:after="0" w:line="247" w:lineRule="auto"/>
        <w:rPr>
          <w:sz w:val="20"/>
          <w:szCs w:val="20"/>
          <w:color w:val="auto"/>
        </w:rPr>
      </w:pPr>
      <w:r>
        <w:rPr>
          <w:rFonts w:ascii="Arial" w:cs="Arial" w:eastAsia="Arial" w:hAnsi="Arial"/>
          <w:sz w:val="17"/>
          <w:szCs w:val="17"/>
          <w:color w:val="auto"/>
        </w:rPr>
        <w:t>We currently do not have an organization for the sales, marketing and distribution of STK-001 and our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STK-001 and other future product candidates, including in markets outside of the United States or for other large markets that are beyond our resources. This will reduce the revenue generated from the sales of these products.</w:t>
      </w:r>
    </w:p>
    <w:p>
      <w:pPr>
        <w:spacing w:after="0" w:line="97"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93"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69" w:lineRule="exact"/>
        <w:rPr>
          <w:sz w:val="20"/>
          <w:szCs w:val="20"/>
          <w:color w:val="auto"/>
        </w:rPr>
      </w:pPr>
    </w:p>
    <w:p>
      <w:pPr>
        <w:ind w:left="280" w:right="640"/>
        <w:spacing w:after="0" w:line="286"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7" w:lineRule="exact"/>
        <w:rPr>
          <w:sz w:val="20"/>
          <w:szCs w:val="20"/>
          <w:color w:val="auto"/>
        </w:rPr>
      </w:pPr>
    </w:p>
    <w:p>
      <w:pPr>
        <w:ind w:left="280" w:right="80"/>
        <w:spacing w:after="0" w:line="286" w:lineRule="auto"/>
        <w:rPr>
          <w:sz w:val="20"/>
          <w:szCs w:val="20"/>
          <w:color w:val="auto"/>
        </w:rPr>
      </w:pPr>
      <w:r>
        <w:rPr>
          <w:rFonts w:ascii="Arial" w:cs="Arial" w:eastAsia="Arial" w:hAnsi="Arial"/>
          <w:sz w:val="17"/>
          <w:szCs w:val="17"/>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6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In the future, we may decide to collaborate with non-profit organizations, universities,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140"/>
          </w:cols>
          <w:pgMar w:left="240" w:top="455"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96"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93"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Risks related to our financial position</w:t>
      </w:r>
    </w:p>
    <w:p>
      <w:pPr>
        <w:spacing w:after="0" w:line="121" w:lineRule="exact"/>
        <w:rPr>
          <w:sz w:val="20"/>
          <w:szCs w:val="20"/>
          <w:color w:val="auto"/>
        </w:rPr>
      </w:pPr>
    </w:p>
    <w:p>
      <w:pPr>
        <w:ind w:left="280"/>
        <w:spacing w:after="0" w:line="266" w:lineRule="auto"/>
        <w:rPr>
          <w:sz w:val="20"/>
          <w:szCs w:val="20"/>
          <w:color w:val="auto"/>
        </w:rPr>
      </w:pPr>
      <w:r>
        <w:rPr>
          <w:rFonts w:ascii="Arial" w:cs="Arial" w:eastAsia="Arial" w:hAnsi="Arial"/>
          <w:sz w:val="17"/>
          <w:szCs w:val="17"/>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 we could be forced to delay, reduce or eliminate our product development programs or commercial development efforts.</w:t>
      </w:r>
    </w:p>
    <w:p>
      <w:pPr>
        <w:spacing w:after="0" w:line="77"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We are an early-stage biotechnology company with a limited operating history on which to base your investment decision. Biotechnology product development is a highly speculative undertaking and involves a substantial degree of risk. Our operations to date have been limited primarily to organizing and staffing our company, business planning, raising capital, acquiring and developing product and technology rights, manufacturing, and conducting research and development activities for our product candidates. We have never generated any revenue from product sales. We have not obtained regulatory approvals for any of our product candidates, and have funded our operations to date through proceeds from sales of our preferred stock and common stock.</w:t>
      </w:r>
    </w:p>
    <w:p>
      <w:pPr>
        <w:spacing w:after="0" w:line="95" w:lineRule="exact"/>
        <w:rPr>
          <w:sz w:val="20"/>
          <w:szCs w:val="20"/>
          <w:color w:val="auto"/>
        </w:rPr>
      </w:pPr>
    </w:p>
    <w:p>
      <w:pPr>
        <w:ind w:left="280" w:right="140"/>
        <w:spacing w:after="0" w:line="253" w:lineRule="auto"/>
        <w:rPr>
          <w:sz w:val="20"/>
          <w:szCs w:val="20"/>
          <w:color w:val="auto"/>
        </w:rPr>
      </w:pPr>
      <w:r>
        <w:rPr>
          <w:rFonts w:ascii="Arial" w:cs="Arial" w:eastAsia="Arial" w:hAnsi="Arial"/>
          <w:sz w:val="17"/>
          <w:szCs w:val="17"/>
          <w:color w:val="auto"/>
        </w:rPr>
        <w:t>We have incurred net losses in each year since our inception. We incurred a net loss of $12.5 million and $5.6 million for the years ended December 31, 2018 and 2017, respectively, and for the three months ended March 31, 2019 and 2018 we incurred a net loss of $5.7 million and $1.9 million, respectively. As of December 31,</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100"/>
          </w:cols>
          <w:pgMar w:left="240" w:top="455" w:right="5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2018 and March 31, 2019, we had an accumulated deficit of $25.7 million and $31.5 million, respectively.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intend to continue to conduct research and development, clinical testing, regulatory compliance activities, manufacturing activities, and, if any of our product candidates is approved, sales and marketing activities that, together with anticipated general and administrative expenses, will likely result in us incurring significant losses for the foreseeable future. Our prior losses, combined with expected future losses, have had and will continue to have an adverse effect on our stockholders’ equity and working capital.</w:t>
      </w:r>
    </w:p>
    <w:p>
      <w:pPr>
        <w:spacing w:after="0" w:line="73" w:lineRule="exact"/>
        <w:rPr>
          <w:sz w:val="20"/>
          <w:szCs w:val="20"/>
          <w:color w:val="auto"/>
        </w:rPr>
      </w:pPr>
    </w:p>
    <w:p>
      <w:pPr>
        <w:ind w:left="280" w:right="40"/>
        <w:spacing w:after="0" w:line="259" w:lineRule="auto"/>
        <w:rPr>
          <w:sz w:val="20"/>
          <w:szCs w:val="20"/>
          <w:color w:val="auto"/>
        </w:rPr>
      </w:pPr>
      <w:r>
        <w:rPr>
          <w:rFonts w:ascii="Arial" w:cs="Arial" w:eastAsia="Arial" w:hAnsi="Arial"/>
          <w:sz w:val="17"/>
          <w:szCs w:val="17"/>
          <w:b w:val="1"/>
          <w:bCs w:val="1"/>
          <w:i w:val="1"/>
          <w:iCs w:val="1"/>
          <w:color w:val="auto"/>
        </w:rPr>
        <w:t>We expect that we will need to raise additional funding before we can expect to become profitable from any potential future sales of STK-001 or our future product candidates. This additional financing may not be available on acceptable terms or at all. Failure to obtain this necessary capital when needed may force us to delay, limit or terminate our product development efforts or other operations.</w:t>
      </w:r>
    </w:p>
    <w:p>
      <w:pPr>
        <w:spacing w:after="0" w:line="83"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We will require substantial future capital in order to complete planned and future preclinical and clinical development for STK-001 and other future product candidates, if any, and potentially commercialize these product candidates. Based upon our current operating plan, we believe that the net proceeds from this offering, together with our existing cash, cash equivalents and restricted cash as of March 31, 2019, will enable us to fund our operating expenses and capital expenditure requirements through the end of 2022.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licensing activities, our research and development programs or other operations.</w:t>
      </w:r>
    </w:p>
    <w:p>
      <w:pPr>
        <w:spacing w:after="0" w:line="95"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on terms favorable to us, we may need to cease or reduce development or commercialization activities, sell some or all of our assets or merge with another entity, which could result in a loss of all or part of your investment.</w:t>
      </w:r>
    </w:p>
    <w:p>
      <w:pPr>
        <w:spacing w:after="0" w:line="93" w:lineRule="exact"/>
        <w:rPr>
          <w:sz w:val="20"/>
          <w:szCs w:val="20"/>
          <w:color w:val="auto"/>
        </w:rPr>
      </w:pPr>
    </w:p>
    <w:p>
      <w:pPr>
        <w:ind w:left="280" w:right="120"/>
        <w:spacing w:after="0" w:line="262" w:lineRule="auto"/>
        <w:rPr>
          <w:sz w:val="20"/>
          <w:szCs w:val="20"/>
          <w:color w:val="auto"/>
        </w:rPr>
      </w:pPr>
      <w:r>
        <w:rPr>
          <w:rFonts w:ascii="Arial" w:cs="Arial" w:eastAsia="Arial" w:hAnsi="Arial"/>
          <w:sz w:val="17"/>
          <w:szCs w:val="17"/>
          <w:color w:val="auto"/>
        </w:rPr>
        <w:t>Our operations have consumed significant amounts of cash since inception. As of March 31, 2019, our cash, cash equivalents and restricted cash were $98.9 million.</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25" w:lineRule="exact"/>
        <w:rPr>
          <w:sz w:val="20"/>
          <w:szCs w:val="20"/>
          <w:color w:val="auto"/>
        </w:rPr>
      </w:pPr>
    </w:p>
    <w:p>
      <w:pPr>
        <w:ind w:left="480" w:right="100" w:hanging="207"/>
        <w:spacing w:after="0" w:line="262"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associated with the scope, progress and results of discovery, preclinical development, laboratory testing and clinical trials for our product candidates;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associated with the development of our internal manufacturing facility and processes;</w:t>
      </w:r>
    </w:p>
    <w:p>
      <w:pPr>
        <w:spacing w:after="0" w:line="124" w:lineRule="exact"/>
        <w:rPr>
          <w:rFonts w:ascii="Arial" w:cs="Arial" w:eastAsia="Arial" w:hAnsi="Arial"/>
          <w:sz w:val="17"/>
          <w:szCs w:val="17"/>
          <w:color w:val="auto"/>
        </w:rPr>
      </w:pPr>
    </w:p>
    <w:p>
      <w:pPr>
        <w:ind w:left="480" w:right="260" w:hanging="207"/>
        <w:spacing w:after="0" w:line="262"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related to the extent to which we enter into partnerships or other arrangements with third parties to further develop our product candidates;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and fees associated with the discovery, acquisition or in-license of product candidates or technologies;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establish collaborations on favorable terms, if at all;</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140"/>
          </w:cols>
          <w:pgMar w:left="240" w:top="455"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360" w:hanging="207"/>
        <w:spacing w:after="0" w:line="262"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costs of future commercialization activities, if any, including product sales, marketing, manufacturing and distribution, for any of our product candidates for which we receive marketing approval;</w:t>
      </w:r>
    </w:p>
    <w:p>
      <w:pPr>
        <w:spacing w:after="0" w:line="93" w:lineRule="exact"/>
        <w:rPr>
          <w:rFonts w:ascii="Arial" w:cs="Arial" w:eastAsia="Arial" w:hAnsi="Arial"/>
          <w:sz w:val="17"/>
          <w:szCs w:val="17"/>
          <w:color w:val="auto"/>
        </w:rPr>
      </w:pPr>
    </w:p>
    <w:p>
      <w:pPr>
        <w:ind w:left="480" w:right="620" w:hanging="207"/>
        <w:spacing w:after="0" w:line="262"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revenue, if any, received from commercial sales of our product candidates, should any of our product candidates receive marketing approval; and</w:t>
      </w:r>
    </w:p>
    <w:p>
      <w:pPr>
        <w:spacing w:after="0" w:line="93" w:lineRule="exact"/>
        <w:rPr>
          <w:rFonts w:ascii="Arial" w:cs="Arial" w:eastAsia="Arial" w:hAnsi="Arial"/>
          <w:sz w:val="17"/>
          <w:szCs w:val="17"/>
          <w:color w:val="auto"/>
        </w:rPr>
      </w:pPr>
    </w:p>
    <w:p>
      <w:pPr>
        <w:ind w:left="480" w:right="180" w:hanging="207"/>
        <w:spacing w:after="0" w:line="262"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80"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which may not be available to us on acceptable terms, or at all.</w:t>
      </w:r>
    </w:p>
    <w:p>
      <w:pPr>
        <w:spacing w:after="0" w:line="69" w:lineRule="exact"/>
        <w:rPr>
          <w:sz w:val="20"/>
          <w:szCs w:val="20"/>
          <w:color w:val="auto"/>
        </w:rPr>
      </w:pPr>
    </w:p>
    <w:p>
      <w:pPr>
        <w:ind w:left="280" w:right="100"/>
        <w:spacing w:after="0" w:line="286" w:lineRule="auto"/>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61"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We are an early-stage biotechnology company formed in June 2014. Our operations to date have been limited to organizing and staffing our company,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95" w:lineRule="exact"/>
        <w:rPr>
          <w:sz w:val="20"/>
          <w:szCs w:val="20"/>
          <w:color w:val="auto"/>
        </w:rPr>
      </w:pPr>
    </w:p>
    <w:p>
      <w:pPr>
        <w:ind w:left="280" w:right="20"/>
        <w:spacing w:after="0" w:line="253" w:lineRule="auto"/>
        <w:rPr>
          <w:sz w:val="20"/>
          <w:szCs w:val="20"/>
          <w:color w:val="auto"/>
        </w:rPr>
      </w:pPr>
      <w:r>
        <w:rPr>
          <w:rFonts w:ascii="Arial" w:cs="Arial" w:eastAsia="Arial" w:hAnsi="Arial"/>
          <w:sz w:val="17"/>
          <w:szCs w:val="17"/>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may be subject to limitations.</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As of December 31, 2018, we had federal and state net operating loss carryforwards, or NOLs, of approximately $24.4 million and $24.0 million, respectively, which expire on various dates beginning in 2034 for those net operating loss carryforwards generated prior to 2018. Net operating losses generated in 2018 and beyond have no expiration. To the extent that we continue to generate taxable losses, unused losses will carry forward to offset future taxable income, if any, until such unused losses expire. Under Sections 382 and 383 of the Internal Revenue Code of 1986, as amended, or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may have experienced one or more ownership changes in prior years, and we may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120"/>
          </w:cols>
          <w:pgMar w:left="240" w:top="455"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U.S. federal income tax reform and changes in other tax laws could adversely affect us.</w:t>
      </w:r>
    </w:p>
    <w:p>
      <w:pPr>
        <w:spacing w:after="0" w:line="131" w:lineRule="exact"/>
        <w:rPr>
          <w:sz w:val="20"/>
          <w:szCs w:val="20"/>
          <w:color w:val="auto"/>
        </w:rPr>
      </w:pPr>
    </w:p>
    <w:p>
      <w:pPr>
        <w:ind w:left="280" w:right="320"/>
        <w:spacing w:after="0" w:line="251" w:lineRule="auto"/>
        <w:rPr>
          <w:sz w:val="20"/>
          <w:szCs w:val="20"/>
          <w:color w:val="auto"/>
        </w:rPr>
      </w:pPr>
      <w:r>
        <w:rPr>
          <w:rFonts w:ascii="Arial" w:cs="Arial" w:eastAsia="Arial" w:hAnsi="Arial"/>
          <w:sz w:val="17"/>
          <w:szCs w:val="17"/>
          <w:color w:val="auto"/>
        </w:rPr>
        <w:t>In December 2017, U.S. federal tax legislation, commonly referred to as the Tax Cuts and Jobs Act, or the TCJA, was signed into law, significantly reforming the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continue to examine the impact the TCJA may have on our business. The TCJA is a far-reaching and complex revision to the U.S. federal income tax laws with disparate and, in some cases, countervailing impacts on different categories of taxpayers and industries, and will require subsequent rulemaking and interpretation in a number of areas. The long-term impact of the TCJA on the overall economy, the industries in which we operate and our and our partners’ businesses cannot be reliably predicted at this early stage of the new law’s implementation. There can be no assurance that the TCJA will not negatively impact our operating results, financial condition, and future business operations. The estimated impact of the TCJA is based on our management’s current knowledge and assumptions, following consultation with our tax advisors. Because of our valuation allowance in the U.S., ongoing tax effects of the Act are not expected to materially change our effective tax rate in future periods.</w:t>
      </w:r>
    </w:p>
    <w:p>
      <w:pPr>
        <w:spacing w:after="0" w:line="97"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In addition, new legislation or regulation which could affect our tax burden could be enacted by any governmental authority. We cannot predict the timing or extent of such tax-related developments which could have a negative impact on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Risks related to our intellectual property</w:t>
      </w:r>
    </w:p>
    <w:p>
      <w:pPr>
        <w:spacing w:after="0" w:line="121" w:lineRule="exact"/>
        <w:rPr>
          <w:sz w:val="20"/>
          <w:szCs w:val="20"/>
          <w:color w:val="auto"/>
        </w:rPr>
      </w:pPr>
    </w:p>
    <w:p>
      <w:pPr>
        <w:ind w:left="280" w:right="560"/>
        <w:spacing w:after="0" w:line="286" w:lineRule="auto"/>
        <w:rPr>
          <w:sz w:val="20"/>
          <w:szCs w:val="20"/>
          <w:color w:val="auto"/>
        </w:rPr>
      </w:pPr>
      <w:r>
        <w:rPr>
          <w:rFonts w:ascii="Arial" w:cs="Arial" w:eastAsia="Arial" w:hAnsi="Arial"/>
          <w:sz w:val="17"/>
          <w:szCs w:val="17"/>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6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Our commercial success will depend in large part on obtaining and maintaining patent, trademark, trade secret and other intellectual property protection of our proprietary technologies and product candidates, which include TANGO, STK-001 and the additional gene targets identified by TANGO,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96"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w:t>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140"/>
          </w:cols>
          <w:pgMar w:left="240" w:top="455"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60"/>
        <w:spacing w:after="0" w:line="248" w:lineRule="auto"/>
        <w:rPr>
          <w:sz w:val="20"/>
          <w:szCs w:val="20"/>
          <w:color w:val="auto"/>
        </w:rPr>
      </w:pPr>
      <w:r>
        <w:rPr>
          <w:rFonts w:ascii="Arial" w:cs="Arial" w:eastAsia="Arial" w:hAnsi="Arial"/>
          <w:sz w:val="17"/>
          <w:szCs w:val="17"/>
          <w:color w:val="auto"/>
        </w:rPr>
        <w:t>parties and are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73" w:lineRule="exact"/>
        <w:rPr>
          <w:sz w:val="20"/>
          <w:szCs w:val="20"/>
          <w:color w:val="auto"/>
        </w:rPr>
      </w:pPr>
    </w:p>
    <w:p>
      <w:pPr>
        <w:ind w:left="280" w:right="60"/>
        <w:spacing w:after="0" w:line="266" w:lineRule="auto"/>
        <w:rPr>
          <w:sz w:val="20"/>
          <w:szCs w:val="20"/>
          <w:color w:val="auto"/>
        </w:rPr>
      </w:pPr>
      <w:r>
        <w:rPr>
          <w:rFonts w:ascii="Arial" w:cs="Arial" w:eastAsia="Arial" w:hAnsi="Arial"/>
          <w:sz w:val="17"/>
          <w:szCs w:val="17"/>
          <w:b w:val="1"/>
          <w:bCs w:val="1"/>
          <w:i w:val="1"/>
          <w:iCs w:val="1"/>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77"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We are dependent on patents, know-how and proprietary technology licensed from others.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are complex, and certain provisions in such agreements may be susceptible to multiple interpretations.</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For example, we are a party to license agreements with Cold Spring Harbor Laboratory and the University of Southampton, pursuant to which we in-license key patent and patent applications for our TANGO platform, STK-001 and future product candidates. For more information regarding these agreements, please see “Business—License agreements.” These agreements impose various diligence, milestone payment, royalty, insurance and other obligations on us. If we fail to comply with these obligations, our licensors may have the right to terminate our license, in which event we would not be able to develop or market our TANGO platform or STK-001 or any other technology or product candidates covered by the intellectual property licensed under these agreements. In addition, we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94"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If we or our licensors fail to adequately protect our licensed intellectual property, our ability to commercialize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95"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Furthermore, inventions contained within some of our in-licensed patents and patent applications were made using U.S. government funding or other non-governmental funding. We rely on our licensors to ensure compliance with applicable obligations arising from such funding, such as timely reporting, an obligation associated with in-licensed patents and patent applications. The failure of our licensors to meet their obligations may lead to a loss of rights or the unenforceability of relevant patents. For example, the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160"/>
          </w:cols>
          <w:pgMar w:left="240" w:top="455"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20"/>
        <w:spacing w:after="0" w:line="247" w:lineRule="auto"/>
        <w:rPr>
          <w:sz w:val="20"/>
          <w:szCs w:val="20"/>
          <w:color w:val="auto"/>
        </w:rPr>
      </w:pPr>
      <w:r>
        <w:rPr>
          <w:rFonts w:ascii="Arial" w:cs="Arial" w:eastAsia="Arial" w:hAnsi="Arial"/>
          <w:sz w:val="17"/>
          <w:szCs w:val="17"/>
          <w:color w:val="auto"/>
        </w:rPr>
        <w:t>government could have certain rights in such in-licensed patents,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exercise march-in rights to use or allow third parties to use the technology covered by such in-licensed patents. The government may also exercise its march-in rights if it determines that action is necessary because we or our licensors failed to achieve practical application of the government-funded technology, because action is necessary to alleviate health or safety needs, to meet requirements of federal regulations, or to give preference to U.S. industry. In addition, our rights in such in-licensed government-funded inventions may be subject to certain requirements to manufacture products embodying such inventions in the United States. Any of the foregoing could harm our business, financial condition, results of operations, and prospects significantly.</w:t>
      </w:r>
    </w:p>
    <w:p>
      <w:pPr>
        <w:spacing w:after="0" w:line="96"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In addition,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102" w:lineRule="exact"/>
        <w:rPr>
          <w:sz w:val="20"/>
          <w:szCs w:val="20"/>
          <w:color w:val="auto"/>
        </w:rPr>
      </w:pPr>
    </w:p>
    <w:p>
      <w:pPr>
        <w:ind w:left="480" w:hanging="207"/>
        <w:spacing w:after="0"/>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24" w:lineRule="exact"/>
        <w:rPr>
          <w:rFonts w:ascii="Arial" w:cs="Arial" w:eastAsia="Arial" w:hAnsi="Arial"/>
          <w:sz w:val="17"/>
          <w:szCs w:val="17"/>
          <w:color w:val="auto"/>
        </w:rPr>
      </w:pPr>
    </w:p>
    <w:p>
      <w:pPr>
        <w:ind w:left="480" w:right="400" w:hanging="207"/>
        <w:spacing w:after="0" w:line="262" w:lineRule="auto"/>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and the extent to which our technology and processes infringe on intellectual property of the licensor that is not subject to the licensing agreement;</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124" w:lineRule="exact"/>
        <w:rPr>
          <w:rFonts w:ascii="Arial" w:cs="Arial" w:eastAsia="Arial" w:hAnsi="Arial"/>
          <w:sz w:val="17"/>
          <w:szCs w:val="17"/>
          <w:color w:val="auto"/>
        </w:rPr>
      </w:pPr>
    </w:p>
    <w:p>
      <w:pPr>
        <w:ind w:left="480" w:right="340" w:hanging="207"/>
        <w:spacing w:after="0" w:line="262" w:lineRule="auto"/>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candidates and what activities satisfy those diligence obligations; and</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w:t>
      </w:r>
    </w:p>
    <w:p>
      <w:pPr>
        <w:spacing w:after="0" w:line="111" w:lineRule="exact"/>
        <w:rPr>
          <w:sz w:val="20"/>
          <w:szCs w:val="20"/>
          <w:color w:val="auto"/>
        </w:rPr>
      </w:pPr>
    </w:p>
    <w:p>
      <w:pPr>
        <w:ind w:left="280" w:right="180"/>
        <w:spacing w:after="0" w:line="249"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technology or product candidates. As a result, any termination of or disputes over our intellectual property licenses could result in the loss of our ability to develop and commercialize our TANGO platform, or STK-001, or we could lose other significant rights, any of which could have a material adverse effect on our business, financial condition, results of operations, and prospects.</w:t>
      </w:r>
    </w:p>
    <w:p>
      <w:pPr>
        <w:spacing w:after="0" w:line="93"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For example, our agreements with certain of our third-party research partners provide that improvements developed in the course of our relationship may be owned solely by either us or our third party research partner, or jointly between us and the third party. If we determine that rights to such improvements owned solely by a research partner or other third party with whom we collaborate are necessary to commercialize our drug candidates or maintain our competitive advantage, we may need to obtain a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120"/>
          </w:cols>
          <w:pgMar w:left="240" w:top="455"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260"/>
        <w:spacing w:after="0" w:line="286" w:lineRule="auto"/>
        <w:rPr>
          <w:sz w:val="20"/>
          <w:szCs w:val="20"/>
          <w:color w:val="auto"/>
        </w:rPr>
      </w:pPr>
      <w:r>
        <w:rPr>
          <w:rFonts w:ascii="Arial" w:cs="Arial" w:eastAsia="Arial" w:hAnsi="Arial"/>
          <w:sz w:val="17"/>
          <w:szCs w:val="17"/>
          <w:b w:val="1"/>
          <w:bCs w:val="1"/>
          <w:i w:val="1"/>
          <w:iCs w:val="1"/>
          <w:color w:val="auto"/>
        </w:rPr>
        <w:t>Our owned and in-licensed patents and patent applications may not provide sufficient protection of our TANGO platform and our STK-001 product candidate and our future product candidates or result in any competitive advantage.</w:t>
      </w:r>
    </w:p>
    <w:p>
      <w:pPr>
        <w:spacing w:after="0" w:line="6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We have in-licensed an issued U.S. patent and patent applications that cover the mechanism of action of STK-001. As of the date of this prospectus, we have applied for patent applications intended to specifically cover STK-001 and its use, but do not currently own or in-license any issued U.S. patents that specifically cover STK-001 or its use. We cannot be certain that any of these patent applications will issue as patents, and if they do, that such patents will cover or adequately protect STK-001 or that such patents will not be challenged, narrowed, circumvented, invalidated or held unenforceable.</w:t>
      </w:r>
    </w:p>
    <w:p>
      <w:pPr>
        <w:spacing w:after="0" w:line="93"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In addition to claims directed toward the technology underlying our TANGO platform, our owned and in-licensed patents and patent applications contain claims directed to compositions of matter on the active pharmaceutical ingredients, or APIs, in our product candidates, as well as methods-of-use directed to the use of an API for a specified treatment. Composition-of-matter patents on the active pharmaceutical ingredient in prescription drug products provide 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96" w:lineRule="exact"/>
        <w:rPr>
          <w:sz w:val="20"/>
          <w:szCs w:val="20"/>
          <w:color w:val="auto"/>
        </w:rPr>
      </w:pPr>
    </w:p>
    <w:p>
      <w:pPr>
        <w:ind w:left="280" w:right="20"/>
        <w:spacing w:after="0" w:line="246" w:lineRule="auto"/>
        <w:rPr>
          <w:sz w:val="20"/>
          <w:szCs w:val="20"/>
          <w:color w:val="auto"/>
        </w:rPr>
      </w:pPr>
      <w:r>
        <w:rPr>
          <w:rFonts w:ascii="Arial" w:cs="Arial" w:eastAsia="Arial" w:hAnsi="Arial"/>
          <w:sz w:val="17"/>
          <w:szCs w:val="17"/>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 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34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120"/>
          </w:cols>
          <w:pgMar w:left="240" w:top="455"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Since patent applications in the United States and other countries are confidential for a period of time after filing, at any moment in time, we cannot be certain that we were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w:t>
      </w:r>
    </w:p>
    <w:p>
      <w:pPr>
        <w:spacing w:after="0" w:line="10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Likewise, our currently owned and in-licensed patents and patent applications, if issued as patents, directed to our proprietary technologies and our product candidates are expected to expire from 2035 through 2040,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93" w:lineRule="exact"/>
        <w:rPr>
          <w:sz w:val="20"/>
          <w:szCs w:val="20"/>
          <w:color w:val="auto"/>
        </w:rPr>
      </w:pPr>
    </w:p>
    <w:p>
      <w:pPr>
        <w:ind w:left="280" w:right="720"/>
        <w:spacing w:after="0" w:line="262"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3" w:lineRule="exact"/>
        <w:rPr>
          <w:sz w:val="20"/>
          <w:szCs w:val="20"/>
          <w:color w:val="auto"/>
        </w:rPr>
      </w:pPr>
    </w:p>
    <w:p>
      <w:pPr>
        <w:ind w:left="480" w:right="560" w:hanging="207"/>
        <w:spacing w:after="0" w:line="262"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others may be able to make or use compounds that are similar to the active compositions of our product candidates but that are not covered by the claims of our patents;</w:t>
      </w:r>
    </w:p>
    <w:p>
      <w:pPr>
        <w:spacing w:after="0" w:line="93" w:lineRule="exact"/>
        <w:rPr>
          <w:rFonts w:ascii="Arial" w:cs="Arial" w:eastAsia="Arial" w:hAnsi="Arial"/>
          <w:sz w:val="17"/>
          <w:szCs w:val="17"/>
          <w:color w:val="auto"/>
        </w:rPr>
      </w:pPr>
    </w:p>
    <w:p>
      <w:pPr>
        <w:ind w:left="480" w:right="400" w:hanging="207"/>
        <w:spacing w:after="0" w:line="262"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active pharmaceutical ingredients in our current product candidates will eventually become commercially available in generic drug products, and no patent protection may be available with regard to formulation or method of use;</w:t>
      </w:r>
    </w:p>
    <w:p>
      <w:pPr>
        <w:spacing w:after="0" w:line="93" w:lineRule="exact"/>
        <w:rPr>
          <w:rFonts w:ascii="Arial" w:cs="Arial" w:eastAsia="Arial" w:hAnsi="Arial"/>
          <w:sz w:val="17"/>
          <w:szCs w:val="17"/>
          <w:color w:val="auto"/>
        </w:rPr>
      </w:pPr>
    </w:p>
    <w:p>
      <w:pPr>
        <w:ind w:left="480" w:right="300" w:hanging="207"/>
        <w:spacing w:after="0" w:line="262"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regarding any in-licensed patents and patent applications funded by U.S. government grants, leading to the loss or unenforceability of patent rights;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certain inventions;</w:t>
      </w:r>
    </w:p>
    <w:p>
      <w:pPr>
        <w:spacing w:after="0" w:line="15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100"/>
          </w:cols>
          <w:pgMar w:left="240" w:top="455" w:right="5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hanging="207"/>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24" w:lineRule="exact"/>
        <w:rPr>
          <w:rFonts w:ascii="Arial" w:cs="Arial" w:eastAsia="Arial" w:hAnsi="Arial"/>
          <w:sz w:val="17"/>
          <w:szCs w:val="17"/>
          <w:color w:val="auto"/>
        </w:rPr>
      </w:pPr>
    </w:p>
    <w:p>
      <w:pPr>
        <w:ind w:left="480" w:right="200" w:hanging="207"/>
        <w:spacing w:after="0" w:line="262"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owned or in-licensed patents, as the case may be, or parts of our owned or in-licensed patents;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w:t>
      </w:r>
    </w:p>
    <w:p>
      <w:pPr>
        <w:spacing w:after="0" w:line="124" w:lineRule="exact"/>
        <w:rPr>
          <w:rFonts w:ascii="Arial" w:cs="Arial" w:eastAsia="Arial" w:hAnsi="Arial"/>
          <w:sz w:val="17"/>
          <w:szCs w:val="17"/>
          <w:color w:val="auto"/>
        </w:rPr>
      </w:pPr>
    </w:p>
    <w:p>
      <w:pPr>
        <w:ind w:left="480" w:right="120" w:hanging="207"/>
        <w:spacing w:after="0" w:line="262"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or technology similar to ours;</w:t>
      </w:r>
    </w:p>
    <w:p>
      <w:pPr>
        <w:spacing w:after="0" w:line="93" w:lineRule="exact"/>
        <w:rPr>
          <w:rFonts w:ascii="Arial" w:cs="Arial" w:eastAsia="Arial" w:hAnsi="Arial"/>
          <w:sz w:val="17"/>
          <w:szCs w:val="17"/>
          <w:color w:val="auto"/>
        </w:rPr>
      </w:pPr>
    </w:p>
    <w:p>
      <w:pPr>
        <w:ind w:left="480" w:right="100" w:hanging="207"/>
        <w:spacing w:after="0" w:line="262"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24" w:lineRule="exact"/>
        <w:rPr>
          <w:rFonts w:ascii="Arial" w:cs="Arial" w:eastAsia="Arial" w:hAnsi="Arial"/>
          <w:sz w:val="17"/>
          <w:szCs w:val="17"/>
          <w:color w:val="auto"/>
        </w:rPr>
      </w:pPr>
    </w:p>
    <w:p>
      <w:pPr>
        <w:ind w:left="480" w:hanging="207"/>
        <w:spacing w:after="0" w:line="262"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93" w:lineRule="exact"/>
        <w:rPr>
          <w:rFonts w:ascii="Arial" w:cs="Arial" w:eastAsia="Arial" w:hAnsi="Arial"/>
          <w:sz w:val="17"/>
          <w:szCs w:val="17"/>
          <w:color w:val="auto"/>
        </w:rPr>
      </w:pPr>
    </w:p>
    <w:p>
      <w:pPr>
        <w:jc w:val="both"/>
        <w:ind w:left="480" w:right="560" w:hanging="207"/>
        <w:spacing w:after="0" w:line="253"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01" w:lineRule="exact"/>
        <w:rPr>
          <w:rFonts w:ascii="Arial" w:cs="Arial" w:eastAsia="Arial" w:hAnsi="Arial"/>
          <w:sz w:val="17"/>
          <w:szCs w:val="17"/>
          <w:color w:val="auto"/>
        </w:rPr>
      </w:pPr>
    </w:p>
    <w:p>
      <w:pPr>
        <w:ind w:left="480" w:right="40" w:hanging="207"/>
        <w:spacing w:after="0" w:line="253"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01" w:lineRule="exact"/>
        <w:rPr>
          <w:rFonts w:ascii="Arial" w:cs="Arial" w:eastAsia="Arial" w:hAnsi="Arial"/>
          <w:sz w:val="17"/>
          <w:szCs w:val="17"/>
          <w:color w:val="auto"/>
        </w:rPr>
      </w:pPr>
    </w:p>
    <w:p>
      <w:pPr>
        <w:ind w:left="480" w:right="60" w:hanging="207"/>
        <w:spacing w:after="0" w:line="262"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and our collaborators may develop adjacent or competing products that are outside the scope of our patents;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Any of the foregoing could have a material adverse effect on our business, financial conditions, results of operations and prospects.</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Our strategy of obtaining rights to key technologies through in-licenses may not be successful.</w:t>
      </w:r>
    </w:p>
    <w:p>
      <w:pPr>
        <w:spacing w:after="0" w:line="131" w:lineRule="exact"/>
        <w:rPr>
          <w:sz w:val="20"/>
          <w:szCs w:val="20"/>
          <w:color w:val="auto"/>
        </w:rPr>
      </w:pPr>
    </w:p>
    <w:p>
      <w:pPr>
        <w:ind w:left="280" w:right="200"/>
        <w:spacing w:after="0" w:line="249" w:lineRule="auto"/>
        <w:rPr>
          <w:sz w:val="20"/>
          <w:szCs w:val="20"/>
          <w:color w:val="auto"/>
        </w:rPr>
      </w:pPr>
      <w:r>
        <w:rPr>
          <w:rFonts w:ascii="Arial" w:cs="Arial" w:eastAsia="Arial" w:hAnsi="Arial"/>
          <w:sz w:val="17"/>
          <w:szCs w:val="17"/>
          <w:color w:val="auto"/>
        </w:rPr>
        <w:t>We seek to expand our product candidate pipeline in part by in-licensing the rights to key technologies, including those related to specific gene targets which may be upregulated by TANGO. The future growth of our business will depend in part on our ability to in-license or otherwise acquire the rights to additional product candidates and technologies. Although we have succeeded in licensing technologies from Cold Spring Harbor Laboratory and the University of Southampton in the past, we cannot assure you that we will be able to in-license or acquire the rights to any product candidates or technologies from third parties on acceptable terms or at all.</w:t>
      </w:r>
    </w:p>
    <w:p>
      <w:pPr>
        <w:spacing w:after="0" w:line="93" w:lineRule="exact"/>
        <w:rPr>
          <w:sz w:val="20"/>
          <w:szCs w:val="20"/>
          <w:color w:val="auto"/>
        </w:rPr>
      </w:pPr>
    </w:p>
    <w:p>
      <w:pPr>
        <w:ind w:left="280" w:right="20"/>
        <w:spacing w:after="0" w:line="253" w:lineRule="auto"/>
        <w:rPr>
          <w:sz w:val="20"/>
          <w:szCs w:val="20"/>
          <w:color w:val="auto"/>
        </w:rPr>
      </w:pPr>
      <w:r>
        <w:rPr>
          <w:rFonts w:ascii="Arial" w:cs="Arial" w:eastAsia="Arial" w:hAnsi="Arial"/>
          <w:sz w:val="17"/>
          <w:szCs w:val="17"/>
          <w:color w:val="auto"/>
        </w:rPr>
        <w:t>For example, our agreements with certain of our third party research partners provide that improvements developed in the course of our relationship may be owned solely by either us or our third party research partner, or jointly between us and the third party. If we determine that exclusive rights to such improvements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140"/>
          </w:cols>
          <w:pgMar w:left="240" w:top="455"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95" w:lineRule="exact"/>
        <w:rPr>
          <w:sz w:val="20"/>
          <w:szCs w:val="20"/>
          <w:color w:val="auto"/>
        </w:rPr>
      </w:pPr>
    </w:p>
    <w:p>
      <w:pPr>
        <w:ind w:left="280" w:right="180"/>
        <w:spacing w:after="0" w:line="248" w:lineRule="auto"/>
        <w:rPr>
          <w:sz w:val="20"/>
          <w:szCs w:val="20"/>
          <w:color w:val="auto"/>
        </w:rPr>
      </w:pPr>
      <w:r>
        <w:rPr>
          <w:rFonts w:ascii="Arial" w:cs="Arial" w:eastAsia="Arial" w:hAnsi="Arial"/>
          <w:sz w:val="17"/>
          <w:szCs w:val="17"/>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ind w:left="280" w:right="180"/>
        <w:spacing w:after="0" w:line="253"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93" w:lineRule="exact"/>
        <w:rPr>
          <w:sz w:val="20"/>
          <w:szCs w:val="20"/>
          <w:color w:val="auto"/>
        </w:rPr>
      </w:pPr>
    </w:p>
    <w:p>
      <w:pPr>
        <w:ind w:left="280" w:right="180"/>
        <w:spacing w:after="0" w:line="248" w:lineRule="auto"/>
        <w:rPr>
          <w:sz w:val="20"/>
          <w:szCs w:val="20"/>
          <w:color w:val="auto"/>
        </w:rPr>
      </w:pPr>
      <w:r>
        <w:rPr>
          <w:rFonts w:ascii="Arial" w:cs="Arial" w:eastAsia="Arial" w:hAnsi="Arial"/>
          <w:sz w:val="17"/>
          <w:szCs w:val="17"/>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140"/>
          </w:cols>
          <w:pgMar w:left="240" w:top="455"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8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consume our time and other resources. Although we take steps to protect our proprietary information and trade secrets, third parties may independently develop substantially equivalent proprietary information and techniques or otherwise gain access to our trade secrets or disclose our technology. As a result, we may not be able to meaningfully protect our trade secrets. Any of the foregoing could have a material adverse effect on our business, financial condition, results of operations and prospects.</w:t>
      </w:r>
    </w:p>
    <w:p>
      <w:pPr>
        <w:spacing w:after="0" w:line="75" w:lineRule="exact"/>
        <w:rPr>
          <w:sz w:val="20"/>
          <w:szCs w:val="20"/>
          <w:color w:val="auto"/>
        </w:rPr>
      </w:pPr>
    </w:p>
    <w:p>
      <w:pPr>
        <w:ind w:left="280" w:right="300"/>
        <w:spacing w:after="0" w:line="286" w:lineRule="auto"/>
        <w:rPr>
          <w:sz w:val="20"/>
          <w:szCs w:val="20"/>
          <w:color w:val="auto"/>
        </w:rPr>
      </w:pPr>
      <w:r>
        <w:rPr>
          <w:rFonts w:ascii="Arial" w:cs="Arial" w:eastAsia="Arial" w:hAnsi="Arial"/>
          <w:sz w:val="17"/>
          <w:szCs w:val="17"/>
          <w:b w:val="1"/>
          <w:bCs w:val="1"/>
          <w:i w:val="1"/>
          <w:iCs w:val="1"/>
          <w:color w:val="auto"/>
        </w:rPr>
        <w:t>Third-party claims of intellectual property infringement may prevent, delay or otherwise interfere with our product discovery and development efforts.</w:t>
      </w:r>
    </w:p>
    <w:p>
      <w:pPr>
        <w:spacing w:after="0" w:line="6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293" w:lineRule="exact"/>
        <w:rPr>
          <w:sz w:val="20"/>
          <w:szCs w:val="20"/>
          <w:color w:val="auto"/>
        </w:rPr>
      </w:pPr>
    </w:p>
    <w:p>
      <w:pPr>
        <w:ind w:left="280" w:right="400"/>
        <w:spacing w:after="0" w:line="262" w:lineRule="auto"/>
        <w:rPr>
          <w:sz w:val="20"/>
          <w:szCs w:val="20"/>
          <w:color w:val="auto"/>
        </w:rPr>
      </w:pPr>
      <w:r>
        <w:rPr>
          <w:rFonts w:ascii="Arial" w:cs="Arial" w:eastAsia="Arial" w:hAnsi="Arial"/>
          <w:sz w:val="17"/>
          <w:szCs w:val="17"/>
          <w:color w:val="auto"/>
        </w:rPr>
        <w:t>If a third party claims that we infringe, misappropriate or otherwise violate its intellectual property rights, we may face a number of issues, including, but not limited to:</w:t>
      </w:r>
    </w:p>
    <w:p>
      <w:pPr>
        <w:spacing w:after="0" w:line="93" w:lineRule="exact"/>
        <w:rPr>
          <w:sz w:val="20"/>
          <w:szCs w:val="20"/>
          <w:color w:val="auto"/>
        </w:rPr>
      </w:pPr>
    </w:p>
    <w:p>
      <w:pPr>
        <w:ind w:left="480" w:right="420" w:hanging="207"/>
        <w:spacing w:after="0" w:line="262"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that, regardless of merit, may be expensive and time-consuming to litigate and may divert our management’s attention from our core business;</w:t>
      </w:r>
    </w:p>
    <w:p>
      <w:pPr>
        <w:spacing w:after="0" w:line="93" w:lineRule="exact"/>
        <w:rPr>
          <w:rFonts w:ascii="Arial" w:cs="Arial" w:eastAsia="Arial" w:hAnsi="Arial"/>
          <w:sz w:val="17"/>
          <w:szCs w:val="17"/>
          <w:color w:val="auto"/>
        </w:rPr>
      </w:pPr>
    </w:p>
    <w:p>
      <w:pPr>
        <w:ind w:left="480" w:right="400" w:hanging="207"/>
        <w:spacing w:after="0" w:line="253"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01" w:lineRule="exact"/>
        <w:rPr>
          <w:rFonts w:ascii="Arial" w:cs="Arial" w:eastAsia="Arial" w:hAnsi="Arial"/>
          <w:sz w:val="17"/>
          <w:szCs w:val="17"/>
          <w:color w:val="auto"/>
        </w:rPr>
      </w:pPr>
    </w:p>
    <w:p>
      <w:pPr>
        <w:ind w:left="480" w:right="200" w:hanging="207"/>
        <w:spacing w:after="0" w:line="253"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101" w:lineRule="exact"/>
        <w:rPr>
          <w:rFonts w:ascii="Arial" w:cs="Arial" w:eastAsia="Arial" w:hAnsi="Arial"/>
          <w:sz w:val="17"/>
          <w:szCs w:val="17"/>
          <w:color w:val="auto"/>
        </w:rPr>
      </w:pPr>
    </w:p>
    <w:p>
      <w:pPr>
        <w:ind w:left="480" w:right="340" w:hanging="207"/>
        <w:spacing w:after="0" w:line="262"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 license is available from a third party, we may have to pay substantial royalties, upfront fees and other amounts, and/or grant cross-licenses to intellectual property rights for our product candidates;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160"/>
          </w:cols>
          <w:pgMar w:left="240" w:top="455"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240" w:hanging="207"/>
        <w:spacing w:after="0" w:line="262" w:lineRule="auto"/>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requirement that we redesign our product candidates or processes so they do not infringe, which may not be possible or may require substantial monetary expenditures and time; and</w:t>
      </w:r>
    </w:p>
    <w:p>
      <w:pPr>
        <w:spacing w:after="0" w:line="93" w:lineRule="exact"/>
        <w:rPr>
          <w:rFonts w:ascii="Arial" w:cs="Arial" w:eastAsia="Arial" w:hAnsi="Arial"/>
          <w:sz w:val="17"/>
          <w:szCs w:val="17"/>
          <w:color w:val="auto"/>
        </w:rPr>
      </w:pPr>
    </w:p>
    <w:p>
      <w:pPr>
        <w:ind w:left="480" w:right="260" w:hanging="207"/>
        <w:spacing w:after="0" w:line="262" w:lineRule="auto"/>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80"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89" w:lineRule="exact"/>
        <w:rPr>
          <w:sz w:val="20"/>
          <w:szCs w:val="20"/>
          <w:color w:val="auto"/>
        </w:rPr>
      </w:pPr>
    </w:p>
    <w:p>
      <w:pPr>
        <w:jc w:val="both"/>
        <w:ind w:left="280" w:right="40"/>
        <w:spacing w:after="0" w:line="253"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89" w:lineRule="exact"/>
        <w:rPr>
          <w:sz w:val="20"/>
          <w:szCs w:val="20"/>
          <w:color w:val="auto"/>
        </w:rPr>
      </w:pPr>
    </w:p>
    <w:p>
      <w:pPr>
        <w:ind w:left="280" w:right="200"/>
        <w:spacing w:after="0" w:line="251" w:lineRule="auto"/>
        <w:rPr>
          <w:sz w:val="20"/>
          <w:szCs w:val="20"/>
          <w:color w:val="auto"/>
        </w:rPr>
      </w:pPr>
      <w:r>
        <w:rPr>
          <w:rFonts w:ascii="Arial" w:cs="Arial" w:eastAsia="Arial" w:hAnsi="Arial"/>
          <w:sz w:val="17"/>
          <w:szCs w:val="17"/>
          <w:color w:val="auto"/>
        </w:rPr>
        <w:t>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89"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02" w:lineRule="exact"/>
        <w:rPr>
          <w:sz w:val="20"/>
          <w:szCs w:val="20"/>
          <w:color w:val="auto"/>
        </w:rPr>
      </w:pPr>
    </w:p>
    <w:p>
      <w:pPr>
        <w:ind w:left="280" w:right="100"/>
        <w:spacing w:after="0" w:line="248"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w:t>
      </w:r>
    </w:p>
    <w:p>
      <w:pPr>
        <w:spacing w:after="0" w:line="3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160"/>
          </w:cols>
          <w:pgMar w:left="240" w:top="455"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280" w:right="200"/>
        <w:spacing w:after="0" w:line="253" w:lineRule="auto"/>
        <w:rPr>
          <w:sz w:val="20"/>
          <w:szCs w:val="20"/>
          <w:color w:val="auto"/>
        </w:rPr>
      </w:pPr>
      <w:r>
        <w:rPr>
          <w:rFonts w:ascii="Arial" w:cs="Arial" w:eastAsia="Arial" w:hAnsi="Arial"/>
          <w:sz w:val="17"/>
          <w:szCs w:val="17"/>
          <w:color w:val="auto"/>
        </w:rPr>
        <w:t>advance our research or allow commercialization of our product candidates and we may fail to obtain any of these licenses at a reasonable cost or on reasonable terms, if at all. In that event, we would be unable to further develop and commercialize our product candidates, which could significantly harm our business.</w:t>
      </w:r>
    </w:p>
    <w:p>
      <w:pPr>
        <w:spacing w:after="0" w:line="69" w:lineRule="exact"/>
        <w:rPr>
          <w:sz w:val="20"/>
          <w:szCs w:val="20"/>
          <w:color w:val="auto"/>
        </w:rPr>
      </w:pPr>
    </w:p>
    <w:p>
      <w:pPr>
        <w:ind w:left="280" w:right="260"/>
        <w:spacing w:after="0" w:line="286"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61" w:lineRule="exact"/>
        <w:rPr>
          <w:sz w:val="20"/>
          <w:szCs w:val="20"/>
          <w:color w:val="auto"/>
        </w:rPr>
      </w:pPr>
    </w:p>
    <w:p>
      <w:pPr>
        <w:jc w:val="both"/>
        <w:ind w:left="280" w:right="120"/>
        <w:spacing w:after="0" w:line="251"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94"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 xml:space="preserve">Conversely, we may choose to challenge the patentability of claims in a third party’s U.S. patent by requesting that the USPTO review the patent claims in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(e.g., opposition proceedings), or we may choose to challenge a third party’s patent in patent opposition proceedings in the European Patent Office, or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93" w:lineRule="exact"/>
        <w:rPr>
          <w:sz w:val="20"/>
          <w:szCs w:val="20"/>
          <w:color w:val="auto"/>
        </w:rPr>
      </w:pPr>
    </w:p>
    <w:p>
      <w:pPr>
        <w:ind w:left="280" w:right="140"/>
        <w:spacing w:after="0" w:line="24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73" w:lineRule="exact"/>
        <w:rPr>
          <w:sz w:val="20"/>
          <w:szCs w:val="20"/>
          <w:color w:val="auto"/>
        </w:rPr>
      </w:pPr>
    </w:p>
    <w:p>
      <w:pPr>
        <w:ind w:left="280" w:right="280"/>
        <w:spacing w:after="0" w:line="286" w:lineRule="auto"/>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61" w:lineRule="exact"/>
        <w:rPr>
          <w:sz w:val="20"/>
          <w:szCs w:val="20"/>
          <w:color w:val="auto"/>
        </w:rPr>
      </w:pPr>
    </w:p>
    <w:p>
      <w:pPr>
        <w:ind w:left="280" w:right="200"/>
        <w:spacing w:after="0" w:line="262"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140"/>
          </w:cols>
          <w:pgMar w:left="240" w:top="455"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60"/>
        <w:spacing w:after="0" w:line="247" w:lineRule="auto"/>
        <w:rPr>
          <w:sz w:val="20"/>
          <w:szCs w:val="20"/>
          <w:color w:val="auto"/>
        </w:rPr>
      </w:pPr>
      <w:r>
        <w:rPr>
          <w:rFonts w:ascii="Arial" w:cs="Arial" w:eastAsia="Arial" w:hAnsi="Arial"/>
          <w:sz w:val="17"/>
          <w:szCs w:val="17"/>
          <w:color w:val="auto"/>
        </w:rPr>
        <w:t>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97"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Our use of open source software could impose limitations on our ability to commercialize our product candidates.</w:t>
      </w:r>
    </w:p>
    <w:p>
      <w:pPr>
        <w:spacing w:after="0" w:line="13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Our use of open source software could impose limitations on our ability to commercialize our product candidates. Our technology utilizes open source software that contains modules licensed for use from third-party authors under open source licenses. In particular, some of the software that powers TANGO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its use for commercial purposes, we may be required to replace those software components, which could result in delays, additional cost and additional regulatory approvals.</w:t>
      </w:r>
    </w:p>
    <w:p>
      <w:pPr>
        <w:spacing w:after="0" w:line="93" w:lineRule="exact"/>
        <w:rPr>
          <w:sz w:val="20"/>
          <w:szCs w:val="20"/>
          <w:color w:val="auto"/>
        </w:rPr>
      </w:pPr>
    </w:p>
    <w:p>
      <w:pPr>
        <w:ind w:left="280" w:right="80"/>
        <w:spacing w:after="0" w:line="247" w:lineRule="auto"/>
        <w:rPr>
          <w:sz w:val="20"/>
          <w:szCs w:val="20"/>
          <w:color w:val="auto"/>
        </w:rPr>
      </w:pPr>
      <w:r>
        <w:rPr>
          <w:rFonts w:ascii="Arial" w:cs="Arial" w:eastAsia="Arial" w:hAnsi="Arial"/>
          <w:sz w:val="17"/>
          <w:szCs w:val="17"/>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product candidates. We could be required to seek</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160"/>
          </w:cols>
          <w:pgMar w:left="240" w:top="455"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340"/>
        <w:spacing w:after="0" w:line="253" w:lineRule="auto"/>
        <w:rPr>
          <w:sz w:val="20"/>
          <w:szCs w:val="20"/>
          <w:color w:val="auto"/>
        </w:rPr>
      </w:pPr>
      <w:r>
        <w:rPr>
          <w:rFonts w:ascii="Arial" w:cs="Arial" w:eastAsia="Arial" w:hAnsi="Arial"/>
          <w:sz w:val="17"/>
          <w:szCs w:val="17"/>
          <w:color w:val="auto"/>
        </w:rPr>
        <w:t>licenses from third parties in order to continue offering our product candidates, to re-engineer our product candidates or to discontinue the sale of our product candidates in the event re-engineering cannot be accomplished on a timely basis, any of which could materially and adversely affect our business, financial condition, results of operations and prospects.</w:t>
      </w:r>
    </w:p>
    <w:p>
      <w:pPr>
        <w:spacing w:after="0" w:line="69" w:lineRule="exact"/>
        <w:rPr>
          <w:sz w:val="20"/>
          <w:szCs w:val="20"/>
          <w:color w:val="auto"/>
        </w:rPr>
      </w:pPr>
    </w:p>
    <w:p>
      <w:pPr>
        <w:ind w:left="280" w:right="860"/>
        <w:spacing w:after="0" w:line="286"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or misappropriated trade secrets.</w:t>
      </w:r>
    </w:p>
    <w:p>
      <w:pPr>
        <w:spacing w:after="0" w:line="61"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universities or other biopharmaceutical or pharmaceutical companies, including our competitors or potential competitors. Although no misappropriation or improper disclosure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281" w:lineRule="exact"/>
        <w:rPr>
          <w:sz w:val="20"/>
          <w:szCs w:val="20"/>
          <w:color w:val="auto"/>
        </w:rPr>
      </w:pPr>
    </w:p>
    <w:p>
      <w:pPr>
        <w:ind w:left="280" w:right="60"/>
        <w:spacing w:after="0" w:line="286" w:lineRule="auto"/>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product components and processes for our development pipeline through acquisitions and in-licenses.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growth of our business may depend in part on our ability to acquire, in-license or use third-party proprietary rights.</w:t>
      </w:r>
    </w:p>
    <w:p>
      <w:pPr>
        <w:spacing w:after="0" w:line="11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160"/>
          </w:cols>
          <w:pgMar w:left="240" w:top="455"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60"/>
        <w:spacing w:after="0" w:line="262" w:lineRule="auto"/>
        <w:rPr>
          <w:sz w:val="20"/>
          <w:szCs w:val="20"/>
          <w:color w:val="auto"/>
        </w:rPr>
      </w:pPr>
      <w:r>
        <w:rPr>
          <w:rFonts w:ascii="Arial" w:cs="Arial" w:eastAsia="Arial" w:hAnsi="Arial"/>
          <w:sz w:val="17"/>
          <w:szCs w:val="17"/>
          <w:color w:val="auto"/>
        </w:rPr>
        <w:t>also receive access to the same technologies licensed to us. In that event, we may be required to expend significant time and resources to develop or license replacement technology.</w:t>
      </w:r>
    </w:p>
    <w:p>
      <w:pPr>
        <w:spacing w:after="0" w:line="80"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93"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76" w:lineRule="exact"/>
        <w:rPr>
          <w:sz w:val="20"/>
          <w:szCs w:val="20"/>
          <w:color w:val="auto"/>
        </w:rPr>
      </w:pPr>
    </w:p>
    <w:p>
      <w:pPr>
        <w:ind w:left="280" w:right="580"/>
        <w:spacing w:after="0" w:line="26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7"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76" w:lineRule="exact"/>
        <w:rPr>
          <w:sz w:val="20"/>
          <w:szCs w:val="20"/>
          <w:color w:val="auto"/>
        </w:rPr>
      </w:pPr>
    </w:p>
    <w:p>
      <w:pPr>
        <w:ind w:left="280" w:right="440"/>
        <w:spacing w:after="0" w:line="286" w:lineRule="auto"/>
        <w:rPr>
          <w:sz w:val="20"/>
          <w:szCs w:val="20"/>
          <w:color w:val="auto"/>
        </w:rPr>
      </w:pPr>
      <w:r>
        <w:rPr>
          <w:rFonts w:ascii="Arial" w:cs="Arial" w:eastAsia="Arial" w:hAnsi="Arial"/>
          <w:sz w:val="17"/>
          <w:szCs w:val="17"/>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61" w:lineRule="exact"/>
        <w:rPr>
          <w:sz w:val="20"/>
          <w:szCs w:val="20"/>
          <w:color w:val="auto"/>
        </w:rPr>
      </w:pPr>
    </w:p>
    <w:p>
      <w:pPr>
        <w:ind w:left="280" w:right="360"/>
        <w:spacing w:after="0" w:line="253"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89" w:lineRule="exact"/>
        <w:rPr>
          <w:sz w:val="20"/>
          <w:szCs w:val="20"/>
          <w:color w:val="auto"/>
        </w:rPr>
      </w:pPr>
    </w:p>
    <w:p>
      <w:pPr>
        <w:ind w:left="280" w:right="140"/>
        <w:spacing w:after="0" w:line="251" w:lineRule="auto"/>
        <w:rPr>
          <w:sz w:val="20"/>
          <w:szCs w:val="20"/>
          <w:color w:val="auto"/>
        </w:rPr>
      </w:pPr>
      <w:r>
        <w:rPr>
          <w:rFonts w:ascii="Arial" w:cs="Arial" w:eastAsia="Arial" w:hAnsi="Arial"/>
          <w:sz w:val="17"/>
          <w:szCs w:val="17"/>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or America Invents Act, the United States moved from a “first to invent” to a “first-to-file” patent system. Under a “first-to-file” system, assuming the other requirements for</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140"/>
          </w:cols>
          <w:pgMar w:left="240" w:top="455"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280" w:right="180"/>
        <w:spacing w:after="0" w:line="245" w:lineRule="auto"/>
        <w:rPr>
          <w:sz w:val="20"/>
          <w:szCs w:val="20"/>
          <w:color w:val="auto"/>
        </w:rPr>
      </w:pPr>
      <w:r>
        <w:rPr>
          <w:rFonts w:ascii="Arial" w:cs="Arial" w:eastAsia="Arial" w:hAnsi="Arial"/>
          <w:sz w:val="17"/>
          <w:szCs w:val="17"/>
          <w:color w:val="auto"/>
        </w:rPr>
        <w:t>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w:t>
      </w:r>
    </w:p>
    <w:p>
      <w:pPr>
        <w:spacing w:after="0" w:line="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The effects of these changes are currently unclear as the USPTO continues to promulgate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95" w:lineRule="exact"/>
        <w:rPr>
          <w:sz w:val="20"/>
          <w:szCs w:val="20"/>
          <w:color w:val="auto"/>
        </w:rPr>
      </w:pPr>
    </w:p>
    <w:p>
      <w:pPr>
        <w:ind w:left="280" w:right="80"/>
        <w:spacing w:after="0" w:line="247" w:lineRule="auto"/>
        <w:rPr>
          <w:sz w:val="20"/>
          <w:szCs w:val="20"/>
          <w:color w:val="auto"/>
        </w:rPr>
      </w:pPr>
      <w:r>
        <w:rPr>
          <w:rFonts w:ascii="Arial" w:cs="Arial" w:eastAsia="Arial" w:hAnsi="Arial"/>
          <w:sz w:val="17"/>
          <w:szCs w:val="17"/>
          <w:color w:val="auto"/>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Arial" w:cs="Arial" w:eastAsia="Arial" w:hAnsi="Arial"/>
          <w:sz w:val="17"/>
          <w:szCs w:val="17"/>
          <w:i w:val="1"/>
          <w:iCs w:val="1"/>
          <w:color w:val="auto"/>
        </w:rPr>
        <w:t>Assoc. for Molecular Pathology v. Myriad Genetics, Inc.,</w:t>
      </w:r>
      <w:r>
        <w:rPr>
          <w:rFonts w:ascii="Arial" w:cs="Arial" w:eastAsia="Arial" w:hAnsi="Arial"/>
          <w:sz w:val="17"/>
          <w:szCs w:val="17"/>
          <w:color w:val="auto"/>
        </w:rPr>
        <w:t xml:space="preserve"> the U.S. Supreme Court held that certain claims to DNA molecules are not patentable. While we do not believe that any of our owned or in-licensed patents will be found invalid based on this decision, we cannot predict how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31" w:lineRule="exact"/>
        <w:rPr>
          <w:sz w:val="20"/>
          <w:szCs w:val="20"/>
          <w:color w:val="auto"/>
        </w:rPr>
      </w:pPr>
    </w:p>
    <w:p>
      <w:pPr>
        <w:ind w:left="280" w:right="300"/>
        <w:spacing w:after="0" w:line="24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73" w:lineRule="exact"/>
        <w:rPr>
          <w:sz w:val="20"/>
          <w:szCs w:val="20"/>
          <w:color w:val="auto"/>
        </w:rPr>
      </w:pPr>
    </w:p>
    <w:p>
      <w:pPr>
        <w:ind w:left="280" w:right="320"/>
        <w:spacing w:after="0" w:line="286"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6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patent term extension, it may not be granted because of, for example, the failure to exercise due diligence during the testing phase or regulatory</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140"/>
          </w:cols>
          <w:pgMar w:left="240" w:top="455"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We are subject to a variety of privacy and data security laws, and our failure to comply with them could harm our business.</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In May 2018, a new privacy regime, the General Data Protection Regulation, the GDPR, took effect in the European Economic Area, the EEA. The GDPR governs the collection, use, disclosure, transfer or other processing of personal data of European persons. Among other things, the GDPR imposes new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Risks related to employee matters, managing growth and other risks related to our business</w:t>
      </w:r>
    </w:p>
    <w:p>
      <w:pPr>
        <w:spacing w:after="0" w:line="121" w:lineRule="exact"/>
        <w:rPr>
          <w:sz w:val="20"/>
          <w:szCs w:val="20"/>
          <w:color w:val="auto"/>
        </w:rPr>
      </w:pPr>
    </w:p>
    <w:p>
      <w:pPr>
        <w:ind w:left="280" w:right="140"/>
        <w:spacing w:after="0" w:line="286"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as a result, we may encounter difficulties in managing our growth, which could disrupt our operations.</w:t>
      </w:r>
    </w:p>
    <w:p>
      <w:pPr>
        <w:spacing w:after="0" w:line="61" w:lineRule="exact"/>
        <w:rPr>
          <w:sz w:val="20"/>
          <w:szCs w:val="20"/>
          <w:color w:val="auto"/>
        </w:rPr>
      </w:pPr>
    </w:p>
    <w:p>
      <w:pPr>
        <w:ind w:left="280" w:right="120"/>
        <w:spacing w:after="0" w:line="248"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060"/>
          </w:cols>
          <w:pgMar w:left="240" w:top="455" w:right="5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We must attract and retain highly skilled employees to succeed.</w:t>
      </w:r>
    </w:p>
    <w:p>
      <w:pPr>
        <w:spacing w:after="0" w:line="131" w:lineRule="exact"/>
        <w:rPr>
          <w:sz w:val="20"/>
          <w:szCs w:val="20"/>
          <w:color w:val="auto"/>
        </w:rPr>
      </w:pPr>
    </w:p>
    <w:p>
      <w:pPr>
        <w:ind w:left="280" w:right="80"/>
        <w:spacing w:after="0" w:line="246"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STK-001 and our future product candidates. In particular, we believe that our future success is highly dependent upon the contributions of our senior management, particularly our Chief Executive Officer, Edward M. Kaye, M.D., our Chief Operating Officer and Chief Business Officer, Huw M. Nash, Ph.D., our Chief Medical Officer, Barry S. Ticho, M.D., Ph.D., FACC, and our Co-Founder and Vice President, Head of Biology, Isabel Aznarez, as well as our senior scientists and other members of our senior management team.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March 2019, have worked together for only a relatively short period of time and it may be difficult to evaluate their effectiveness, on an individual or collective basis, and ability to address future challenges to our business.</w:t>
      </w:r>
    </w:p>
    <w:p>
      <w:pPr>
        <w:spacing w:after="0" w:line="102"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Future acquisitions or strategic alliances could disrupt our business and harm our financial condition and results of operations.</w:t>
      </w:r>
    </w:p>
    <w:p>
      <w:pPr>
        <w:spacing w:after="0" w:line="13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308" w:lineRule="exact"/>
        <w:rPr>
          <w:sz w:val="20"/>
          <w:szCs w:val="20"/>
          <w:color w:val="auto"/>
        </w:rPr>
      </w:pPr>
    </w:p>
    <w:p>
      <w:pPr>
        <w:ind w:left="480" w:hanging="207"/>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coordination of research and development efforts;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retention of key employees from the acquired company;</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24" w:lineRule="exact"/>
        <w:rPr>
          <w:rFonts w:ascii="Arial" w:cs="Arial" w:eastAsia="Arial" w:hAnsi="Arial"/>
          <w:sz w:val="17"/>
          <w:szCs w:val="17"/>
          <w:color w:val="auto"/>
        </w:rPr>
      </w:pPr>
    </w:p>
    <w:p>
      <w:pPr>
        <w:ind w:left="480" w:right="100" w:hanging="207"/>
        <w:spacing w:after="0" w:line="262"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sufficiently effective controls, procedures and policies;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160"/>
          </w:cols>
          <w:pgMar w:left="240" w:top="455"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260" w:hanging="207"/>
        <w:spacing w:after="0" w:line="262"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intellectual property infringement claims, violation of laws, commercial disputes, tax liabilities, and other known liabilities;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unanticipated write-offs or charges; and</w:t>
      </w:r>
    </w:p>
    <w:p>
      <w:pPr>
        <w:spacing w:after="0" w:line="124" w:lineRule="exact"/>
        <w:rPr>
          <w:rFonts w:ascii="Arial" w:cs="Arial" w:eastAsia="Arial" w:hAnsi="Arial"/>
          <w:sz w:val="17"/>
          <w:szCs w:val="17"/>
          <w:color w:val="auto"/>
        </w:rPr>
      </w:pPr>
    </w:p>
    <w:p>
      <w:pPr>
        <w:ind w:left="480" w:right="680" w:hanging="207"/>
        <w:spacing w:after="0" w:line="262"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litigation or other claims in connection with the acquired company, including claims from terminated employees, customers, former stockholders or other third parties.</w:t>
      </w:r>
    </w:p>
    <w:p>
      <w:pPr>
        <w:spacing w:after="0" w:line="80"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69" w:lineRule="exact"/>
        <w:rPr>
          <w:sz w:val="20"/>
          <w:szCs w:val="20"/>
          <w:color w:val="auto"/>
        </w:rPr>
      </w:pPr>
    </w:p>
    <w:p>
      <w:pPr>
        <w:ind w:left="280" w:right="240"/>
        <w:spacing w:after="0" w:line="286"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6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We will become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3" w:lineRule="exact"/>
        <w:rPr>
          <w:sz w:val="20"/>
          <w:szCs w:val="20"/>
          <w:color w:val="auto"/>
        </w:rPr>
      </w:pPr>
    </w:p>
    <w:p>
      <w:pPr>
        <w:jc w:val="both"/>
        <w:ind w:left="280" w:right="260"/>
        <w:spacing w:after="0" w:line="26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80" w:lineRule="exact"/>
        <w:rPr>
          <w:sz w:val="20"/>
          <w:szCs w:val="20"/>
          <w:color w:val="auto"/>
        </w:rPr>
      </w:pPr>
    </w:p>
    <w:p>
      <w:pPr>
        <w:jc w:val="both"/>
        <w:ind w:left="280" w:right="260"/>
        <w:spacing w:after="0" w:line="253"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9" w:lineRule="exact"/>
        <w:rPr>
          <w:sz w:val="20"/>
          <w:szCs w:val="20"/>
          <w:color w:val="auto"/>
        </w:rPr>
      </w:pPr>
    </w:p>
    <w:p>
      <w:pPr>
        <w:ind w:left="280" w:right="680"/>
        <w:spacing w:after="0" w:line="286" w:lineRule="auto"/>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6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2008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such difficult economic times, which could directly affect our ability to attain our operating goals on</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120"/>
          </w:cols>
          <w:pgMar w:left="240" w:top="455"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53" w:lineRule="auto"/>
        <w:rPr>
          <w:sz w:val="20"/>
          <w:szCs w:val="20"/>
          <w:color w:val="auto"/>
        </w:rPr>
      </w:pPr>
      <w:r>
        <w:rPr>
          <w:rFonts w:ascii="Arial" w:cs="Arial" w:eastAsia="Arial" w:hAnsi="Arial"/>
          <w:sz w:val="17"/>
          <w:szCs w:val="17"/>
          <w:color w:val="auto"/>
        </w:rPr>
        <w:t>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69" w:lineRule="exact"/>
        <w:rPr>
          <w:sz w:val="20"/>
          <w:szCs w:val="20"/>
          <w:color w:val="auto"/>
        </w:rPr>
      </w:pPr>
    </w:p>
    <w:p>
      <w:pPr>
        <w:ind w:left="280" w:right="420"/>
        <w:spacing w:after="0" w:line="286"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1" w:lineRule="exact"/>
        <w:rPr>
          <w:sz w:val="20"/>
          <w:szCs w:val="20"/>
          <w:color w:val="auto"/>
        </w:rPr>
      </w:pPr>
    </w:p>
    <w:p>
      <w:pPr>
        <w:ind w:left="280" w:right="200"/>
        <w:spacing w:after="0" w:line="251"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it may be difficult or, in certain cases, impossible for us to continue our business for a substantial period of time.</w:t>
      </w:r>
    </w:p>
    <w:p>
      <w:pPr>
        <w:spacing w:after="0" w:line="89"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69" w:lineRule="exact"/>
        <w:rPr>
          <w:sz w:val="20"/>
          <w:szCs w:val="20"/>
          <w:color w:val="auto"/>
        </w:rPr>
      </w:pPr>
    </w:p>
    <w:p>
      <w:pPr>
        <w:ind w:left="280" w:right="60"/>
        <w:spacing w:after="0" w:line="286" w:lineRule="auto"/>
        <w:rPr>
          <w:sz w:val="20"/>
          <w:szCs w:val="20"/>
          <w:color w:val="auto"/>
        </w:rPr>
      </w:pPr>
      <w:r>
        <w:rPr>
          <w:rFonts w:ascii="Arial" w:cs="Arial" w:eastAsia="Arial" w:hAnsi="Arial"/>
          <w:sz w:val="17"/>
          <w:szCs w:val="17"/>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61" w:lineRule="exact"/>
        <w:rPr>
          <w:sz w:val="20"/>
          <w:szCs w:val="20"/>
          <w:color w:val="auto"/>
        </w:rPr>
      </w:pPr>
    </w:p>
    <w:p>
      <w:pPr>
        <w:ind w:left="280" w:right="160"/>
        <w:spacing w:after="0" w:line="247" w:lineRule="auto"/>
        <w:rPr>
          <w:sz w:val="20"/>
          <w:szCs w:val="20"/>
          <w:color w:val="auto"/>
        </w:rPr>
      </w:pPr>
      <w:r>
        <w:rPr>
          <w:rFonts w:ascii="Arial" w:cs="Arial" w:eastAsia="Arial" w:hAnsi="Arial"/>
          <w:sz w:val="17"/>
          <w:szCs w:val="17"/>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While we have not experienced any such material system failure, or accident, and are unaware of any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w:t>
      </w:r>
    </w:p>
    <w:p>
      <w:pPr>
        <w:spacing w:after="0" w:line="75" w:lineRule="exact"/>
        <w:rPr>
          <w:sz w:val="20"/>
          <w:szCs w:val="20"/>
          <w:color w:val="auto"/>
        </w:rPr>
      </w:pPr>
    </w:p>
    <w:p>
      <w:pPr>
        <w:ind w:left="280" w:right="640"/>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61" w:lineRule="exact"/>
        <w:rPr>
          <w:sz w:val="20"/>
          <w:szCs w:val="20"/>
          <w:color w:val="auto"/>
        </w:rPr>
      </w:pPr>
    </w:p>
    <w:p>
      <w:pPr>
        <w:ind w:left="280" w:right="140"/>
        <w:spacing w:after="0" w:line="247" w:lineRule="auto"/>
        <w:rPr>
          <w:sz w:val="20"/>
          <w:szCs w:val="20"/>
          <w:color w:val="auto"/>
        </w:rPr>
      </w:pPr>
      <w:r>
        <w:rPr>
          <w:rFonts w:ascii="Arial" w:cs="Arial" w:eastAsia="Arial" w:hAnsi="Arial"/>
          <w:sz w:val="17"/>
          <w:szCs w:val="17"/>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To date, we have not experienced a material compromise of our data or information systems. However,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100"/>
          </w:cols>
          <w:pgMar w:left="240" w:top="455" w:right="5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spacing w:after="0" w:line="69" w:lineRule="exact"/>
        <w:rPr>
          <w:sz w:val="20"/>
          <w:szCs w:val="20"/>
          <w:color w:val="auto"/>
        </w:rPr>
      </w:pPr>
    </w:p>
    <w:p>
      <w:pPr>
        <w:ind w:left="280" w:right="500"/>
        <w:spacing w:after="0" w:line="286" w:lineRule="auto"/>
        <w:rPr>
          <w:sz w:val="20"/>
          <w:szCs w:val="20"/>
          <w:color w:val="auto"/>
        </w:rPr>
      </w:pPr>
      <w:r>
        <w:rPr>
          <w:rFonts w:ascii="Arial" w:cs="Arial" w:eastAsia="Arial" w:hAnsi="Arial"/>
          <w:sz w:val="17"/>
          <w:szCs w:val="17"/>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61"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82" w:lineRule="exact"/>
        <w:rPr>
          <w:sz w:val="20"/>
          <w:szCs w:val="20"/>
          <w:color w:val="auto"/>
        </w:rPr>
      </w:pPr>
    </w:p>
    <w:p>
      <w:pPr>
        <w:ind w:left="280" w:right="600"/>
        <w:spacing w:after="0" w:line="286"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1" w:lineRule="exact"/>
        <w:rPr>
          <w:sz w:val="20"/>
          <w:szCs w:val="20"/>
          <w:color w:val="auto"/>
        </w:rPr>
      </w:pPr>
    </w:p>
    <w:p>
      <w:pPr>
        <w:ind w:left="280" w:right="220"/>
        <w:spacing w:after="0" w:line="251" w:lineRule="auto"/>
        <w:rPr>
          <w:sz w:val="20"/>
          <w:szCs w:val="20"/>
          <w:color w:val="auto"/>
        </w:rPr>
      </w:pPr>
      <w:r>
        <w:rPr>
          <w:rFonts w:ascii="Arial" w:cs="Arial" w:eastAsia="Arial" w:hAnsi="Arial"/>
          <w:sz w:val="17"/>
          <w:szCs w:val="17"/>
          <w:color w:val="auto"/>
        </w:rPr>
        <w:t>We will face an inherent risk of product liability exposure related to the testing of STK-001 and our future product candidates in clinical trials and will face an even greater risk if we commercialize any of our product candidates. If we cannot successfully defend ourselves against claims that our product candidates caused injuries, we could incur substantial liabilities. Regardless of merit or eventual outcome, liability claims may result in:</w:t>
      </w:r>
    </w:p>
    <w:p>
      <w:pPr>
        <w:spacing w:after="0" w:line="102" w:lineRule="exact"/>
        <w:rPr>
          <w:sz w:val="20"/>
          <w:szCs w:val="20"/>
          <w:color w:val="auto"/>
        </w:rPr>
      </w:pPr>
    </w:p>
    <w:p>
      <w:pPr>
        <w:ind w:left="480" w:hanging="207"/>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decreased demand for any product candidates that we may develop;</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significant time and costs to defend the related litigation;</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24" w:lineRule="exact"/>
        <w:rPr>
          <w:rFonts w:ascii="Arial" w:cs="Arial" w:eastAsia="Arial" w:hAnsi="Arial"/>
          <w:sz w:val="17"/>
          <w:szCs w:val="17"/>
          <w:color w:val="auto"/>
        </w:rPr>
      </w:pPr>
    </w:p>
    <w:p>
      <w:pPr>
        <w:ind w:left="5620" w:right="4920" w:hanging="5347"/>
        <w:spacing w:after="0" w:line="442" w:lineRule="auto"/>
        <w:tabs>
          <w:tab w:leader="none" w:pos="48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candidates that we may develop. 51</w:t>
      </w:r>
    </w:p>
    <w:p>
      <w:pPr>
        <w:sectPr>
          <w:pgSz w:w="11900" w:h="16838" w:orient="portrait"/>
          <w:cols w:equalWidth="0" w:num="1">
            <w:col w:w="11140"/>
          </w:cols>
          <w:pgMar w:left="240" w:top="455"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While we currently have product liability insurance that we believe is appropriate for our stage of development, we may need to obtain higher levels prior to clinical development or marketing STK-001 or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Risks related to our common stock and this offering</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The market price of our stock may be volatile, and you could lose all or part of your investment.</w:t>
      </w:r>
    </w:p>
    <w:p>
      <w:pPr>
        <w:spacing w:after="0" w:line="131"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The trading price of our common stock following this offering is likely to be highly volatile and subject to wide fluctuations in response to various factors, some of which we cannot control. As a result of this volatility, investors may not be able to sell their common stock at or above the initial public offering price. The market price for our common stock may be influenced by many factors, including the other risks described in this section of the prospectus entitled “Risk factors” and the following:</w:t>
      </w:r>
    </w:p>
    <w:p>
      <w:pPr>
        <w:spacing w:after="0" w:line="102" w:lineRule="exact"/>
        <w:rPr>
          <w:sz w:val="20"/>
          <w:szCs w:val="20"/>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product candidates, or those of our competitors or our existing or future collaborators;</w:t>
      </w:r>
    </w:p>
    <w:p>
      <w:pPr>
        <w:spacing w:after="0" w:line="124" w:lineRule="exact"/>
        <w:rPr>
          <w:rFonts w:ascii="Arial" w:cs="Arial" w:eastAsia="Arial" w:hAnsi="Arial"/>
          <w:sz w:val="17"/>
          <w:szCs w:val="17"/>
          <w:color w:val="auto"/>
        </w:rPr>
      </w:pPr>
    </w:p>
    <w:p>
      <w:pPr>
        <w:ind w:left="480" w:right="480" w:hanging="207"/>
        <w:spacing w:after="0" w:line="262"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 especially changes in laws or regulations applicable to our product candidates;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24" w:lineRule="exact"/>
        <w:rPr>
          <w:rFonts w:ascii="Arial" w:cs="Arial" w:eastAsia="Arial" w:hAnsi="Arial"/>
          <w:sz w:val="17"/>
          <w:szCs w:val="17"/>
          <w:color w:val="auto"/>
        </w:rPr>
      </w:pPr>
    </w:p>
    <w:p>
      <w:pPr>
        <w:ind w:left="480" w:right="20" w:hanging="207"/>
        <w:spacing w:after="0" w:line="262"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our future commercialization partners, or our competitors, and the timing of these introductions or announcements;</w:t>
      </w:r>
    </w:p>
    <w:p>
      <w:pPr>
        <w:spacing w:after="0" w:line="93" w:lineRule="exact"/>
        <w:rPr>
          <w:rFonts w:ascii="Arial" w:cs="Arial" w:eastAsia="Arial" w:hAnsi="Arial"/>
          <w:sz w:val="17"/>
          <w:szCs w:val="17"/>
          <w:color w:val="auto"/>
        </w:rPr>
      </w:pPr>
    </w:p>
    <w:p>
      <w:pPr>
        <w:ind w:left="480" w:hanging="207"/>
        <w:spacing w:after="0" w:line="262"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 candidates, clinical studies, manufacturing process or sales and marketing terms;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variations in our financial results or those of companies that are perceived to be similar to us;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success of our efforts to acquire or in-license additional technologies, products or product candidates;</w:t>
      </w:r>
    </w:p>
    <w:p>
      <w:pPr>
        <w:spacing w:after="0" w:line="124" w:lineRule="exact"/>
        <w:rPr>
          <w:rFonts w:ascii="Arial" w:cs="Arial" w:eastAsia="Arial" w:hAnsi="Arial"/>
          <w:sz w:val="17"/>
          <w:szCs w:val="17"/>
          <w:color w:val="auto"/>
        </w:rPr>
      </w:pPr>
    </w:p>
    <w:p>
      <w:pPr>
        <w:ind w:left="480" w:right="340" w:hanging="207"/>
        <w:spacing w:after="0" w:line="262"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developments concerning any future collaborations, including but not limited to those with our sources of manufacturing supply and our commercialization partners;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4" w:lineRule="exact"/>
        <w:rPr>
          <w:rFonts w:ascii="Arial" w:cs="Arial" w:eastAsia="Arial" w:hAnsi="Arial"/>
          <w:sz w:val="17"/>
          <w:szCs w:val="17"/>
          <w:color w:val="auto"/>
        </w:rPr>
      </w:pPr>
    </w:p>
    <w:p>
      <w:pPr>
        <w:ind w:left="480" w:right="40" w:hanging="207"/>
        <w:spacing w:after="0" w:line="262"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product candidates and products;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or inability to raise additional capital and the terms on which we raise it;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24" w:lineRule="exact"/>
        <w:rPr>
          <w:rFonts w:ascii="Arial" w:cs="Arial" w:eastAsia="Arial" w:hAnsi="Arial"/>
          <w:sz w:val="17"/>
          <w:szCs w:val="17"/>
          <w:color w:val="auto"/>
        </w:rPr>
      </w:pPr>
    </w:p>
    <w:p>
      <w:pPr>
        <w:ind w:left="480" w:right="280" w:hanging="207"/>
        <w:spacing w:after="0" w:line="262"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earnings estimates or changes in stock market analyst recommendations regarding our common stock, other comparable companies or our industry generally;</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140"/>
          </w:cols>
          <w:pgMar w:left="240" w:top="455"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 and expectation of additional financing efforts;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concentrated ownership of our common stock;</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terrorist acts, acts of war or periods of widespread civil unrest;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natural disasters and other calamities;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11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73" w:lineRule="exact"/>
        <w:rPr>
          <w:sz w:val="20"/>
          <w:szCs w:val="20"/>
          <w:color w:val="auto"/>
        </w:rPr>
      </w:pPr>
    </w:p>
    <w:p>
      <w:pPr>
        <w:ind w:left="280" w:right="420"/>
        <w:spacing w:after="0" w:line="286" w:lineRule="auto"/>
        <w:rPr>
          <w:sz w:val="20"/>
          <w:szCs w:val="20"/>
          <w:color w:val="auto"/>
        </w:rPr>
      </w:pPr>
      <w:r>
        <w:rPr>
          <w:rFonts w:ascii="Arial" w:cs="Arial" w:eastAsia="Arial" w:hAnsi="Arial"/>
          <w:sz w:val="17"/>
          <w:szCs w:val="17"/>
          <w:b w:val="1"/>
          <w:bCs w:val="1"/>
          <w:i w:val="1"/>
          <w:iCs w:val="1"/>
          <w:color w:val="auto"/>
        </w:rPr>
        <w:t>You will experience immediate and substantial dilution as a result of this offering and may experience additional dilution in the future.</w:t>
      </w:r>
    </w:p>
    <w:p>
      <w:pPr>
        <w:spacing w:after="0" w:line="6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If you purchase common stock in this offering, assuming an initial public offering price of $15.00 per share, the midpoint of the estimated price range set forth on the cover of this prospectus, you will incur immediate and substantial dilution of $8.74 per share, representing the difference between the assumed initial public offering price of $15.00 share and our pro forma net tangible book value per share as of March 31, 2019 after giving effect to this offering and the conversion of all outstanding shares of our redeemable convertible preferred stock upon the completion of this offering.</w:t>
      </w:r>
    </w:p>
    <w:p>
      <w:pPr>
        <w:spacing w:after="0" w:line="93" w:lineRule="exact"/>
        <w:rPr>
          <w:sz w:val="20"/>
          <w:szCs w:val="20"/>
          <w:color w:val="auto"/>
        </w:rPr>
      </w:pPr>
    </w:p>
    <w:p>
      <w:pPr>
        <w:ind w:left="280" w:right="140"/>
        <w:spacing w:after="0" w:line="253" w:lineRule="auto"/>
        <w:rPr>
          <w:sz w:val="20"/>
          <w:szCs w:val="20"/>
          <w:color w:val="auto"/>
        </w:rPr>
      </w:pPr>
      <w:r>
        <w:rPr>
          <w:rFonts w:ascii="Arial" w:cs="Arial" w:eastAsia="Arial" w:hAnsi="Arial"/>
          <w:sz w:val="17"/>
          <w:szCs w:val="17"/>
          <w:color w:val="auto"/>
        </w:rPr>
        <w:t>Moreover, we issued options in the past to acquire common stock at prices below the assumed initial public offering price. As of March 31, 2019, there were 4,034,649 shares of common stock subject to outstanding options under our 2014 Equity Incentive Plan. To the extent that these outstanding options and options granted in the future are ultimately exercised, you will incur further dilution.</w:t>
      </w:r>
    </w:p>
    <w:p>
      <w:pPr>
        <w:spacing w:after="0" w:line="69" w:lineRule="exact"/>
        <w:rPr>
          <w:sz w:val="20"/>
          <w:szCs w:val="20"/>
          <w:color w:val="auto"/>
        </w:rPr>
      </w:pPr>
    </w:p>
    <w:p>
      <w:pPr>
        <w:ind w:left="280" w:right="640"/>
        <w:spacing w:after="0" w:line="286" w:lineRule="auto"/>
        <w:rPr>
          <w:sz w:val="20"/>
          <w:szCs w:val="20"/>
          <w:color w:val="auto"/>
        </w:rPr>
      </w:pPr>
      <w:r>
        <w:rPr>
          <w:rFonts w:ascii="Arial" w:cs="Arial" w:eastAsia="Arial" w:hAnsi="Arial"/>
          <w:sz w:val="17"/>
          <w:szCs w:val="17"/>
          <w:b w:val="1"/>
          <w:bCs w:val="1"/>
          <w:i w:val="1"/>
          <w:iCs w:val="1"/>
          <w:color w:val="auto"/>
        </w:rPr>
        <w:t>An active and liquid trading market for our common stock may not develop and you may not be able to resell your shares of common stock at or above the public offering price.</w:t>
      </w:r>
    </w:p>
    <w:p>
      <w:pPr>
        <w:spacing w:after="0" w:line="61"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Prior to this offering, no market for shares of our common stock existed and an active trading market for our shares may never develop or be sustained following this offering. The initial public offering price for our common stock will be determined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120"/>
          </w:cols>
          <w:pgMar w:left="240" w:top="455"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20"/>
        <w:spacing w:after="0" w:line="248" w:lineRule="auto"/>
        <w:rPr>
          <w:sz w:val="20"/>
          <w:szCs w:val="20"/>
          <w:color w:val="auto"/>
        </w:rPr>
      </w:pPr>
      <w:r>
        <w:rPr>
          <w:rFonts w:ascii="Arial" w:cs="Arial" w:eastAsia="Arial" w:hAnsi="Arial"/>
          <w:sz w:val="17"/>
          <w:szCs w:val="17"/>
          <w:color w:val="auto"/>
        </w:rPr>
        <w:t>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 Further, Apple Tree Partners IV, L.P, together with its affiliates, or Apple Tree, owned approximately 65% of our outstanding capital stock as of March 31, 2019, and the sales of stock by Apple Tree, or the lack thereof, may have a material adverse effect on our stock price and trading volume.</w:t>
      </w:r>
    </w:p>
    <w:p>
      <w:pPr>
        <w:spacing w:after="0" w:line="73" w:lineRule="exact"/>
        <w:rPr>
          <w:sz w:val="20"/>
          <w:szCs w:val="20"/>
          <w:color w:val="auto"/>
        </w:rPr>
      </w:pPr>
    </w:p>
    <w:p>
      <w:pPr>
        <w:ind w:left="280" w:right="120"/>
        <w:spacing w:after="0" w:line="286"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6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Based on the beneficial ownership of our common stock as of March 31, 2019, prior to this offering, our executive officers, directors and affiliates beneficially owned approximately 68.4% of our voting stock and, upon the completion of this offering, that same group will hold approximately 53.7%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redeemable convertible preferred stock into shares of our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73" w:lineRule="exact"/>
        <w:rPr>
          <w:sz w:val="20"/>
          <w:szCs w:val="20"/>
          <w:color w:val="auto"/>
        </w:rPr>
      </w:pPr>
    </w:p>
    <w:p>
      <w:pPr>
        <w:ind w:left="280" w:right="120"/>
        <w:spacing w:after="0" w:line="266" w:lineRule="auto"/>
        <w:rPr>
          <w:sz w:val="20"/>
          <w:szCs w:val="20"/>
          <w:color w:val="auto"/>
        </w:rPr>
      </w:pPr>
      <w:r>
        <w:rPr>
          <w:rFonts w:ascii="Arial" w:cs="Arial" w:eastAsia="Arial" w:hAnsi="Arial"/>
          <w:sz w:val="17"/>
          <w:szCs w:val="17"/>
          <w:b w:val="1"/>
          <w:bCs w:val="1"/>
          <w:i w:val="1"/>
          <w:iCs w:val="1"/>
          <w:color w:val="auto"/>
        </w:rPr>
        <w:t>Upon the closing of this offering, we will qualify as a “controlled company” within the meaning of the Nasdaq listing rules and will qualify for exemptions from certain corporate governance requirements. While we do not intend to rely on these exemptions, we may change our decision in the future.</w:t>
      </w:r>
    </w:p>
    <w:p>
      <w:pPr>
        <w:spacing w:after="0" w:line="77" w:lineRule="exact"/>
        <w:rPr>
          <w:sz w:val="20"/>
          <w:szCs w:val="20"/>
          <w:color w:val="auto"/>
        </w:rPr>
      </w:pPr>
    </w:p>
    <w:p>
      <w:pPr>
        <w:ind w:left="280" w:right="120"/>
        <w:spacing w:after="0" w:line="249" w:lineRule="auto"/>
        <w:rPr>
          <w:sz w:val="20"/>
          <w:szCs w:val="20"/>
          <w:color w:val="auto"/>
        </w:rPr>
      </w:pPr>
      <w:r>
        <w:rPr>
          <w:rFonts w:ascii="Arial" w:cs="Arial" w:eastAsia="Arial" w:hAnsi="Arial"/>
          <w:sz w:val="17"/>
          <w:szCs w:val="17"/>
          <w:color w:val="auto"/>
        </w:rPr>
        <w:t>After the completion of this offering, an entity affiliated with Apple Tree Partners will beneficially own a majority of the voting power of all outstanding shares of our common stock. As a result, after the filing of our restated certificate of incorporation and the automatic termination of the amended and restated voting agreement as of the closing of this offering, we will be a “controlled company” within the meaning of the corporate governance standards of Nasdaq. Under these rules, a “controlled company” may elect not to comply with certain corporate governance requirements, including:</w:t>
      </w:r>
    </w:p>
    <w:p>
      <w:pPr>
        <w:spacing w:after="0" w:line="106" w:lineRule="exact"/>
        <w:rPr>
          <w:sz w:val="20"/>
          <w:szCs w:val="20"/>
          <w:color w:val="auto"/>
        </w:rPr>
      </w:pPr>
    </w:p>
    <w:p>
      <w:pPr>
        <w:ind w:left="480" w:hanging="207"/>
        <w:spacing w:after="0"/>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requirement that a majority of our board of directors consists of independent directors;</w:t>
      </w:r>
    </w:p>
    <w:p>
      <w:pPr>
        <w:spacing w:after="0" w:line="124" w:lineRule="exact"/>
        <w:rPr>
          <w:rFonts w:ascii="Arial" w:cs="Arial" w:eastAsia="Arial" w:hAnsi="Arial"/>
          <w:sz w:val="17"/>
          <w:szCs w:val="17"/>
          <w:color w:val="auto"/>
        </w:rPr>
      </w:pPr>
    </w:p>
    <w:p>
      <w:pPr>
        <w:ind w:left="480" w:right="40" w:hanging="207"/>
        <w:spacing w:after="0" w:line="262" w:lineRule="auto"/>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requirement that we have a nominating and corporate governance committee that is composed entirely of independent directors with a written charter addressing the committee’s purpose and responsibilities;</w:t>
      </w:r>
    </w:p>
    <w:p>
      <w:pPr>
        <w:spacing w:after="0" w:line="93" w:lineRule="exact"/>
        <w:rPr>
          <w:rFonts w:ascii="Arial" w:cs="Arial" w:eastAsia="Arial" w:hAnsi="Arial"/>
          <w:sz w:val="17"/>
          <w:szCs w:val="17"/>
          <w:color w:val="auto"/>
        </w:rPr>
      </w:pPr>
    </w:p>
    <w:p>
      <w:pPr>
        <w:ind w:left="480" w:right="720" w:hanging="207"/>
        <w:spacing w:after="0" w:line="262" w:lineRule="auto"/>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 and</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100"/>
          </w:cols>
          <w:pgMar w:left="240" w:top="455"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280" w:right="200"/>
        <w:spacing w:after="0" w:line="262" w:lineRule="auto"/>
        <w:rPr>
          <w:sz w:val="20"/>
          <w:szCs w:val="20"/>
          <w:color w:val="auto"/>
        </w:rPr>
      </w:pPr>
      <w:r>
        <w:rPr>
          <w:rFonts w:ascii="Arial" w:cs="Arial" w:eastAsia="Arial" w:hAnsi="Arial"/>
          <w:sz w:val="17"/>
          <w:szCs w:val="17"/>
          <w:color w:val="auto"/>
        </w:rPr>
        <w:t>Although we do not intend to take advantage of these exemptions, we could change our decision in the future. In such event, you would not have the same protections afforded to shareholders of companies that are subject to all of the Nasdaq corporate governance requirements.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A sale of a substantial number of shares of our common stock may cause the price of our common stock to decline.</w:t>
      </w:r>
    </w:p>
    <w:p>
      <w:pPr>
        <w:spacing w:after="0" w:line="131" w:lineRule="exact"/>
        <w:rPr>
          <w:sz w:val="20"/>
          <w:szCs w:val="20"/>
          <w:color w:val="auto"/>
        </w:rPr>
      </w:pPr>
    </w:p>
    <w:p>
      <w:pPr>
        <w:jc w:val="both"/>
        <w:ind w:left="280" w:right="20"/>
        <w:spacing w:after="0" w:line="245" w:lineRule="auto"/>
        <w:rPr>
          <w:sz w:val="20"/>
          <w:szCs w:val="20"/>
          <w:color w:val="auto"/>
        </w:rPr>
      </w:pPr>
      <w:r>
        <w:rPr>
          <w:rFonts w:ascii="Arial" w:cs="Arial" w:eastAsia="Arial" w:hAnsi="Arial"/>
          <w:sz w:val="17"/>
          <w:szCs w:val="17"/>
          <w:color w:val="auto"/>
        </w:rPr>
        <w:t>Based on shares outstanding as of March 31, 2019, upon completion of this offering, we will have outstanding a total of 30,269,808 shares of common stock. Of these shares, only 6,700,000 shares of common stock sold in this offering, or 7,705,000 shares if the underwriters exercise their option to purchase additional shares in full, will be freely tradable, without restriction, in the public market immediately after this offering.</w:t>
      </w:r>
    </w:p>
    <w:p>
      <w:pPr>
        <w:spacing w:after="0" w:line="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Each of our officers, directors and substantially all of our stockholders have entered or will enter into lock-up agreements with the underwriters that restrict their ability to sell or transfer their shares. The lock-up agreements pertaining to this offering will expire 180 days from the date of this prospectus. However, our underwriters may, in their sole discretion, permit our officers, directors and other current stockholders who are subject to the contractual lock-up to sell shares prior to the expiration of the lock-up agreements. After the lock-up agreements expire, based on shares outstanding as of March 31, 2019, up to an additional 23,569,808 shares of common stock will be eligible for sale in the public market, 16,771,126 of which are held by our officers, directors and their affiliated entities, and will be subject to volume limitations under Rule 144 under the Securities Act. In addition, 4,034,649 shares of our common stock that are subject to outstanding options as of March 31, 2019 will become eligible for sale in the public market to the extent permitted by the provisions of various vesting agreements, the lock-up agreements and Rules 144 and 701 under the Securities Act.</w:t>
      </w:r>
    </w:p>
    <w:p>
      <w:pPr>
        <w:spacing w:after="0" w:line="96"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After this offering, the holders of an aggregate of 22,677,585 shares of our outstanding common stock as of March 31, 2019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 entitled “Underwriting.”</w:t>
      </w:r>
    </w:p>
    <w:p>
      <w:pPr>
        <w:spacing w:after="0" w:line="93" w:lineRule="exact"/>
        <w:rPr>
          <w:sz w:val="20"/>
          <w:szCs w:val="20"/>
          <w:color w:val="auto"/>
        </w:rPr>
      </w:pPr>
    </w:p>
    <w:p>
      <w:pPr>
        <w:ind w:left="280" w:right="20"/>
        <w:spacing w:after="0" w:line="253"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89"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We will have broad discretion in the use of the net proceeds from this offering and may not use them effectively.</w:t>
      </w:r>
    </w:p>
    <w:p>
      <w:pPr>
        <w:spacing w:after="0" w:line="131"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140"/>
          </w:cols>
          <w:pgMar w:left="240" w:top="455"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stockholder value, we may fail to achieve expected financial results, which could cause our stock price to decline.</w:t>
      </w:r>
    </w:p>
    <w:p>
      <w:pPr>
        <w:spacing w:after="0" w:line="91" w:lineRule="exact"/>
        <w:rPr>
          <w:sz w:val="20"/>
          <w:szCs w:val="20"/>
          <w:color w:val="auto"/>
        </w:rPr>
      </w:pPr>
    </w:p>
    <w:p>
      <w:pPr>
        <w:ind w:left="280" w:right="26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The future sale and issuance of equity or of debt securities that are convertible into equity will dilute our share capital.</w:t>
      </w:r>
    </w:p>
    <w:p>
      <w:pPr>
        <w:spacing w:after="0" w:line="13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sale and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75" w:lineRule="exact"/>
        <w:rPr>
          <w:sz w:val="20"/>
          <w:szCs w:val="20"/>
          <w:color w:val="auto"/>
        </w:rPr>
      </w:pPr>
    </w:p>
    <w:p>
      <w:pPr>
        <w:ind w:left="280"/>
        <w:spacing w:after="0" w:line="26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77"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w:t>
      </w:r>
    </w:p>
    <w:p>
      <w:pPr>
        <w:spacing w:after="0" w:line="97" w:lineRule="exact"/>
        <w:rPr>
          <w:sz w:val="20"/>
          <w:szCs w:val="20"/>
          <w:color w:val="auto"/>
        </w:rPr>
      </w:pPr>
    </w:p>
    <w:p>
      <w:pPr>
        <w:ind w:left="280" w:right="140"/>
        <w:spacing w:after="0" w:line="248" w:lineRule="auto"/>
        <w:rPr>
          <w:sz w:val="20"/>
          <w:szCs w:val="20"/>
          <w:color w:val="auto"/>
        </w:rPr>
      </w:pPr>
      <w:r>
        <w:rPr>
          <w:rFonts w:ascii="Arial" w:cs="Arial" w:eastAsia="Arial" w:hAnsi="Arial"/>
          <w:sz w:val="17"/>
          <w:szCs w:val="17"/>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the prior three-year period before that time, in which case we would no longer be an emerging growth company immediately. Even after we no longer qualify as an emerging growth company, we may still qualify as a “smaller</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160"/>
          </w:cols>
          <w:pgMar w:left="240" w:top="455"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reporting company,” as such term is defined in Rule 12b-2 under the Securities Exchange Act of 1934, as amended, the Exchange Act,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95"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93"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76" w:lineRule="exact"/>
        <w:rPr>
          <w:sz w:val="20"/>
          <w:szCs w:val="20"/>
          <w:color w:val="auto"/>
        </w:rPr>
      </w:pPr>
    </w:p>
    <w:p>
      <w:pPr>
        <w:ind w:left="280" w:right="560"/>
        <w:spacing w:after="0" w:line="266"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77"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Our restated certificate of incorporation and our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02" w:lineRule="exact"/>
        <w:rPr>
          <w:sz w:val="20"/>
          <w:szCs w:val="20"/>
          <w:color w:val="auto"/>
        </w:rPr>
      </w:pPr>
    </w:p>
    <w:p>
      <w:pPr>
        <w:ind w:left="480" w:hanging="207"/>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 a classified board of directors so that not all members of our board are elected at one time;</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permit only the board of directors to establish the number of directors and fill vacancies on the board;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 that directors may only be removed “for cause” and only with the approval of two-thirds of our stockholders;</w:t>
      </w:r>
    </w:p>
    <w:p>
      <w:pPr>
        <w:spacing w:after="0" w:line="124" w:lineRule="exact"/>
        <w:rPr>
          <w:rFonts w:ascii="Arial" w:cs="Arial" w:eastAsia="Arial" w:hAnsi="Arial"/>
          <w:sz w:val="17"/>
          <w:szCs w:val="17"/>
          <w:color w:val="auto"/>
        </w:rPr>
      </w:pPr>
    </w:p>
    <w:p>
      <w:pPr>
        <w:ind w:left="5620" w:right="1540" w:hanging="5347"/>
        <w:spacing w:after="0" w:line="442" w:lineRule="auto"/>
        <w:tabs>
          <w:tab w:leader="none" w:pos="489"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restated bylaws; 57</w:t>
      </w:r>
    </w:p>
    <w:p>
      <w:pPr>
        <w:sectPr>
          <w:pgSz w:w="11900" w:h="16838" w:orient="portrait"/>
          <w:cols w:equalWidth="0" w:num="1">
            <w:col w:w="11120"/>
          </w:cols>
          <w:pgMar w:left="240" w:top="455"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hanging="207"/>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could use to implement a stockholder rights plan;</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eliminate the ability of our stockholders to call special meetings of stockholders;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prohibit cumulative voting; and</w:t>
      </w:r>
    </w:p>
    <w:p>
      <w:pPr>
        <w:spacing w:after="0" w:line="124" w:lineRule="exact"/>
        <w:rPr>
          <w:rFonts w:ascii="Arial" w:cs="Arial" w:eastAsia="Arial" w:hAnsi="Arial"/>
          <w:sz w:val="17"/>
          <w:szCs w:val="17"/>
          <w:color w:val="auto"/>
        </w:rPr>
      </w:pPr>
    </w:p>
    <w:p>
      <w:pPr>
        <w:ind w:left="480" w:right="660" w:hanging="207"/>
        <w:spacing w:after="0" w:line="26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upon by stockholders at annual stockholder meetings.</w:t>
      </w:r>
    </w:p>
    <w:p>
      <w:pPr>
        <w:spacing w:after="0" w:line="80"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In addition, our restated certificate of incorporation, to the fullest extent permitted by law,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95" w:lineRule="exact"/>
        <w:rPr>
          <w:sz w:val="20"/>
          <w:szCs w:val="20"/>
          <w:color w:val="auto"/>
        </w:rPr>
      </w:pPr>
    </w:p>
    <w:p>
      <w:pPr>
        <w:ind w:left="280" w:right="140"/>
        <w:spacing w:after="0" w:line="249"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93" w:lineRule="exact"/>
        <w:rPr>
          <w:sz w:val="20"/>
          <w:szCs w:val="20"/>
          <w:color w:val="auto"/>
        </w:rPr>
      </w:pPr>
    </w:p>
    <w:p>
      <w:pPr>
        <w:ind w:left="280" w:right="420"/>
        <w:spacing w:after="0" w:line="262" w:lineRule="auto"/>
        <w:rPr>
          <w:sz w:val="20"/>
          <w:szCs w:val="20"/>
          <w:color w:val="auto"/>
        </w:rPr>
      </w:pPr>
      <w:r>
        <w:rPr>
          <w:rFonts w:ascii="Arial" w:cs="Arial" w:eastAsia="Arial" w:hAnsi="Arial"/>
          <w:sz w:val="17"/>
          <w:szCs w:val="17"/>
          <w:color w:val="auto"/>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60" w:lineRule="exact"/>
        <w:rPr>
          <w:sz w:val="20"/>
          <w:szCs w:val="20"/>
          <w:color w:val="auto"/>
        </w:rPr>
      </w:pPr>
    </w:p>
    <w:p>
      <w:pPr>
        <w:ind w:left="280" w:right="760"/>
        <w:spacing w:after="0" w:line="286"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1"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140"/>
          </w:cols>
          <w:pgMar w:left="240" w:top="455"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5" w:lineRule="exact"/>
        <w:rPr>
          <w:sz w:val="20"/>
          <w:szCs w:val="20"/>
          <w:color w:val="auto"/>
        </w:rPr>
      </w:pPr>
    </w:p>
    <w:p>
      <w:pPr>
        <w:jc w:val="both"/>
        <w:ind w:left="280" w:right="180"/>
        <w:spacing w:after="0" w:line="266"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77"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We are not currently required to comply with the Securities and Exchange Commission’s, or SEC’s, rules that implement Section 404 of the Sarbanes-Oxley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In addition, if we are not able to continue to meet these requirements, we may not be able to remain listed on Nasdaq.</w:t>
      </w:r>
    </w:p>
    <w:p>
      <w:pPr>
        <w:spacing w:after="0" w:line="302"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consolidated financial statements could contain material misstatements that, when discovered in the future, could cause us to fail to meet our future reporting obligations and cause the price of our common stock to decline.</w:t>
      </w:r>
    </w:p>
    <w:p>
      <w:pPr>
        <w:spacing w:after="0" w:line="73" w:lineRule="exact"/>
        <w:rPr>
          <w:sz w:val="20"/>
          <w:szCs w:val="20"/>
          <w:color w:val="auto"/>
        </w:rPr>
      </w:pPr>
    </w:p>
    <w:p>
      <w:pPr>
        <w:ind w:left="280" w:right="120"/>
        <w:spacing w:after="0" w:line="286"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61" w:lineRule="exact"/>
        <w:rPr>
          <w:sz w:val="20"/>
          <w:szCs w:val="20"/>
          <w:color w:val="auto"/>
        </w:rPr>
      </w:pPr>
    </w:p>
    <w:p>
      <w:pPr>
        <w:jc w:val="both"/>
        <w:ind w:left="280" w:right="80"/>
        <w:spacing w:after="0" w:line="25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140"/>
          </w:cols>
          <w:pgMar w:left="240" w:top="455"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 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Forward-looking statements include statements about:</w:t>
      </w:r>
    </w:p>
    <w:p>
      <w:pPr>
        <w:spacing w:after="0" w:line="107" w:lineRule="exact"/>
        <w:rPr>
          <w:sz w:val="20"/>
          <w:szCs w:val="20"/>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develop, obtain regulatory approval for and commercialize STK-001 and our future product candidates;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success in early preclinical studies or clinical trials, which may not be indicative of results obtained in later studies or trials;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obtain regulatory approval to commercialize STK-001 or any other future product candidate;</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identify patients with the diseases treated by STK-001 or our future product candidates, and to enroll patients in trials;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success of our efforts to use TANGO to expand our pipeline of product candidates and develop marketable products;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obtain, maintain and protect our intellectual property;</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reliance upon intellectual property licensed from third parties;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identify, recruit and retain key personnel;</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use of proceeds from this offering;</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developments or projections relating to our competitors or our industry.</w:t>
      </w:r>
    </w:p>
    <w:p>
      <w:pPr>
        <w:spacing w:after="0" w:line="11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93" w:lineRule="exact"/>
        <w:rPr>
          <w:sz w:val="20"/>
          <w:szCs w:val="20"/>
          <w:color w:val="auto"/>
        </w:rPr>
      </w:pPr>
    </w:p>
    <w:p>
      <w:pPr>
        <w:ind w:left="280" w:right="280"/>
        <w:spacing w:after="0" w:line="253"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140"/>
          </w:cols>
          <w:pgMar w:left="240" w:top="455"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Use of proceeds</w:t>
      </w:r>
    </w:p>
    <w:p>
      <w:pPr>
        <w:spacing w:after="0" w:line="151"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We estimate that the net proceeds from our sale of 6,700,000 shares of common stock in this offering at an assumed initial public offering price of $15.00 per share, which is the midpoint of the estimated price range set forth on the cover of this prospectus, after deducting the estimated underwriting discounts and commissions and estimated offering expenses, will be approximately $91.0 million. If the underwriters exercise their option to purchase additional shares in full, then the net proceeds will be approximately $105.0 million.</w:t>
      </w:r>
    </w:p>
    <w:p>
      <w:pPr>
        <w:spacing w:after="0" w:line="89"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Each $1.00 increase (decrease) in the assumed initial public offering price of $15.00 per share, which is the midpoint of the estimated price range set forth on the cover of this prospectus, would increase (decrease) the net proceeds to us from this offering by $6.2 million, assuming the number of shares offered, as set forth on the cover of this prospectus, remains the same, and after deducting the estimated underwriting discounts and commissions. Similarly, each increase (decrease) of 1,000,000 shares in the number of shares of common stock offered would increase (decrease) the net proceeds that we receive from this offering by $14.0 million, assuming that the assumed initial public offering price remains the same and after deducting the estimated underwriting discounts and commissions.</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currently intend to use the net proceeds we receive from this offering as follows:</w:t>
      </w:r>
    </w:p>
    <w:p>
      <w:pPr>
        <w:spacing w:after="0" w:line="125" w:lineRule="exact"/>
        <w:rPr>
          <w:sz w:val="20"/>
          <w:szCs w:val="20"/>
          <w:color w:val="auto"/>
        </w:rPr>
      </w:pPr>
    </w:p>
    <w:p>
      <w:pPr>
        <w:ind w:left="480" w:hanging="207"/>
        <w:spacing w:after="0"/>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approximately $36.0 million to $39.0 million to advance our lead product candidate, STK-001, through initiation of a Phase 3 clinical trial;</w:t>
      </w:r>
    </w:p>
    <w:p>
      <w:pPr>
        <w:spacing w:after="0" w:line="124" w:lineRule="exact"/>
        <w:rPr>
          <w:rFonts w:ascii="Arial" w:cs="Arial" w:eastAsia="Arial" w:hAnsi="Arial"/>
          <w:sz w:val="17"/>
          <w:szCs w:val="17"/>
          <w:color w:val="auto"/>
        </w:rPr>
      </w:pPr>
    </w:p>
    <w:p>
      <w:pPr>
        <w:ind w:left="480" w:right="540" w:hanging="207"/>
        <w:spacing w:after="0" w:line="262" w:lineRule="auto"/>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approximately $34.0 million to $37.0 million to nominate, conduct preclinical studies for and demonstrate clinical proof of concept for additional product candidates; and</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remaining amounts to fund working capital and general corporate purposes.</w:t>
      </w:r>
    </w:p>
    <w:p>
      <w:pPr>
        <w:spacing w:after="0" w:line="111"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Based on our planned use of the net proceeds, we estimate such funds, together with our existing cash, cash equivalents and restricted cash, will be sufficient for us to fund our operating expenses and capital expenditure requirements through the end of 2022.</w:t>
      </w:r>
    </w:p>
    <w:p>
      <w:pPr>
        <w:spacing w:after="0" w:line="80"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The expected use of the net proceeds from the offering represents our intentions based upon our current plans and business conditions. The amounts we actually expend in these areas, and the timing thereof, may vary significantly from our current intentions and will depend on a number of factors, including the success of research and product development efforts, cash generated from future operations and actual expenses to operate our business. We may use a portion of the net proceeds for the acquisition of, or investment in, businesses that complement our business, although we have no present commitments or agreements.</w:t>
      </w:r>
    </w:p>
    <w:p>
      <w:pPr>
        <w:spacing w:after="0" w:line="93"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those clinical trials which we may commence in the future, the product approval process with the FDA and other regulatory agencies, our current collaborations and any new collaborations we may enter into with third parties and any unforeseen cash needs. 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w:t>
      </w:r>
    </w:p>
    <w:p>
      <w:pPr>
        <w:spacing w:after="0" w:line="93" w:lineRule="exact"/>
        <w:rPr>
          <w:sz w:val="20"/>
          <w:szCs w:val="20"/>
          <w:color w:val="auto"/>
        </w:rPr>
      </w:pPr>
    </w:p>
    <w:p>
      <w:pPr>
        <w:ind w:left="280" w:right="120"/>
        <w:spacing w:after="0" w:line="262"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120"/>
          </w:cols>
          <w:pgMar w:left="240" w:top="455"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Pending the uses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840"/>
          </w:cols>
          <w:pgMar w:left="240" w:top="455" w:right="8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Dividend policy</w:t>
      </w:r>
    </w:p>
    <w:p>
      <w:pPr>
        <w:spacing w:after="0" w:line="15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3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940"/>
          </w:cols>
          <w:pgMar w:left="240" w:top="455" w:right="7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Capitalization</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our cash, cash equivalents and restricted cash and capitalization as of March 31, 2019 on:</w:t>
      </w:r>
    </w:p>
    <w:p>
      <w:pPr>
        <w:spacing w:after="0" w:line="125" w:lineRule="exact"/>
        <w:rPr>
          <w:sz w:val="20"/>
          <w:szCs w:val="20"/>
          <w:color w:val="auto"/>
        </w:rPr>
      </w:pPr>
    </w:p>
    <w:p>
      <w:pPr>
        <w:ind w:left="480" w:hanging="207"/>
        <w:spacing w:after="0"/>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124" w:lineRule="exact"/>
        <w:rPr>
          <w:rFonts w:ascii="Arial" w:cs="Arial" w:eastAsia="Arial" w:hAnsi="Arial"/>
          <w:sz w:val="17"/>
          <w:szCs w:val="17"/>
          <w:color w:val="auto"/>
        </w:rPr>
      </w:pPr>
    </w:p>
    <w:p>
      <w:pPr>
        <w:jc w:val="both"/>
        <w:ind w:left="480" w:right="300" w:hanging="207"/>
        <w:spacing w:after="0" w:line="253" w:lineRule="auto"/>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pro forma basis, giving effect to (i) the automatic conversion of 22,677,585 outstanding shares of our convertible preferred stock as of March 31, 2019 into an aggregate of 22,677,585 shares of common stock immediately prior to the completion of this offering and (ii) the effectiveness of our restated certificate of incorporation in connection with the completion of this offering; and</w:t>
      </w:r>
    </w:p>
    <w:p>
      <w:pPr>
        <w:spacing w:after="0" w:line="101" w:lineRule="exact"/>
        <w:rPr>
          <w:rFonts w:ascii="Arial" w:cs="Arial" w:eastAsia="Arial" w:hAnsi="Arial"/>
          <w:sz w:val="17"/>
          <w:szCs w:val="17"/>
          <w:color w:val="auto"/>
        </w:rPr>
      </w:pPr>
    </w:p>
    <w:p>
      <w:pPr>
        <w:ind w:left="480" w:right="100" w:hanging="207"/>
        <w:spacing w:after="0" w:line="251" w:lineRule="auto"/>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pro forma as adjusted basis, giving effect to (i) the pro forma adjustments described above and (ii) the sale of 6,700,000 shares of common stock in this offering, based upon an assumed initial public offering price of $15.00 per share, which is the midpoint of the estimated price range set forth on the cover of this prospectus, after deducting the estimated underwriting discounts and commissions and estimated offering expenses.</w:t>
      </w:r>
    </w:p>
    <w:p>
      <w:pPr>
        <w:spacing w:after="0" w:line="89" w:lineRule="exact"/>
        <w:rPr>
          <w:sz w:val="20"/>
          <w:szCs w:val="20"/>
          <w:color w:val="auto"/>
        </w:rPr>
      </w:pPr>
    </w:p>
    <w:p>
      <w:pPr>
        <w:ind w:left="280" w:right="460"/>
        <w:spacing w:after="0" w:line="262" w:lineRule="auto"/>
        <w:rPr>
          <w:sz w:val="20"/>
          <w:szCs w:val="20"/>
          <w:color w:val="auto"/>
        </w:rPr>
      </w:pPr>
      <w:r>
        <w:rPr>
          <w:rFonts w:ascii="Arial" w:cs="Arial" w:eastAsia="Arial" w:hAnsi="Arial"/>
          <w:sz w:val="17"/>
          <w:szCs w:val="17"/>
          <w:color w:val="auto"/>
        </w:rPr>
        <w:t>The pro forma as adjusted information set forth in the table below is illustrative only and will be adjusted based on the actual initial public offering price and other terms of this offering as determined at pricing.</w:t>
      </w:r>
    </w:p>
    <w:p>
      <w:pPr>
        <w:spacing w:after="0" w:line="80"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You should read this table together with “Management’s discussion and analysis of financial condition and results of operations,” “Selected consolidated financial data” and our audited consolidated financial statements and related notes, each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7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March 31, 2019</w:t>
            </w:r>
          </w:p>
        </w:tc>
      </w:tr>
      <w:tr>
        <w:trPr>
          <w:trHeight w:val="174"/>
        </w:trPr>
        <w:tc>
          <w:tcPr>
            <w:tcW w:w="7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7"/>
                <w:szCs w:val="17"/>
                <w:b w:val="1"/>
                <w:bCs w:val="1"/>
                <w:color w:val="auto"/>
              </w:rPr>
              <w:t>Pro forma</w:t>
            </w:r>
          </w:p>
        </w:tc>
        <w:tc>
          <w:tcPr>
            <w:tcW w:w="120" w:type="dxa"/>
            <w:vAlign w:val="bottom"/>
            <w:gridSpan w:val="2"/>
          </w:tcPr>
          <w:p>
            <w:pPr>
              <w:spacing w:after="0"/>
              <w:rPr>
                <w:sz w:val="15"/>
                <w:szCs w:val="15"/>
                <w:color w:val="auto"/>
              </w:rPr>
            </w:pPr>
          </w:p>
        </w:tc>
      </w:tr>
      <w:tr>
        <w:trPr>
          <w:trHeight w:val="219"/>
        </w:trPr>
        <w:tc>
          <w:tcPr>
            <w:tcW w:w="7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Actual</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b w:val="1"/>
                <w:bCs w:val="1"/>
                <w:color w:val="auto"/>
              </w:rPr>
              <w:t>Pro forma</w:t>
            </w:r>
          </w:p>
        </w:tc>
        <w:tc>
          <w:tcPr>
            <w:tcW w:w="1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b w:val="1"/>
                <w:bCs w:val="1"/>
                <w:color w:val="auto"/>
              </w:rPr>
              <w:t>as adjusted</w:t>
            </w:r>
            <w:r>
              <w:rPr>
                <w:rFonts w:ascii="Arial" w:cs="Arial" w:eastAsia="Arial" w:hAnsi="Arial"/>
                <w:sz w:val="11"/>
                <w:szCs w:val="11"/>
                <w:b w:val="1"/>
                <w:bCs w:val="1"/>
                <w:color w:val="auto"/>
              </w:rPr>
              <w:t>(1)</w:t>
            </w:r>
          </w:p>
        </w:tc>
      </w:tr>
      <w:tr>
        <w:trPr>
          <w:trHeight w:val="174"/>
        </w:trPr>
        <w:tc>
          <w:tcPr>
            <w:tcW w:w="7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3"/>
          </w:tcPr>
          <w:p>
            <w:pPr>
              <w:jc w:val="right"/>
              <w:ind w:right="120"/>
              <w:spacing w:after="0" w:line="175" w:lineRule="exact"/>
              <w:rPr>
                <w:sz w:val="20"/>
                <w:szCs w:val="20"/>
                <w:color w:val="auto"/>
              </w:rPr>
            </w:pPr>
            <w:r>
              <w:rPr>
                <w:rFonts w:ascii="Arial" w:cs="Arial" w:eastAsia="Arial" w:hAnsi="Arial"/>
                <w:sz w:val="17"/>
                <w:szCs w:val="17"/>
                <w:b w:val="1"/>
                <w:bCs w:val="1"/>
                <w:color w:val="auto"/>
              </w:rPr>
              <w:t>(Unaudited)</w:t>
            </w:r>
          </w:p>
        </w:tc>
      </w:tr>
      <w:tr>
        <w:trPr>
          <w:trHeight w:val="200"/>
        </w:trPr>
        <w:tc>
          <w:tcPr>
            <w:tcW w:w="7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gridSpan w:val="7"/>
          </w:tcPr>
          <w:p>
            <w:pPr>
              <w:jc w:val="right"/>
              <w:ind w:right="120"/>
              <w:spacing w:after="0"/>
              <w:rPr>
                <w:sz w:val="20"/>
                <w:szCs w:val="20"/>
                <w:color w:val="auto"/>
              </w:rPr>
            </w:pPr>
            <w:r>
              <w:rPr>
                <w:rFonts w:ascii="Arial" w:cs="Arial" w:eastAsia="Arial" w:hAnsi="Arial"/>
                <w:sz w:val="17"/>
                <w:szCs w:val="17"/>
                <w:b w:val="1"/>
                <w:bCs w:val="1"/>
                <w:color w:val="auto"/>
              </w:rPr>
              <w:t>(in thousands, except share and per</w:t>
            </w:r>
          </w:p>
        </w:tc>
      </w:tr>
      <w:tr>
        <w:trPr>
          <w:trHeight w:val="219"/>
        </w:trPr>
        <w:tc>
          <w:tcPr>
            <w:tcW w:w="7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share amounts)</w:t>
            </w:r>
          </w:p>
        </w:tc>
      </w:tr>
      <w:tr>
        <w:trPr>
          <w:trHeight w:val="20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98,913</w:t>
            </w:r>
          </w:p>
        </w:tc>
        <w:tc>
          <w:tcPr>
            <w:tcW w:w="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98,913</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190,070</w:t>
            </w:r>
          </w:p>
        </w:tc>
        <w:tc>
          <w:tcPr>
            <w:tcW w:w="100" w:type="dxa"/>
            <w:vAlign w:val="bottom"/>
            <w:shd w:val="clear" w:color="auto" w:fill="CCEEFF"/>
          </w:tcPr>
          <w:p>
            <w:pPr>
              <w:spacing w:after="0"/>
              <w:rPr>
                <w:sz w:val="17"/>
                <w:szCs w:val="17"/>
                <w:color w:val="auto"/>
              </w:rPr>
            </w:pPr>
          </w:p>
        </w:tc>
      </w:tr>
      <w:tr>
        <w:trPr>
          <w:trHeight w:val="210"/>
        </w:trPr>
        <w:tc>
          <w:tcPr>
            <w:tcW w:w="7160" w:type="dxa"/>
            <w:vAlign w:val="bottom"/>
          </w:tcPr>
          <w:p>
            <w:pPr>
              <w:ind w:left="200"/>
              <w:spacing w:after="0"/>
              <w:rPr>
                <w:sz w:val="20"/>
                <w:szCs w:val="20"/>
                <w:color w:val="auto"/>
              </w:rPr>
            </w:pPr>
            <w:r>
              <w:rPr>
                <w:rFonts w:ascii="Arial" w:cs="Arial" w:eastAsia="Arial" w:hAnsi="Arial"/>
                <w:sz w:val="17"/>
                <w:szCs w:val="17"/>
                <w:color w:val="auto"/>
              </w:rPr>
              <w:t>Convertible preferred stock, par value of $0.0001 per share; 225,584,874 shares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7160" w:type="dxa"/>
            <w:vAlign w:val="bottom"/>
          </w:tcPr>
          <w:p>
            <w:pPr>
              <w:ind w:left="420"/>
              <w:spacing w:after="0"/>
              <w:rPr>
                <w:sz w:val="20"/>
                <w:szCs w:val="20"/>
                <w:color w:val="auto"/>
              </w:rPr>
            </w:pPr>
            <w:r>
              <w:rPr>
                <w:rFonts w:ascii="Arial" w:cs="Arial" w:eastAsia="Arial" w:hAnsi="Arial"/>
                <w:sz w:val="17"/>
                <w:szCs w:val="17"/>
                <w:color w:val="auto"/>
              </w:rPr>
              <w:t>authorized, 22,677,585 shares issued and outstanding as of March 31, 2019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7160" w:type="dxa"/>
            <w:vAlign w:val="bottom"/>
          </w:tcPr>
          <w:p>
            <w:pPr>
              <w:ind w:left="420"/>
              <w:spacing w:after="0"/>
              <w:rPr>
                <w:sz w:val="20"/>
                <w:szCs w:val="20"/>
                <w:color w:val="auto"/>
              </w:rPr>
            </w:pPr>
            <w:r>
              <w:rPr>
                <w:rFonts w:ascii="Arial" w:cs="Arial" w:eastAsia="Arial" w:hAnsi="Arial"/>
                <w:sz w:val="17"/>
                <w:szCs w:val="17"/>
                <w:color w:val="auto"/>
              </w:rPr>
              <w:t>December 31, 2018; aggregate liquidation preference of $130,850 at March 31,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160" w:type="dxa"/>
            <w:vAlign w:val="bottom"/>
          </w:tcPr>
          <w:p>
            <w:pPr>
              <w:ind w:left="420"/>
              <w:spacing w:after="0"/>
              <w:rPr>
                <w:sz w:val="20"/>
                <w:szCs w:val="20"/>
                <w:color w:val="auto"/>
              </w:rPr>
            </w:pPr>
            <w:r>
              <w:rPr>
                <w:rFonts w:ascii="Arial" w:cs="Arial" w:eastAsia="Arial" w:hAnsi="Arial"/>
                <w:sz w:val="17"/>
                <w:szCs w:val="17"/>
                <w:color w:val="auto"/>
              </w:rPr>
              <w:t>2019 (unaudited) and December 31, 2018</w:t>
            </w:r>
          </w:p>
        </w:tc>
        <w:tc>
          <w:tcPr>
            <w:tcW w:w="100" w:type="dxa"/>
            <w:vAlign w:val="bottom"/>
          </w:tcPr>
          <w:p>
            <w:pPr>
              <w:spacing w:after="0"/>
              <w:rPr>
                <w:sz w:val="17"/>
                <w:szCs w:val="17"/>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2</w:t>
            </w:r>
          </w:p>
        </w:tc>
        <w:tc>
          <w:tcPr>
            <w:tcW w:w="36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203"/>
        </w:trPr>
        <w:tc>
          <w:tcPr>
            <w:tcW w:w="7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Preferred stock, $0.0001 par value: no shares authorized, issued or outstanding,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7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actual; 10,000,000 shares authorized, no shares issued or outstanding pro forma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7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and pro forma as adjusted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3"/>
        </w:trPr>
        <w:tc>
          <w:tcPr>
            <w:tcW w:w="7160" w:type="dxa"/>
            <w:vAlign w:val="bottom"/>
          </w:tcPr>
          <w:p>
            <w:pPr>
              <w:ind w:left="200"/>
              <w:spacing w:after="0"/>
              <w:rPr>
                <w:sz w:val="20"/>
                <w:szCs w:val="20"/>
                <w:color w:val="auto"/>
              </w:rPr>
            </w:pPr>
            <w:r>
              <w:rPr>
                <w:rFonts w:ascii="Arial" w:cs="Arial" w:eastAsia="Arial" w:hAnsi="Arial"/>
                <w:sz w:val="17"/>
                <w:szCs w:val="17"/>
                <w:color w:val="auto"/>
              </w:rPr>
              <w:t>Common stock, $0.0001 par value: 278,527,249 shares authorized; 892,223 shares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7160" w:type="dxa"/>
            <w:vAlign w:val="bottom"/>
          </w:tcPr>
          <w:p>
            <w:pPr>
              <w:ind w:left="420"/>
              <w:spacing w:after="0"/>
              <w:rPr>
                <w:sz w:val="20"/>
                <w:szCs w:val="20"/>
                <w:color w:val="auto"/>
              </w:rPr>
            </w:pPr>
            <w:r>
              <w:rPr>
                <w:rFonts w:ascii="Arial" w:cs="Arial" w:eastAsia="Arial" w:hAnsi="Arial"/>
                <w:sz w:val="17"/>
                <w:szCs w:val="17"/>
                <w:color w:val="auto"/>
              </w:rPr>
              <w:t>issued and outstanding, actual; 300,000,000 shares authorized, 23,569,808 shares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7160" w:type="dxa"/>
            <w:vAlign w:val="bottom"/>
          </w:tcPr>
          <w:p>
            <w:pPr>
              <w:ind w:left="420"/>
              <w:spacing w:after="0"/>
              <w:rPr>
                <w:sz w:val="20"/>
                <w:szCs w:val="20"/>
                <w:color w:val="auto"/>
              </w:rPr>
            </w:pPr>
            <w:r>
              <w:rPr>
                <w:rFonts w:ascii="Arial" w:cs="Arial" w:eastAsia="Arial" w:hAnsi="Arial"/>
                <w:sz w:val="17"/>
                <w:szCs w:val="17"/>
                <w:color w:val="auto"/>
              </w:rPr>
              <w:t>issued and outstanding, pro forma, 30,269,808 shares issued and outstanding, pro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160" w:type="dxa"/>
            <w:vAlign w:val="bottom"/>
          </w:tcPr>
          <w:p>
            <w:pPr>
              <w:ind w:left="420"/>
              <w:spacing w:after="0"/>
              <w:rPr>
                <w:sz w:val="20"/>
                <w:szCs w:val="20"/>
                <w:color w:val="auto"/>
              </w:rPr>
            </w:pPr>
            <w:r>
              <w:rPr>
                <w:rFonts w:ascii="Arial" w:cs="Arial" w:eastAsia="Arial" w:hAnsi="Arial"/>
                <w:sz w:val="17"/>
                <w:szCs w:val="17"/>
                <w:color w:val="auto"/>
              </w:rPr>
              <w:t>forma as adjusted</w:t>
            </w:r>
          </w:p>
        </w:tc>
        <w:tc>
          <w:tcPr>
            <w:tcW w:w="100" w:type="dxa"/>
            <w:vAlign w:val="bottom"/>
          </w:tcPr>
          <w:p>
            <w:pPr>
              <w:spacing w:after="0"/>
              <w:rPr>
                <w:sz w:val="17"/>
                <w:szCs w:val="17"/>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r>
      <w:tr>
        <w:trPr>
          <w:trHeight w:val="200"/>
        </w:trPr>
        <w:tc>
          <w:tcPr>
            <w:tcW w:w="7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paid-in-capital</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97"/>
              </w:rPr>
              <w:t>131,031</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131,031</w:t>
            </w: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222,045</w:t>
            </w:r>
          </w:p>
        </w:tc>
        <w:tc>
          <w:tcPr>
            <w:tcW w:w="100" w:type="dxa"/>
            <w:vAlign w:val="bottom"/>
            <w:shd w:val="clear" w:color="auto" w:fill="CCEEFF"/>
          </w:tcPr>
          <w:p>
            <w:pPr>
              <w:spacing w:after="0"/>
              <w:rPr>
                <w:sz w:val="17"/>
                <w:szCs w:val="17"/>
                <w:color w:val="auto"/>
              </w:rPr>
            </w:pPr>
          </w:p>
        </w:tc>
      </w:tr>
      <w:tr>
        <w:trPr>
          <w:trHeight w:val="207"/>
        </w:trPr>
        <w:tc>
          <w:tcPr>
            <w:tcW w:w="7160" w:type="dxa"/>
            <w:vAlign w:val="bottom"/>
          </w:tcPr>
          <w:p>
            <w:pPr>
              <w:ind w:left="200"/>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7"/>
                <w:szCs w:val="17"/>
                <w:color w:val="auto"/>
              </w:rPr>
            </w:pPr>
          </w:p>
        </w:tc>
        <w:tc>
          <w:tcPr>
            <w:tcW w:w="900" w:type="dxa"/>
            <w:vAlign w:val="bottom"/>
          </w:tcPr>
          <w:p>
            <w:pPr>
              <w:jc w:val="right"/>
              <w:ind w:right="133"/>
              <w:spacing w:after="0"/>
              <w:rPr>
                <w:sz w:val="20"/>
                <w:szCs w:val="20"/>
                <w:color w:val="auto"/>
              </w:rPr>
            </w:pPr>
            <w:r>
              <w:rPr>
                <w:rFonts w:ascii="Arial" w:cs="Arial" w:eastAsia="Arial" w:hAnsi="Arial"/>
                <w:sz w:val="17"/>
                <w:szCs w:val="17"/>
                <w:color w:val="auto"/>
              </w:rPr>
              <w:t>(31,452)</w:t>
            </w:r>
          </w:p>
        </w:tc>
        <w:tc>
          <w:tcPr>
            <w:tcW w:w="36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(31,452)</w:t>
            </w:r>
          </w:p>
        </w:tc>
        <w:tc>
          <w:tcPr>
            <w:tcW w:w="4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(31,452)</w:t>
            </w:r>
          </w:p>
        </w:tc>
      </w:tr>
      <w:tr>
        <w:trPr>
          <w:trHeight w:val="200"/>
        </w:trPr>
        <w:tc>
          <w:tcPr>
            <w:tcW w:w="7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99,581</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99,581</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9"/>
        </w:trPr>
        <w:tc>
          <w:tcPr>
            <w:tcW w:w="71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99,581</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99,581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190,596</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600" w:right="100" w:hanging="327"/>
        <w:spacing w:after="0" w:line="239" w:lineRule="auto"/>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Each $1.00 increase (decrease) in the assumed initial public offering price of $15.00 per share, which is the midpoint of the estimated price range set forth on the cover of this prospectus, would increase (decrease) each of our pro forma as adjusted cash, cash equivalents and restricted cash, additional paid-in-capital, total stockholders’ equity and total capitalization by approximately $6.2 million, assuming that the number of shares offered remains the same and after deducting the estimated underwriting discounts and commissions. Similarly, each increase (decrease) of 1,000,000 shares in the number of shares of common stock offered would increase (decrease) each of our pro forma as adjusted cash, cash equivalents and restricted cash, additional paid-in-capital, total stockholders’ equity and total capitalization by approximately $14.0 million, assuming the assumed initial public offering price remains the same and after deducting the estimated underwriting discounts and commissions.</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160"/>
          </w:cols>
          <w:pgMar w:left="240" w:top="455"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table above excludes the following shares:</w:t>
      </w:r>
    </w:p>
    <w:p>
      <w:pPr>
        <w:spacing w:after="0" w:line="125" w:lineRule="exact"/>
        <w:rPr>
          <w:sz w:val="20"/>
          <w:szCs w:val="20"/>
          <w:color w:val="auto"/>
        </w:rPr>
      </w:pPr>
    </w:p>
    <w:p>
      <w:pPr>
        <w:ind w:left="480" w:right="600" w:hanging="207"/>
        <w:spacing w:after="0" w:line="262" w:lineRule="auto"/>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4,034,649 shares of common stock issuable upon the exercise of options outstanding as of March 31, 2019 under our 2014 Equity Incentive Plan, or the 2014 Plan, with a weighted-average exercise price of $1.64 per share;</w:t>
      </w:r>
    </w:p>
    <w:p>
      <w:pPr>
        <w:spacing w:after="0" w:line="93" w:lineRule="exact"/>
        <w:rPr>
          <w:rFonts w:ascii="Arial" w:cs="Arial" w:eastAsia="Arial" w:hAnsi="Arial"/>
          <w:sz w:val="17"/>
          <w:szCs w:val="17"/>
          <w:color w:val="auto"/>
        </w:rPr>
      </w:pPr>
    </w:p>
    <w:p>
      <w:pPr>
        <w:ind w:left="480" w:right="680" w:hanging="207"/>
        <w:spacing w:after="0" w:line="262" w:lineRule="auto"/>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191,372 shares of common stock issuable upon the exercise of options granted after March 31, 2019 under the 2014 Plan, with a weighted-average exercise price of $9.07 per share; and</w:t>
      </w:r>
    </w:p>
    <w:p>
      <w:pPr>
        <w:spacing w:after="0" w:line="93" w:lineRule="exact"/>
        <w:rPr>
          <w:rFonts w:ascii="Arial" w:cs="Arial" w:eastAsia="Arial" w:hAnsi="Arial"/>
          <w:sz w:val="17"/>
          <w:szCs w:val="17"/>
          <w:color w:val="auto"/>
        </w:rPr>
      </w:pPr>
    </w:p>
    <w:p>
      <w:pPr>
        <w:ind w:left="480" w:hanging="207"/>
        <w:spacing w:after="0" w:line="247" w:lineRule="auto"/>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2,910,316 shares of common stock reserved for future issuance under our stock-based compensation plans, consisting of (i) 395,316 shares of common stock reserved for future issuance under our 2014 Plan as of March 31, 2019, (ii) 2,200,000 shares of common stock reserved for future issuance under our 2019 Equity Incentive Plan, which will become effective on the date immediately prior to the date of the effectiveness of the registration statement of which this prospectus forms a part and (iii) 315,000 shares of common stock reserved for future issuance under our 2019 Employee Stock Purchase Plan, which will become effective on the date of the effectiveness of the registration statement of which this prospectus forms a part. Upon completion of this offering, any remaining shares available for issuance under our 2014 Plan will be added to the shares reserved under our 2019 Equity Incentive Plan and we will cease granting awards under our 2014 Plan. Our 2019 Equity Incentive Plan and 2019 Employee Stock Purchase Plan also provide for automatic annual increases in the number of shares reserved under the plans each year, as more fully described in “Executive compensation—Equity compensation plans and other benefit plans.”</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060"/>
          </w:cols>
          <w:pgMar w:left="240" w:top="455" w:right="5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Dilution</w:t>
      </w:r>
    </w:p>
    <w:p>
      <w:pPr>
        <w:spacing w:after="0" w:line="151" w:lineRule="exact"/>
        <w:rPr>
          <w:sz w:val="20"/>
          <w:szCs w:val="20"/>
          <w:color w:val="auto"/>
        </w:rPr>
      </w:pPr>
    </w:p>
    <w:p>
      <w:pPr>
        <w:jc w:val="both"/>
        <w:ind w:left="280" w:right="240"/>
        <w:spacing w:after="0" w:line="253"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amount per share paid by purchasers of shares of common stock in this offering and the pro forma as adjusted net tangible book value per share of common stock immediately after this offering.</w:t>
      </w:r>
    </w:p>
    <w:p>
      <w:pPr>
        <w:spacing w:after="0" w:line="89" w:lineRule="exact"/>
        <w:rPr>
          <w:sz w:val="20"/>
          <w:szCs w:val="20"/>
          <w:color w:val="auto"/>
        </w:rPr>
      </w:pPr>
    </w:p>
    <w:p>
      <w:pPr>
        <w:ind w:left="280" w:right="80"/>
        <w:spacing w:after="0" w:line="247" w:lineRule="auto"/>
        <w:rPr>
          <w:sz w:val="20"/>
          <w:szCs w:val="20"/>
          <w:color w:val="auto"/>
        </w:rPr>
      </w:pPr>
      <w:r>
        <w:rPr>
          <w:rFonts w:ascii="Arial" w:cs="Arial" w:eastAsia="Arial" w:hAnsi="Arial"/>
          <w:sz w:val="17"/>
          <w:szCs w:val="17"/>
          <w:color w:val="auto"/>
        </w:rPr>
        <w:t>Net tangible book value (deficit) per share is determined by dividing our total tangible assets (which excludes deferred offering costs) less our total liabilities and convertible preferred stock by the number of shares of common stock outstanding. Our historical net tangible book value (deficit) as of March 31, 2019 was $(31.9) million, or $(35.70) per share, based on 892,223 shares of common stock outstanding as of March 31, 2019. Our pro forma net tangible book value as of March 31, 2019 was approximately $98.5 million, or $4.18 per share of common stock. Our pro forma net tangible book value per share represents the amount of our total tangible assets (which excludes deferred offering costs) reduced by the amount of our total liabilities and divided by the total number of shares of our common stock outstanding as of March 31, 2019, after giving effect to the automatic conversion of 22,677,585 outstanding shares of our convertible preferred stock as of March 31, 2019 into an aggregate of 22,677,585 shares of common stock immediately prior to the completion of this offering.</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Net tangible book value dilution per share to new investors in this offering represents the difference between the amount per share paid by</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purchasers of shares of common stock in this offering and the pro forma as adjusted net tangible book value per share of common stock</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immediately after completion of this offering. After giving effect to (i) the pro forma adjustments set forth above and (ii) our sale in this offering</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of 6,700,000 shares of our common stock at an assumed initial public offering price of $15.00 per share, which is the midpoint of the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estimated price range set forth on the cover of this prospectus, and after deducting the estimated underwriting discounts and commissions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and estimated offering expenses, our pro forma as adjusted net tangible book value as of March 31, 2019 would have been approximately</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$189.5 million, or $6.26 per share of our common stock. This represents an immediate increase in pro forma net tangible book value of $2.08</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per share to our existing stockholders and an immediate dilution of $8.74 per share to investors in this offering, as illustrated in the following</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table:</w:t>
      </w:r>
    </w:p>
    <w:p>
      <w:pPr>
        <w:spacing w:after="0" w:line="101"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15.00</w:t>
            </w:r>
          </w:p>
        </w:tc>
        <w:tc>
          <w:tcPr>
            <w:tcW w:w="60" w:type="dxa"/>
            <w:vAlign w:val="bottom"/>
            <w:tcBorders>
              <w:top w:val="single" w:sz="8" w:color="auto"/>
            </w:tcBorders>
            <w:shd w:val="clear" w:color="auto" w:fill="CCEEFF"/>
          </w:tcPr>
          <w:p>
            <w:pPr>
              <w:spacing w:after="0"/>
              <w:rPr>
                <w:sz w:val="19"/>
                <w:szCs w:val="19"/>
                <w:color w:val="auto"/>
              </w:rPr>
            </w:pPr>
          </w:p>
        </w:tc>
      </w:tr>
      <w:tr>
        <w:trPr>
          <w:trHeight w:val="200"/>
        </w:trPr>
        <w:tc>
          <w:tcPr>
            <w:tcW w:w="9440" w:type="dxa"/>
            <w:vAlign w:val="bottom"/>
          </w:tcPr>
          <w:p>
            <w:pPr>
              <w:ind w:left="200"/>
              <w:spacing w:after="0"/>
              <w:rPr>
                <w:sz w:val="20"/>
                <w:szCs w:val="20"/>
                <w:color w:val="auto"/>
              </w:rPr>
            </w:pPr>
            <w:r>
              <w:rPr>
                <w:rFonts w:ascii="Arial" w:cs="Arial" w:eastAsia="Arial" w:hAnsi="Arial"/>
                <w:sz w:val="17"/>
                <w:szCs w:val="17"/>
                <w:color w:val="auto"/>
              </w:rPr>
              <w:t>Pro forma net tangible book value per share as of March 31, 2019</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w w:val="92"/>
              </w:rPr>
              <w:t>$ 4.18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9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Increase in pro forma net tangible book value per share attributable to new investors in this offering</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944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w:t>
            </w:r>
          </w:p>
        </w:tc>
        <w:tc>
          <w:tcPr>
            <w:tcW w:w="60" w:type="dxa"/>
            <w:vAlign w:val="bottom"/>
          </w:tcPr>
          <w:p>
            <w:pPr>
              <w:spacing w:after="0"/>
              <w:rPr>
                <w:sz w:val="18"/>
                <w:szCs w:val="18"/>
                <w:color w:val="auto"/>
              </w:rPr>
            </w:pPr>
          </w:p>
        </w:tc>
      </w:tr>
      <w:tr>
        <w:trPr>
          <w:trHeight w:val="200"/>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60" w:type="dxa"/>
            <w:vAlign w:val="bottom"/>
            <w:shd w:val="clear" w:color="auto" w:fill="CCEEFF"/>
          </w:tcPr>
          <w:p>
            <w:pPr>
              <w:spacing w:after="0"/>
              <w:rPr>
                <w:sz w:val="17"/>
                <w:szCs w:val="17"/>
                <w:color w:val="auto"/>
              </w:rPr>
            </w:pPr>
          </w:p>
        </w:tc>
      </w:tr>
      <w:tr>
        <w:trPr>
          <w:trHeight w:val="20"/>
        </w:trPr>
        <w:tc>
          <w:tcPr>
            <w:tcW w:w="9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Each $1.00 increase (decrease) in the assumed initial public offering price of $15.00 per share, which is the midpoint of the estimated price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range set forth on the cover of this prospectus, would increase (decrease) our pro forma as adjusted net tangible book value by $6.2 million,</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or $0.21 per share and the dilution in pro forma as adjusted net tangible book value per share to new investors in this offering by $0.79 per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share, assuming the number of shares offered, as set forth on the cover of this prospectus, remains the same, and after deducting the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estimated underwriting discounts and commissions. Similarly, each increase of 1,000,000 shares in the number of shares of common stock</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offered in this offering would increase our pro forma as adjusted net tangible book value by approximately $14.0 million, or approximately</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$0.25 per share, and would increase dilution per share to new investors in this offering by approximately $0.25 per share and each decrease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of 1,000,000 shares in the number of shares of common stock offered in this offering would decrease our pro</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160"/>
          </w:cols>
          <w:pgMar w:left="240" w:top="455"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forma as adjusted net tangible book value by approximately $14.0 million, or approximately $0.26 per share, and would decrease dilution per share to new investors in this offering by approximately $0.26 per share, assuming the assumed initial public offering price per share remains the same and after deducting the estimated underwriting discounts and commissions. The pro forma as adjusted information is illustrative only, and we will adjust this information based on the actual initial public offering price and other terms of this offering determined at pricing.</w:t>
      </w:r>
    </w:p>
    <w:p>
      <w:pPr>
        <w:spacing w:after="0" w:line="89" w:lineRule="exact"/>
        <w:rPr>
          <w:sz w:val="20"/>
          <w:szCs w:val="20"/>
          <w:color w:val="auto"/>
        </w:rPr>
      </w:pPr>
    </w:p>
    <w:p>
      <w:pPr>
        <w:jc w:val="both"/>
        <w:ind w:left="280" w:right="60"/>
        <w:spacing w:after="0" w:line="253" w:lineRule="auto"/>
        <w:rPr>
          <w:sz w:val="20"/>
          <w:szCs w:val="20"/>
          <w:color w:val="auto"/>
        </w:rPr>
      </w:pPr>
      <w:r>
        <w:rPr>
          <w:rFonts w:ascii="Arial" w:cs="Arial" w:eastAsia="Arial" w:hAnsi="Arial"/>
          <w:sz w:val="17"/>
          <w:szCs w:val="17"/>
          <w:color w:val="auto"/>
        </w:rPr>
        <w:t>If the underwriters exercise their option in full to purchase additional shares, the pro forma as adjusted net tangible book value per share after this offering would be $6.51 per share, the increase in pro forma as adjusted net tangible book value per share to existing stockholders would be $0.25 per share and the dilution to new investors in this offering would be $0.25 per share.</w:t>
      </w:r>
    </w:p>
    <w:p>
      <w:pPr>
        <w:spacing w:after="0" w:line="89"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The following table shows, as of March 31, 2019, on a pro forma as adjusted basis described above,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and the value of any stock issued for services and the average price paid per share (in thousands, except per share amounts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65405</wp:posOffset>
            </wp:positionV>
            <wp:extent cx="69094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31"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5640" w:type="dxa"/>
            <w:vAlign w:val="bottom"/>
          </w:tcPr>
          <w:p>
            <w:pPr>
              <w:spacing w:after="0"/>
              <w:rPr>
                <w:sz w:val="17"/>
                <w:szCs w:val="17"/>
                <w:color w:val="auto"/>
              </w:rPr>
            </w:pPr>
          </w:p>
        </w:tc>
        <w:tc>
          <w:tcPr>
            <w:tcW w:w="2120" w:type="dxa"/>
            <w:vAlign w:val="bottom"/>
            <w:gridSpan w:val="3"/>
            <w:vMerge w:val="restart"/>
          </w:tcPr>
          <w:p>
            <w:pPr>
              <w:jc w:val="right"/>
              <w:ind w:right="260"/>
              <w:spacing w:after="0"/>
              <w:rPr>
                <w:sz w:val="20"/>
                <w:szCs w:val="20"/>
                <w:color w:val="auto"/>
              </w:rPr>
            </w:pPr>
            <w:r>
              <w:rPr>
                <w:rFonts w:ascii="Arial" w:cs="Arial" w:eastAsia="Arial" w:hAnsi="Arial"/>
                <w:sz w:val="17"/>
                <w:szCs w:val="17"/>
                <w:b w:val="1"/>
                <w:bCs w:val="1"/>
                <w:color w:val="auto"/>
              </w:rPr>
              <w:t>Shares purchased</w:t>
            </w:r>
          </w:p>
        </w:tc>
        <w:tc>
          <w:tcPr>
            <w:tcW w:w="2140" w:type="dxa"/>
            <w:vAlign w:val="bottom"/>
            <w:gridSpan w:val="3"/>
            <w:vMerge w:val="restart"/>
          </w:tcPr>
          <w:p>
            <w:pPr>
              <w:jc w:val="right"/>
              <w:ind w:right="140"/>
              <w:spacing w:after="0"/>
              <w:rPr>
                <w:sz w:val="20"/>
                <w:szCs w:val="20"/>
                <w:color w:val="auto"/>
              </w:rPr>
            </w:pPr>
            <w:r>
              <w:rPr>
                <w:rFonts w:ascii="Arial" w:cs="Arial" w:eastAsia="Arial" w:hAnsi="Arial"/>
                <w:sz w:val="17"/>
                <w:szCs w:val="17"/>
                <w:b w:val="1"/>
                <w:bCs w:val="1"/>
                <w:color w:val="auto"/>
              </w:rPr>
              <w:t>Total consideration</w:t>
            </w:r>
          </w:p>
        </w:tc>
        <w:tc>
          <w:tcPr>
            <w:tcW w:w="2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86"/>
        </w:trPr>
        <w:tc>
          <w:tcPr>
            <w:tcW w:w="564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price</w:t>
            </w:r>
          </w:p>
        </w:tc>
        <w:tc>
          <w:tcPr>
            <w:tcW w:w="0" w:type="dxa"/>
            <w:vAlign w:val="bottom"/>
          </w:tcPr>
          <w:p>
            <w:pPr>
              <w:spacing w:after="0"/>
              <w:rPr>
                <w:sz w:val="1"/>
                <w:szCs w:val="1"/>
                <w:color w:val="auto"/>
              </w:rPr>
            </w:pPr>
          </w:p>
        </w:tc>
      </w:tr>
      <w:tr>
        <w:trPr>
          <w:trHeight w:val="94"/>
        </w:trPr>
        <w:tc>
          <w:tcPr>
            <w:tcW w:w="564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5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Number</w:t>
            </w: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rPr>
              <w:t>Percent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Amount</w:t>
            </w: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b w:val="1"/>
                <w:bCs w:val="1"/>
                <w:color w:val="auto"/>
              </w:rPr>
              <w:t>Percent</w:t>
            </w: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rPr>
              <w:t>per share</w:t>
            </w:r>
          </w:p>
        </w:tc>
        <w:tc>
          <w:tcPr>
            <w:tcW w:w="0" w:type="dxa"/>
            <w:vAlign w:val="bottom"/>
          </w:tcPr>
          <w:p>
            <w:pPr>
              <w:spacing w:after="0"/>
              <w:rPr>
                <w:sz w:val="1"/>
                <w:szCs w:val="1"/>
                <w:color w:val="auto"/>
              </w:rPr>
            </w:pPr>
          </w:p>
        </w:tc>
      </w:tr>
      <w:tr>
        <w:trPr>
          <w:trHeight w:val="193"/>
        </w:trPr>
        <w:tc>
          <w:tcPr>
            <w:tcW w:w="5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Existing stockholders</w:t>
            </w:r>
          </w:p>
        </w:tc>
        <w:tc>
          <w:tcPr>
            <w:tcW w:w="108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23,569,808</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77.9%</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w w:val="97"/>
              </w:rPr>
              <w:t>$ 130,778,000</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56.5%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5.55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spacing w:after="0"/>
              <w:rPr>
                <w:sz w:val="20"/>
                <w:szCs w:val="20"/>
                <w:color w:val="auto"/>
              </w:rPr>
            </w:pPr>
            <w:r>
              <w:rPr>
                <w:rFonts w:ascii="Arial" w:cs="Arial" w:eastAsia="Arial" w:hAnsi="Arial"/>
                <w:sz w:val="17"/>
                <w:szCs w:val="17"/>
                <w:color w:val="auto"/>
              </w:rPr>
              <w:t>New public investors</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6,700,000</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22.1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100,500,000</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43.5</w:t>
            </w:r>
          </w:p>
        </w:tc>
        <w:tc>
          <w:tcPr>
            <w:tcW w:w="140" w:type="dxa"/>
            <w:vAlign w:val="bottom"/>
          </w:tcPr>
          <w:p>
            <w:pPr>
              <w:spacing w:after="0"/>
              <w:rPr>
                <w:sz w:val="17"/>
                <w:szCs w:val="17"/>
                <w:color w:val="auto"/>
              </w:rPr>
            </w:pPr>
          </w:p>
        </w:tc>
        <w:tc>
          <w:tcPr>
            <w:tcW w:w="240" w:type="dxa"/>
            <w:vAlign w:val="bottom"/>
          </w:tcPr>
          <w:p>
            <w:pPr>
              <w:ind w:left="14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30,269,808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97"/>
              </w:rPr>
              <w:t>$ 231,278,000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80" w:right="240"/>
        <w:spacing w:after="0" w:line="247" w:lineRule="auto"/>
        <w:rPr>
          <w:sz w:val="20"/>
          <w:szCs w:val="20"/>
          <w:color w:val="auto"/>
        </w:rPr>
      </w:pPr>
      <w:r>
        <w:rPr>
          <w:rFonts w:ascii="Arial" w:cs="Arial" w:eastAsia="Arial" w:hAnsi="Arial"/>
          <w:sz w:val="17"/>
          <w:szCs w:val="17"/>
          <w:color w:val="auto"/>
        </w:rPr>
        <w:t>Each $1.00 increase (decrease) in the assumed initial public offering price of $15.00 per share, which is the midpoint of the estimated price range set forth on the cover of this prospectus, would increase (decrease) total consideration paid by new investors and total consideration paid by all stockholders by approximately $6.2 million, assuming that the number of shares offered, as set forth on the cover of this prospectus, remains the same, and after deducting the estimated underwriting discounts and commissions. Similarly, each increase (decrease) of 1,000,000 shares in the number of shares of common stock offered in this offering would increase (decrease) total consideration paid by new investors and total consideration paid by all stockholders by approximately $14.0 million, assuming the assumed initial public offering price remains the same and after deducting the estimated underwriting discounts and commissions. In addition, to the extent that any outstanding options are exercised, investors in this offering will experience further dilution.</w:t>
      </w:r>
    </w:p>
    <w:p>
      <w:pPr>
        <w:spacing w:after="0" w:line="97"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Except as otherwise indicated, the above discussion and tables assume no exercise of the underwriters’ option to purchase additional shares. If the underwriters exercise their option to purchase additional shares in full, our existing stockholders would own 75.4% and our new investors would own 24.6% of the total number of shares of our common stock outstanding upon the completion of this offering.</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number of shares of common stock outstanding as of March 31, 2019 excludes:</w:t>
      </w:r>
    </w:p>
    <w:p>
      <w:pPr>
        <w:spacing w:after="0" w:line="125" w:lineRule="exact"/>
        <w:rPr>
          <w:sz w:val="20"/>
          <w:szCs w:val="20"/>
          <w:color w:val="auto"/>
        </w:rPr>
      </w:pPr>
    </w:p>
    <w:p>
      <w:pPr>
        <w:ind w:left="480" w:right="700" w:hanging="207"/>
        <w:spacing w:after="0" w:line="262" w:lineRule="auto"/>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4,034,649 shares of common stock issuable upon the exercise of options outstanding as of March 31, 2019 under our 2014 Equity Incentive Plan, or the 2014 Plan, with a weighted-average exercise price of $1.64 per share;</w:t>
      </w:r>
    </w:p>
    <w:p>
      <w:pPr>
        <w:spacing w:after="0" w:line="93" w:lineRule="exact"/>
        <w:rPr>
          <w:rFonts w:ascii="Arial" w:cs="Arial" w:eastAsia="Arial" w:hAnsi="Arial"/>
          <w:sz w:val="17"/>
          <w:szCs w:val="17"/>
          <w:color w:val="auto"/>
        </w:rPr>
      </w:pPr>
    </w:p>
    <w:p>
      <w:pPr>
        <w:ind w:left="480" w:right="780" w:hanging="207"/>
        <w:spacing w:after="0" w:line="262" w:lineRule="auto"/>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191,372 shares of common stock issuable upon the exercise of options granted after March 31, 2019 under the 2014 Plan, with a weighted-average exercise price of $9.07 per share; and</w:t>
      </w: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160"/>
          </w:cols>
          <w:pgMar w:left="240" w:top="455"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hanging="207"/>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2,910,316 shares of common stock reserved for future issuance under our stock-based compensation plans, consisting of (i)</w:t>
      </w:r>
    </w:p>
    <w:p>
      <w:pPr>
        <w:spacing w:after="0" w:line="4" w:lineRule="exact"/>
        <w:rPr>
          <w:rFonts w:ascii="Arial" w:cs="Arial" w:eastAsia="Arial" w:hAnsi="Arial"/>
          <w:sz w:val="17"/>
          <w:szCs w:val="17"/>
          <w:color w:val="auto"/>
        </w:rPr>
      </w:pPr>
    </w:p>
    <w:p>
      <w:pPr>
        <w:ind w:left="480"/>
        <w:spacing w:after="0" w:line="247" w:lineRule="auto"/>
        <w:rPr>
          <w:rFonts w:ascii="Arial" w:cs="Arial" w:eastAsia="Arial" w:hAnsi="Arial"/>
          <w:sz w:val="17"/>
          <w:szCs w:val="17"/>
          <w:color w:val="auto"/>
        </w:rPr>
      </w:pPr>
      <w:r>
        <w:rPr>
          <w:rFonts w:ascii="Arial" w:cs="Arial" w:eastAsia="Arial" w:hAnsi="Arial"/>
          <w:sz w:val="17"/>
          <w:szCs w:val="17"/>
          <w:color w:val="auto"/>
        </w:rPr>
        <w:t>395,316 shares of common stock reserved for future issuance under our 2014 Plan as of March 31, 2019, (ii) 2,200,000 shares of common stock reserved for future issuance under our 2019 Equity Incentive Plan, which will become effective on the date immediately prior to the date of the effectiveness of the registration statement of which this prospectus forms a part and (iii) 315,000 shares of common stock reserved for future issuance under our 2019 Employee Stock Purchase Plan, which will become effective on the date of the effectiveness of the registration statement of which this prospectus forms a part. Upon completion of this offering, any remaining shares available for issuance under our 2014 Plan will be added to the shares reserved under our 2019 Equity Incentive Plan and we will cease granting awards under our 2014 Plan. Our 2019 Equity Incentive Plan and 2019 Employee Purchase Stock Plan also provide for automatic annual increases in the number of shares reserved under the plans each year, as more fully described in “Executive compensation—Equity compensation plans and other benefit plans.”</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120"/>
          </w:cols>
          <w:pgMar w:left="240" w:top="455" w:right="5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Selected consolidated financial data</w:t>
      </w:r>
    </w:p>
    <w:p>
      <w:pPr>
        <w:spacing w:after="0" w:line="151"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The following tables set forth our selected consolidated financial data as of, and for the periods ended on, the dates indicated. The selected consolidated statements of operations data presented below for the years ended December 31, 2018 and 2017 and the selected consolidated balance sheet data as of December 31, 2018 and 2017 are derived from our audited consolidated financial statements included elsewhere in this prospectus. The selected consolidated statements of operations data presented below for the three months ended March 31, 2019 and 2018 and the selected consolidated balance sheet data as of March 31, 2019 are derived from our unaudited consolidated financial statements included elsewhere in this prospectus. The selected consolidated financial data included in this section are not intended to replace the consolidated financial statements and related notes included elsewhere in this prospectus. You should read the selected consolidated financial data together with the section entitled “Management’s discussion and analysis of financial condition and results of operations” and our consolidated financial statements and related notes included elsewhere in this prospectus. Our historical results are not necessarily indicative of the results to be expected for any other period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66675</wp:posOffset>
            </wp:positionV>
            <wp:extent cx="690943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3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5"/>
          </w:tcPr>
          <w:p>
            <w:pPr>
              <w:jc w:val="right"/>
              <w:ind w:right="120"/>
              <w:spacing w:after="0"/>
              <w:rPr>
                <w:sz w:val="20"/>
                <w:szCs w:val="20"/>
                <w:color w:val="auto"/>
              </w:rPr>
            </w:pPr>
            <w:r>
              <w:rPr>
                <w:rFonts w:ascii="Arial" w:cs="Arial" w:eastAsia="Arial" w:hAnsi="Arial"/>
                <w:sz w:val="17"/>
                <w:szCs w:val="17"/>
                <w:b w:val="1"/>
                <w:bCs w:val="1"/>
                <w:color w:val="auto"/>
              </w:rPr>
              <w:t>Year ended December 31,</w:t>
            </w:r>
          </w:p>
        </w:tc>
      </w:tr>
      <w:tr>
        <w:trPr>
          <w:trHeight w:val="220"/>
        </w:trPr>
        <w:tc>
          <w:tcPr>
            <w:tcW w:w="4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224"/>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gridSpan w:val="12"/>
          </w:tcPr>
          <w:p>
            <w:pPr>
              <w:jc w:val="right"/>
              <w:ind w:right="120"/>
              <w:spacing w:after="0"/>
              <w:rPr>
                <w:sz w:val="20"/>
                <w:szCs w:val="20"/>
                <w:color w:val="auto"/>
              </w:rPr>
            </w:pPr>
            <w:r>
              <w:rPr>
                <w:rFonts w:ascii="Arial" w:cs="Arial" w:eastAsia="Arial" w:hAnsi="Arial"/>
                <w:sz w:val="17"/>
                <w:szCs w:val="17"/>
                <w:b w:val="1"/>
                <w:bCs w:val="1"/>
                <w:color w:val="auto"/>
              </w:rPr>
              <w:t>(In thousands, except share and per share amounts)</w:t>
            </w:r>
          </w:p>
        </w:tc>
      </w:tr>
      <w:tr>
        <w:trPr>
          <w:trHeight w:val="49"/>
        </w:trPr>
        <w:tc>
          <w:tcPr>
            <w:tcW w:w="4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4820" w:type="dxa"/>
            <w:vAlign w:val="bottom"/>
          </w:tcPr>
          <w:p>
            <w:pPr>
              <w:spacing w:after="0"/>
              <w:rPr>
                <w:sz w:val="20"/>
                <w:szCs w:val="20"/>
                <w:color w:val="auto"/>
              </w:rPr>
            </w:pPr>
            <w:r>
              <w:rPr>
                <w:rFonts w:ascii="Arial" w:cs="Arial" w:eastAsia="Arial" w:hAnsi="Arial"/>
                <w:sz w:val="17"/>
                <w:szCs w:val="17"/>
                <w:color w:val="auto"/>
              </w:rPr>
              <w:t>Revenue</w:t>
            </w:r>
          </w:p>
        </w:tc>
        <w:tc>
          <w:tcPr>
            <w:tcW w:w="5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73"/>
        </w:trPr>
        <w:tc>
          <w:tcPr>
            <w:tcW w:w="4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0"/>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482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4,133</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1,252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8,371</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3,598</w:t>
            </w:r>
          </w:p>
        </w:tc>
        <w:tc>
          <w:tcPr>
            <w:tcW w:w="120" w:type="dxa"/>
            <w:vAlign w:val="bottom"/>
          </w:tcPr>
          <w:p>
            <w:pPr>
              <w:spacing w:after="0"/>
              <w:rPr>
                <w:sz w:val="17"/>
                <w:szCs w:val="17"/>
                <w:color w:val="auto"/>
              </w:rPr>
            </w:pPr>
          </w:p>
        </w:tc>
      </w:tr>
      <w:tr>
        <w:trPr>
          <w:trHeight w:val="200"/>
        </w:trPr>
        <w:tc>
          <w:tcPr>
            <w:tcW w:w="4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2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4,410</w:t>
            </w:r>
          </w:p>
        </w:tc>
        <w:tc>
          <w:tcPr>
            <w:tcW w:w="3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120" w:type="dxa"/>
            <w:vAlign w:val="bottom"/>
            <w:shd w:val="clear" w:color="auto" w:fill="CCEEFF"/>
          </w:tcPr>
          <w:p>
            <w:pPr>
              <w:spacing w:after="0"/>
              <w:rPr>
                <w:sz w:val="17"/>
                <w:szCs w:val="17"/>
                <w:color w:val="auto"/>
              </w:rPr>
            </w:pPr>
          </w:p>
        </w:tc>
      </w:tr>
      <w:tr>
        <w:trPr>
          <w:trHeight w:val="213"/>
        </w:trPr>
        <w:tc>
          <w:tcPr>
            <w:tcW w:w="4820" w:type="dxa"/>
            <w:vAlign w:val="bottom"/>
          </w:tcPr>
          <w:p>
            <w:pPr>
              <w:ind w:left="420"/>
              <w:spacing w:after="0"/>
              <w:rPr>
                <w:sz w:val="20"/>
                <w:szCs w:val="20"/>
                <w:color w:val="auto"/>
              </w:rPr>
            </w:pPr>
            <w:r>
              <w:rPr>
                <w:rFonts w:ascii="Arial" w:cs="Arial" w:eastAsia="Arial" w:hAnsi="Arial"/>
                <w:sz w:val="17"/>
                <w:szCs w:val="17"/>
                <w:color w:val="auto"/>
              </w:rPr>
              <w:t>Total operating expenses</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6,322</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12,781</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5,554</w:t>
            </w:r>
          </w:p>
        </w:tc>
        <w:tc>
          <w:tcPr>
            <w:tcW w:w="120" w:type="dxa"/>
            <w:vAlign w:val="bottom"/>
          </w:tcPr>
          <w:p>
            <w:pPr>
              <w:spacing w:after="0"/>
              <w:rPr>
                <w:sz w:val="18"/>
                <w:szCs w:val="18"/>
                <w:color w:val="auto"/>
              </w:rPr>
            </w:pPr>
          </w:p>
        </w:tc>
      </w:tr>
      <w:tr>
        <w:trPr>
          <w:trHeight w:val="200"/>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(6,322)</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(12,781)</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(5,554)</w:t>
            </w:r>
          </w:p>
        </w:tc>
      </w:tr>
      <w:tr>
        <w:trPr>
          <w:trHeight w:val="273"/>
        </w:trPr>
        <w:tc>
          <w:tcPr>
            <w:tcW w:w="4820" w:type="dxa"/>
            <w:vAlign w:val="bottom"/>
          </w:tcPr>
          <w:p>
            <w:pPr>
              <w:spacing w:after="0"/>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4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4820" w:type="dxa"/>
            <w:vAlign w:val="bottom"/>
          </w:tcPr>
          <w:p>
            <w:pPr>
              <w:ind w:left="200"/>
              <w:spacing w:after="0"/>
              <w:rPr>
                <w:sz w:val="20"/>
                <w:szCs w:val="20"/>
                <w:color w:val="auto"/>
              </w:rPr>
            </w:pPr>
            <w:r>
              <w:rPr>
                <w:rFonts w:ascii="Arial" w:cs="Arial" w:eastAsia="Arial" w:hAnsi="Arial"/>
                <w:sz w:val="17"/>
                <w:szCs w:val="17"/>
                <w:color w:val="auto"/>
              </w:rPr>
              <w:t>Other expense, net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4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other income (expense)</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r>
      <w:tr>
        <w:trPr>
          <w:trHeight w:val="20"/>
        </w:trPr>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Net loss</w:t>
            </w:r>
          </w:p>
        </w:tc>
        <w:tc>
          <w:tcPr>
            <w:tcW w:w="3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(5,742)</w:t>
            </w:r>
          </w:p>
        </w:tc>
        <w:tc>
          <w:tcPr>
            <w:tcW w:w="48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(1,912)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(12,521)</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(5,558)</w:t>
            </w: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w:t>
            </w: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4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basic and diluted</w:t>
            </w:r>
            <w:r>
              <w:rPr>
                <w:rFonts w:ascii="Arial" w:cs="Arial" w:eastAsia="Arial" w:hAnsi="Arial"/>
                <w:sz w:val="11"/>
                <w:szCs w:val="11"/>
                <w:color w:val="auto"/>
              </w:rPr>
              <w:t>(1)</w:t>
            </w:r>
          </w:p>
        </w:tc>
        <w:tc>
          <w:tcPr>
            <w:tcW w:w="5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(6.89)</w:t>
            </w:r>
          </w:p>
        </w:tc>
        <w:tc>
          <w:tcPr>
            <w:tcW w:w="4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(17.65)</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(8.29)</w:t>
            </w:r>
          </w:p>
        </w:tc>
      </w:tr>
      <w:tr>
        <w:trPr>
          <w:trHeight w:val="210"/>
        </w:trPr>
        <w:tc>
          <w:tcPr>
            <w:tcW w:w="4820" w:type="dxa"/>
            <w:vAlign w:val="bottom"/>
          </w:tcPr>
          <w:p>
            <w:pPr>
              <w:spacing w:after="0"/>
              <w:rPr>
                <w:sz w:val="20"/>
                <w:szCs w:val="20"/>
                <w:color w:val="auto"/>
              </w:rPr>
            </w:pPr>
            <w:r>
              <w:rPr>
                <w:rFonts w:ascii="Arial" w:cs="Arial" w:eastAsia="Arial" w:hAnsi="Arial"/>
                <w:sz w:val="17"/>
                <w:szCs w:val="17"/>
                <w:color w:val="auto"/>
              </w:rPr>
              <w:t>Weighted-average common shares outstanding, basic and</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4820" w:type="dxa"/>
            <w:vAlign w:val="bottom"/>
          </w:tcPr>
          <w:p>
            <w:pPr>
              <w:ind w:left="200"/>
              <w:spacing w:after="0"/>
              <w:rPr>
                <w:sz w:val="20"/>
                <w:szCs w:val="20"/>
                <w:color w:val="auto"/>
              </w:rPr>
            </w:pPr>
            <w:r>
              <w:rPr>
                <w:rFonts w:ascii="Arial" w:cs="Arial" w:eastAsia="Arial" w:hAnsi="Arial"/>
                <w:sz w:val="17"/>
                <w:szCs w:val="17"/>
                <w:color w:val="auto"/>
              </w:rPr>
              <w:t>diluted</w:t>
            </w:r>
            <w:r>
              <w:rPr>
                <w:rFonts w:ascii="Arial" w:cs="Arial" w:eastAsia="Arial" w:hAnsi="Arial"/>
                <w:sz w:val="11"/>
                <w:szCs w:val="11"/>
                <w:color w:val="auto"/>
              </w:rPr>
              <w:t>(1)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833,469</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686,985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709,336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670,090</w:t>
            </w:r>
          </w:p>
        </w:tc>
        <w:tc>
          <w:tcPr>
            <w:tcW w:w="120" w:type="dxa"/>
            <w:vAlign w:val="bottom"/>
          </w:tcPr>
          <w:p>
            <w:pPr>
              <w:spacing w:after="0"/>
              <w:rPr>
                <w:sz w:val="17"/>
                <w:szCs w:val="17"/>
                <w:color w:val="auto"/>
              </w:rPr>
            </w:pPr>
          </w:p>
        </w:tc>
      </w:tr>
      <w:tr>
        <w:trPr>
          <w:trHeight w:val="200"/>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share, basic and diluted</w:t>
            </w:r>
            <w:r>
              <w:rPr>
                <w:rFonts w:ascii="Arial" w:cs="Arial" w:eastAsia="Arial" w:hAnsi="Arial"/>
                <w:sz w:val="11"/>
                <w:szCs w:val="11"/>
                <w:color w:val="auto"/>
              </w:rPr>
              <w:t>(1)</w:t>
            </w:r>
          </w:p>
        </w:tc>
        <w:tc>
          <w:tcPr>
            <w:tcW w:w="5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(0.24)</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(0.98)</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7"/>
                <w:szCs w:val="17"/>
                <w:color w:val="auto"/>
              </w:rPr>
              <w:t>Weighted-average shares used in computing pro forma net</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loss per share, basic and diluted</w:t>
            </w:r>
            <w:r>
              <w:rPr>
                <w:rFonts w:ascii="Arial" w:cs="Arial" w:eastAsia="Arial" w:hAnsi="Arial"/>
                <w:sz w:val="11"/>
                <w:szCs w:val="11"/>
                <w:color w:val="auto"/>
              </w:rPr>
              <w:t>(1)</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23,511,054</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12,784,811</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66" w:lineRule="exact"/>
        <w:rPr>
          <w:sz w:val="20"/>
          <w:szCs w:val="20"/>
          <w:color w:val="auto"/>
        </w:rPr>
      </w:pPr>
    </w:p>
    <w:p>
      <w:pPr>
        <w:ind w:left="600" w:right="220" w:hanging="327"/>
        <w:spacing w:after="0" w:line="244" w:lineRule="auto"/>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See Notes 2 and 11 to our audited consolidated financial statements and Note 9 to our unaudited consolidated financial statements included elsewhere in this prospectus for a description of how we compute basic and diluted net loss per share and basic and diluted pro forma net loss per share, and the weighted-average number of shares used in the computation of these per share amounts.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160"/>
          </w:cols>
          <w:pgMar w:left="240" w:top="455"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201930</wp:posOffset>
            </wp:positionV>
            <wp:extent cx="690943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345"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5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80" w:type="dxa"/>
            <w:vAlign w:val="bottom"/>
            <w:gridSpan w:val="3"/>
          </w:tcPr>
          <w:p>
            <w:pPr>
              <w:ind w:left="20"/>
              <w:spacing w:after="0"/>
              <w:rPr>
                <w:sz w:val="20"/>
                <w:szCs w:val="20"/>
                <w:color w:val="auto"/>
              </w:rPr>
            </w:pPr>
            <w:r>
              <w:rPr>
                <w:rFonts w:ascii="Arial" w:cs="Arial" w:eastAsia="Arial" w:hAnsi="Arial"/>
                <w:sz w:val="17"/>
                <w:szCs w:val="17"/>
                <w:b w:val="1"/>
                <w:bCs w:val="1"/>
                <w:color w:val="auto"/>
              </w:rPr>
              <w:t>As of March 31,</w:t>
            </w:r>
          </w:p>
        </w:tc>
        <w:tc>
          <w:tcPr>
            <w:tcW w:w="212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As of December 31,</w:t>
            </w:r>
          </w:p>
        </w:tc>
      </w:tr>
      <w:tr>
        <w:trPr>
          <w:trHeight w:val="20"/>
        </w:trPr>
        <w:tc>
          <w:tcPr>
            <w:tcW w:w="5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5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7"/>
                <w:szCs w:val="17"/>
                <w:b w:val="1"/>
                <w:bCs w:val="1"/>
                <w:color w:val="auto"/>
              </w:rPr>
              <w:t>2019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224"/>
        </w:trPr>
        <w:tc>
          <w:tcPr>
            <w:tcW w:w="5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(In thousands)</w:t>
            </w:r>
          </w:p>
        </w:tc>
      </w:tr>
      <w:tr>
        <w:trPr>
          <w:trHeight w:val="36"/>
        </w:trPr>
        <w:tc>
          <w:tcPr>
            <w:tcW w:w="5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0"/>
        </w:trPr>
        <w:tc>
          <w:tcPr>
            <w:tcW w:w="5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Cash, cash equivalents and restricted cash</w:t>
            </w:r>
          </w:p>
        </w:tc>
        <w:tc>
          <w:tcPr>
            <w:tcW w:w="2160" w:type="dxa"/>
            <w:vAlign w:val="bottom"/>
            <w:gridSpan w:val="2"/>
          </w:tcPr>
          <w:p>
            <w:pPr>
              <w:ind w:left="178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7"/>
                <w:szCs w:val="17"/>
                <w:color w:val="auto"/>
              </w:rPr>
              <w:t>98,913</w:t>
            </w:r>
          </w:p>
        </w:tc>
        <w:tc>
          <w:tcPr>
            <w:tcW w:w="800" w:type="dxa"/>
            <w:vAlign w:val="bottom"/>
          </w:tcPr>
          <w:p>
            <w:pPr>
              <w:jc w:val="right"/>
              <w:spacing w:after="0"/>
              <w:rPr>
                <w:sz w:val="20"/>
                <w:szCs w:val="20"/>
                <w:color w:val="auto"/>
              </w:rPr>
            </w:pPr>
            <w:r>
              <w:rPr>
                <w:rFonts w:ascii="Arial" w:cs="Arial" w:eastAsia="Arial" w:hAnsi="Arial"/>
                <w:sz w:val="17"/>
                <w:szCs w:val="17"/>
                <w:color w:val="auto"/>
                <w:w w:val="98"/>
              </w:rPr>
              <w:t>$105,603</w:t>
            </w:r>
          </w:p>
        </w:tc>
        <w:tc>
          <w:tcPr>
            <w:tcW w:w="1200" w:type="dxa"/>
            <w:vAlign w:val="bottom"/>
          </w:tcPr>
          <w:p>
            <w:pPr>
              <w:jc w:val="right"/>
              <w:spacing w:after="0"/>
              <w:rPr>
                <w:sz w:val="20"/>
                <w:szCs w:val="20"/>
                <w:color w:val="auto"/>
              </w:rPr>
            </w:pPr>
            <w:r>
              <w:rPr>
                <w:rFonts w:ascii="Arial" w:cs="Arial" w:eastAsia="Arial" w:hAnsi="Arial"/>
                <w:sz w:val="17"/>
                <w:szCs w:val="17"/>
                <w:color w:val="auto"/>
              </w:rPr>
              <w:t>$  1,797</w:t>
            </w:r>
          </w:p>
        </w:tc>
        <w:tc>
          <w:tcPr>
            <w:tcW w:w="120" w:type="dxa"/>
            <w:vAlign w:val="bottom"/>
          </w:tcPr>
          <w:p>
            <w:pPr>
              <w:spacing w:after="0"/>
              <w:rPr>
                <w:sz w:val="17"/>
                <w:szCs w:val="17"/>
                <w:color w:val="auto"/>
              </w:rPr>
            </w:pPr>
          </w:p>
        </w:tc>
      </w:tr>
      <w:tr>
        <w:trPr>
          <w:trHeight w:val="20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102,934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107,539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120" w:type="dxa"/>
            <w:vAlign w:val="bottom"/>
            <w:shd w:val="clear" w:color="auto" w:fill="CCEEFF"/>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Working capital</w:t>
            </w:r>
            <w:r>
              <w:rPr>
                <w:rFonts w:ascii="Arial" w:cs="Arial" w:eastAsia="Arial" w:hAnsi="Arial"/>
                <w:sz w:val="11"/>
                <w:szCs w:val="11"/>
                <w:color w:val="auto"/>
              </w:rPr>
              <w:t>(1)</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7"/>
                <w:szCs w:val="17"/>
                <w:color w:val="auto"/>
              </w:rPr>
              <w:t>97,933</w:t>
            </w:r>
          </w:p>
        </w:tc>
        <w:tc>
          <w:tcPr>
            <w:tcW w:w="800" w:type="dxa"/>
            <w:vAlign w:val="bottom"/>
          </w:tcPr>
          <w:p>
            <w:pPr>
              <w:jc w:val="right"/>
              <w:spacing w:after="0"/>
              <w:rPr>
                <w:sz w:val="20"/>
                <w:szCs w:val="20"/>
                <w:color w:val="auto"/>
              </w:rPr>
            </w:pPr>
            <w:r>
              <w:rPr>
                <w:rFonts w:ascii="Arial" w:cs="Arial" w:eastAsia="Arial" w:hAnsi="Arial"/>
                <w:sz w:val="17"/>
                <w:szCs w:val="17"/>
                <w:color w:val="auto"/>
              </w:rPr>
              <w:t>103,676</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(1,805)</w:t>
            </w:r>
          </w:p>
        </w:tc>
      </w:tr>
      <w:tr>
        <w:trPr>
          <w:trHeight w:val="20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3,353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3,731</w:t>
            </w:r>
          </w:p>
        </w:tc>
        <w:tc>
          <w:tcPr>
            <w:tcW w:w="120" w:type="dxa"/>
            <w:vAlign w:val="bottom"/>
            <w:shd w:val="clear" w:color="auto" w:fill="CCEEFF"/>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Accumulated deficit</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7"/>
                <w:szCs w:val="17"/>
                <w:color w:val="auto"/>
              </w:rPr>
              <w:t>(31,452)</w:t>
            </w:r>
          </w:p>
        </w:tc>
        <w:tc>
          <w:tcPr>
            <w:tcW w:w="800" w:type="dxa"/>
            <w:vAlign w:val="bottom"/>
          </w:tcPr>
          <w:p>
            <w:pPr>
              <w:jc w:val="right"/>
              <w:spacing w:after="0"/>
              <w:rPr>
                <w:sz w:val="20"/>
                <w:szCs w:val="20"/>
                <w:color w:val="auto"/>
              </w:rPr>
            </w:pPr>
            <w:r>
              <w:rPr>
                <w:rFonts w:ascii="Arial" w:cs="Arial" w:eastAsia="Arial" w:hAnsi="Arial"/>
                <w:sz w:val="17"/>
                <w:szCs w:val="17"/>
                <w:color w:val="auto"/>
              </w:rPr>
              <w:t>(25,710)</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(13,189)</w:t>
            </w:r>
          </w:p>
        </w:tc>
      </w:tr>
      <w:tr>
        <w:trPr>
          <w:trHeight w:val="20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 (deficit)</w:t>
            </w: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99,581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105,068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6" w:lineRule="exact"/>
        <w:rPr>
          <w:sz w:val="20"/>
          <w:szCs w:val="20"/>
          <w:color w:val="auto"/>
        </w:rPr>
      </w:pPr>
    </w:p>
    <w:p>
      <w:pPr>
        <w:ind w:left="600" w:right="260" w:hanging="327"/>
        <w:spacing w:after="0" w:line="253" w:lineRule="auto"/>
        <w:tabs>
          <w:tab w:leader="none" w:pos="6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consolidated financial statements and related notes included elsewhere in this prospectus for further details regarding our current assets and current liabilities.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160"/>
          </w:cols>
          <w:pgMar w:left="240" w:top="455"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right="940"/>
        <w:spacing w:after="0" w:line="281"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13" w:lineRule="exact"/>
        <w:rPr>
          <w:sz w:val="20"/>
          <w:szCs w:val="20"/>
          <w:color w:val="auto"/>
        </w:rPr>
      </w:pPr>
    </w:p>
    <w:p>
      <w:pPr>
        <w:ind w:left="280" w:right="80"/>
        <w:spacing w:after="0" w:line="25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consolidated results of operations together with the section entitled “Selected financial data”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You should carefully read the section entitled “Risk factors” to gain an understanding of the important factors that could cause actual results to differ materially from our forward-looking statements.</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Overview</w:t>
      </w:r>
    </w:p>
    <w:p>
      <w:pPr>
        <w:spacing w:after="0" w:line="14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are pioneering a new way to treat the underlying causes of severe genetic diseases by precisely upregulating protein expression. We are developing novel antisense oligonucleotide, or ASO, medicines that target ribonucleic acid, or RNA, and modulate precursor-messenger RNA, or pre-mRNA, splicing to upregulate protein expression where needed and with appropriate specificity to near normal levels. We utilize our proprietary technology platform, Targeted Augmentation of Nuclear Gene Output, or TANGO, to design ASOs to upregulate the expression of protein by individual genes in a patient. Our approach is designed to allow us to deliver in a highly precise, durable and controlled manner disease-modifying therapies to a wide range of relevant tissues, including the central nervous system, or CNS, eye, kidney and liver. We designed our lead product candidate, STK-001, to treat Dravet syndrome, a severe and progressive genetic epilepsy. With a well-defined patient population based on routine genetic testing and learnings from recently approved drugs for the treatment of Dravet syndrome to inform the clinical and regulatory pathways, we anticipate an efficient clinical program for STK-001. We plan to submit an investigational new drug application for STK-001 by early 2020 and expect to initiate a Phase 1/2 clinical trial in the first half of 2020. We intend to nominate a second candidate to treat an additional genetic disease for preclinical development by the first half of 2020.</w:t>
      </w:r>
    </w:p>
    <w:p>
      <w:pPr>
        <w:spacing w:after="0" w:line="94"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We were incorporated in June 2014. In July 2015 and April 2016, we entered into worldwide license agreements with Cold Spring Harbor Laboratory, or CSHL, and the University of Southampton, respectively, with respect to certain licensed patents and applications relating to TANGO. TANGO exploits non-productive splicing events to effect targeted enhancement of protein expression. Since our inception through March 31, 2019, our operations have been financed by net proceeds of $131.0 million primarily from the sale of convertible notes payable and our convertible preferred stock. As of December 31, 2018 and March 31, 2019, we had $105.6 million and $98.9 million, respectively, in cash, cash equivalents and restricted cash.</w:t>
      </w:r>
    </w:p>
    <w:p>
      <w:pPr>
        <w:spacing w:after="0" w:line="95"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Since inception, we have had operating losses, the majority of which are attributable to research and development activities. Our net losses were $12.5 million and $5.6 million for the years ended December 31, 2018 and 2017 and for the three months ended March 31, 2019 and 2018 were $5.7 million and $1.9 million respectively, and as of March 31, 2019, we had an accumulated deficit of $31.5 million.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and losses to increase as we continue our development of, and seek regulatory approvals for, our product candidates, and begin to commercialize any approved products, as well as hire additional personnel, develop commercial infrastructure, pay fees to outside consultants, lawyers and accountants, and incur increased costs associated with being a public company such</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160"/>
          </w:cols>
          <w:pgMar w:left="240" w:top="455"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340"/>
        <w:spacing w:after="0" w:line="253" w:lineRule="auto"/>
        <w:rPr>
          <w:sz w:val="20"/>
          <w:szCs w:val="20"/>
          <w:color w:val="auto"/>
        </w:rPr>
      </w:pPr>
      <w:r>
        <w:rPr>
          <w:rFonts w:ascii="Arial" w:cs="Arial" w:eastAsia="Arial" w:hAnsi="Arial"/>
          <w:sz w:val="17"/>
          <w:szCs w:val="17"/>
          <w:color w:val="auto"/>
        </w:rPr>
        <w:t>as expenses related to services associated with maintaining compliance with Nasdaq listing rules and SEC requirements, insurance and investor relations costs. Our net losses may fluctuate significantly from quarter-to-quarter and year-to-year, depending on the timing of our clinical trials and our expenditures on other research and development activities.</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Based upon our current operating plan, we believe that the net proceeds from this offering, together with our existing cash, cash equivalents and restricted cash as of March 31, 2019, will enable us to fund our operating expenses and capital expenditure requirements through the end of 2022. To date, we have not had any products approved for sale and have not generated any product sales. We do not expect to generate any revenues from product sales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As a result, until such time, if ever, as we can generate substantial product revenue, we expect to finance our cash needs through equity offerings, debt financings or other capital sources, including potentially collaborations, licenses and other similar arrangements. However, we may be unable to raise additional funds or enter into such other arrangements when needed on favorable terms or at all.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License agreements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Cold Spring Harbor Laboratory</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In July 2015, we entered into a worldwide license agreement with CSHL, or the CSHL Agreement, with respect to the TANGO patents. Under the CSHL Agreement, we receive an exclusive (except with respect to certain government rights and non-exclusive licenses), worldwide license under certain patents and applications relating to TANGO. As part of the CSHL Agreement, we granted CSHL 164,927 shares of common stock. The CSHL Agreement obligates us to make additional payments that are contingent upon certain milestones being achieved as well as royalties on future product sales. These royalty obligations last on a product-by-product and country-by-country basis until the latest of (i) the expiration of the last valid claim of a patent covering a subject product or (ii) the expiration of any regulatory exclusivity for the subject product in a country. In addition, if we sublicense rights under the CSHL Agreement, we are required to pay a percentage of the sublicense revenue to CSHL, which may be reduced upon achievement of certain milestones for the applicable subject product. The maximum aggregate potential milestone payments payable total approximately $900,000. Additionally, certain licenses under the CSHL Agreement require us to reimburse CSHL for certain past and ongoing patent related expenses, however there were no expenses related to these reimbursable patent costs during the years ended December 31, 2018 and 2017 or for the three months ended March 31, 2019 and 2018. For more information, please see “Business—License agreements.”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University of Southampton</w:t>
      </w:r>
    </w:p>
    <w:p>
      <w:pPr>
        <w:spacing w:after="0" w:line="13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In April 2016, we entered into an exclusive, worldwide license agreement with the University of Southampton, or the Southampton Agreement, whereby we acquired rights to foundational technologies related to our TANGO technology. Under the Southampton Agreement, we receive an exclusive, worldwide license under certain licensed patents and applications relating to TANGO. As part of the Southampton Agreement, we paid 55,000 pounds sterling (approximately $72,000 as of the date thereof) as an up-front license fee. Under the Southampton Agreement, we may be obligated to make additional payments that are contingent upon certain milestones being achieved, as well as royalties on future product sales. These royalty obligations survive until the latest of (i) the expiration of the last valid claim of a licensed patent covering a subject product or (ii) the</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160"/>
          </w:cols>
          <w:pgMar w:left="240" w:top="455"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expiration of any regulatory exclusivity for the subject product in a country. In addition, if we sublicense our rights under the Southampton Agreement, we are required to pay a percentage of the sublicense revenue to the University of Southampton. The maximum aggregate potential milestone payments payable by us total approximately 400,000 pounds sterling (approximately $518,000 as of March 31, 2019). As of March 31, 2019, we have recorded no liabilities under the Southampton Agreement. For more information, please see “Business—License agreements.”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Financial operations overview</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Revenue</w:t>
      </w:r>
    </w:p>
    <w:p>
      <w:pPr>
        <w:spacing w:after="0" w:line="131" w:lineRule="exact"/>
        <w:rPr>
          <w:sz w:val="20"/>
          <w:szCs w:val="20"/>
          <w:color w:val="auto"/>
        </w:rPr>
      </w:pPr>
    </w:p>
    <w:p>
      <w:pPr>
        <w:jc w:val="both"/>
        <w:ind w:left="280" w:right="100"/>
        <w:spacing w:after="0" w:line="253" w:lineRule="auto"/>
        <w:rPr>
          <w:sz w:val="20"/>
          <w:szCs w:val="20"/>
          <w:color w:val="auto"/>
        </w:rPr>
      </w:pPr>
      <w:r>
        <w:rPr>
          <w:rFonts w:ascii="Arial" w:cs="Arial" w:eastAsia="Arial" w:hAnsi="Arial"/>
          <w:sz w:val="17"/>
          <w:szCs w:val="17"/>
          <w:color w:val="auto"/>
        </w:rPr>
        <w:t>We currently do not have any products approved for sale and have not generated any revenue since inception. If we are able to successfully develop, receive regulatory approval for and commercialize any of our current or future product candidates alone or in collaboration with third parties, we may generate revenue from the sales of these product candidates.</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Operating expenses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31" w:lineRule="exact"/>
        <w:rPr>
          <w:sz w:val="20"/>
          <w:szCs w:val="20"/>
          <w:color w:val="auto"/>
        </w:rPr>
      </w:pPr>
    </w:p>
    <w:p>
      <w:pPr>
        <w:jc w:val="both"/>
        <w:ind w:left="280" w:right="120"/>
        <w:spacing w:after="0" w:line="262" w:lineRule="auto"/>
        <w:rPr>
          <w:sz w:val="20"/>
          <w:szCs w:val="20"/>
          <w:color w:val="auto"/>
        </w:rPr>
      </w:pPr>
      <w:r>
        <w:rPr>
          <w:rFonts w:ascii="Arial" w:cs="Arial" w:eastAsia="Arial" w:hAnsi="Arial"/>
          <w:sz w:val="17"/>
          <w:szCs w:val="17"/>
          <w:color w:val="auto"/>
        </w:rPr>
        <w:t>Research and development expenses consist primarily of costs incurred for the development of our discovery work and preclinical programs, which include:</w:t>
      </w:r>
    </w:p>
    <w:p>
      <w:pPr>
        <w:spacing w:after="0" w:line="93" w:lineRule="exact"/>
        <w:rPr>
          <w:sz w:val="20"/>
          <w:szCs w:val="20"/>
          <w:color w:val="auto"/>
        </w:rPr>
      </w:pPr>
    </w:p>
    <w:p>
      <w:pPr>
        <w:ind w:left="480" w:hanging="207"/>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personnel costs, which include salaries, benefits and stock-based compensation expense;</w:t>
      </w:r>
    </w:p>
    <w:p>
      <w:pPr>
        <w:spacing w:after="0" w:line="124" w:lineRule="exact"/>
        <w:rPr>
          <w:rFonts w:ascii="Arial" w:cs="Arial" w:eastAsia="Arial" w:hAnsi="Arial"/>
          <w:sz w:val="17"/>
          <w:szCs w:val="17"/>
          <w:color w:val="auto"/>
        </w:rPr>
      </w:pPr>
    </w:p>
    <w:p>
      <w:pPr>
        <w:jc w:val="both"/>
        <w:ind w:left="480" w:right="100" w:hanging="207"/>
        <w:spacing w:after="0" w:line="253" w:lineRule="auto"/>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expenses incurred under agreements with consultants, third-party contract organizations that conduct research and development activities on our behalf, costs related to production of preclinical material and laboratory and vendor expenses related to the execution of preclinical studies;</w:t>
      </w:r>
    </w:p>
    <w:p>
      <w:pPr>
        <w:spacing w:after="0" w:line="101" w:lineRule="exact"/>
        <w:rPr>
          <w:rFonts w:ascii="Arial" w:cs="Arial" w:eastAsia="Arial" w:hAnsi="Arial"/>
          <w:sz w:val="17"/>
          <w:szCs w:val="17"/>
          <w:color w:val="auto"/>
        </w:rPr>
      </w:pPr>
    </w:p>
    <w:p>
      <w:pPr>
        <w:ind w:left="480" w:hanging="207"/>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scientific consulting, collaboration and licensing fees;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laboratory equipment and supplies;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facilities costs, depreciation and other expenses related to internal research and development activities.</w:t>
      </w:r>
    </w:p>
    <w:p>
      <w:pPr>
        <w:spacing w:after="0" w:line="111"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We use our personnel and infrastructure resources across multiple research and development programs directed toward identifying and developing product candidates. Our direct research and development expenses are tracked on a program-by-program basis from the point a program becomes a clinical candidate for us and consist primarily of external costs, such as fees paid to consultants, central laboratories and contractors in connection with our preclinical activities. We do not allocate employee costs, costs associated with our technology or facility expenses, including depreciation or other indirect costs, to specific programs because these costs are currently deployed across multiple product development programs and, as such, are not separately classified. We use internal resources to manage our development activities and our employees work across multiple development programs and, therefore, we do not track their costs by program.</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table below summarizes our research and development expenses incurred by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7680" w:type="dxa"/>
            <w:vAlign w:val="bottom"/>
          </w:tcPr>
          <w:p>
            <w:pPr>
              <w:spacing w:after="0"/>
              <w:rPr>
                <w:sz w:val="17"/>
                <w:szCs w:val="17"/>
                <w:color w:val="auto"/>
              </w:rPr>
            </w:pPr>
          </w:p>
        </w:tc>
        <w:tc>
          <w:tcPr>
            <w:tcW w:w="1780" w:type="dxa"/>
            <w:vAlign w:val="bottom"/>
            <w:gridSpan w:val="4"/>
          </w:tcPr>
          <w:p>
            <w:pPr>
              <w:jc w:val="center"/>
              <w:ind w:left="13"/>
              <w:spacing w:after="0"/>
              <w:rPr>
                <w:sz w:val="20"/>
                <w:szCs w:val="20"/>
                <w:color w:val="auto"/>
              </w:rPr>
            </w:pPr>
            <w:r>
              <w:rPr>
                <w:rFonts w:ascii="Arial" w:cs="Arial" w:eastAsia="Arial" w:hAnsi="Arial"/>
                <w:sz w:val="17"/>
                <w:szCs w:val="17"/>
                <w:b w:val="1"/>
                <w:bCs w:val="1"/>
                <w:color w:val="auto"/>
              </w:rPr>
              <w:t>Three months</w:t>
            </w:r>
          </w:p>
        </w:tc>
        <w:tc>
          <w:tcPr>
            <w:tcW w:w="1420" w:type="dxa"/>
            <w:vAlign w:val="bottom"/>
            <w:gridSpan w:val="4"/>
          </w:tcPr>
          <w:p>
            <w:pPr>
              <w:jc w:val="right"/>
              <w:ind w:right="60"/>
              <w:spacing w:after="0"/>
              <w:rPr>
                <w:sz w:val="20"/>
                <w:szCs w:val="20"/>
                <w:color w:val="auto"/>
              </w:rPr>
            </w:pPr>
            <w:r>
              <w:rPr>
                <w:rFonts w:ascii="Arial" w:cs="Arial" w:eastAsia="Arial" w:hAnsi="Arial"/>
                <w:sz w:val="17"/>
                <w:szCs w:val="17"/>
                <w:b w:val="1"/>
                <w:bCs w:val="1"/>
                <w:color w:val="auto"/>
              </w:rPr>
              <w:t>Year ended</w:t>
            </w:r>
          </w:p>
        </w:tc>
      </w:tr>
      <w:tr>
        <w:trPr>
          <w:trHeight w:val="219"/>
        </w:trPr>
        <w:tc>
          <w:tcPr>
            <w:tcW w:w="76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b w:val="1"/>
                <w:bCs w:val="1"/>
                <w:color w:val="auto"/>
              </w:rPr>
              <w:t>ended March 31,</w:t>
            </w:r>
          </w:p>
        </w:tc>
        <w:tc>
          <w:tcPr>
            <w:tcW w:w="260" w:type="dxa"/>
            <w:vAlign w:val="bottom"/>
          </w:tcPr>
          <w:p>
            <w:pPr>
              <w:spacing w:after="0"/>
              <w:rPr>
                <w:sz w:val="19"/>
                <w:szCs w:val="19"/>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7"/>
                <w:szCs w:val="17"/>
                <w:b w:val="1"/>
                <w:bCs w:val="1"/>
                <w:color w:val="auto"/>
              </w:rPr>
              <w:t>December 31,</w:t>
            </w:r>
          </w:p>
        </w:tc>
      </w:tr>
      <w:tr>
        <w:trPr>
          <w:trHeight w:val="20"/>
        </w:trPr>
        <w:tc>
          <w:tcPr>
            <w:tcW w:w="7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7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2017</w:t>
            </w:r>
          </w:p>
        </w:tc>
      </w:tr>
      <w:tr>
        <w:trPr>
          <w:trHeight w:val="193"/>
        </w:trPr>
        <w:tc>
          <w:tcPr>
            <w:tcW w:w="7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jc w:val="right"/>
              <w:ind w:right="60"/>
              <w:spacing w:after="0" w:line="194" w:lineRule="exact"/>
              <w:rPr>
                <w:sz w:val="20"/>
                <w:szCs w:val="20"/>
                <w:color w:val="auto"/>
              </w:rPr>
            </w:pPr>
            <w:r>
              <w:rPr>
                <w:rFonts w:ascii="Arial" w:cs="Arial" w:eastAsia="Arial" w:hAnsi="Arial"/>
                <w:sz w:val="17"/>
                <w:szCs w:val="17"/>
                <w:b w:val="1"/>
                <w:bCs w:val="1"/>
                <w:color w:val="auto"/>
              </w:rPr>
              <w:t>(in thousands)</w:t>
            </w:r>
          </w:p>
        </w:tc>
      </w:tr>
      <w:tr>
        <w:trPr>
          <w:trHeight w:val="200"/>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STK-001</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$ 1,417</w:t>
            </w:r>
          </w:p>
        </w:tc>
        <w:tc>
          <w:tcPr>
            <w:tcW w:w="28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99"/>
              </w:rPr>
              <w:t>$1,960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7"/>
        </w:trPr>
        <w:tc>
          <w:tcPr>
            <w:tcW w:w="7680" w:type="dxa"/>
            <w:vAlign w:val="bottom"/>
          </w:tcPr>
          <w:p>
            <w:pPr>
              <w:spacing w:after="0"/>
              <w:rPr>
                <w:sz w:val="20"/>
                <w:szCs w:val="20"/>
                <w:color w:val="auto"/>
              </w:rPr>
            </w:pPr>
            <w:r>
              <w:rPr>
                <w:rFonts w:ascii="Arial" w:cs="Arial" w:eastAsia="Arial" w:hAnsi="Arial"/>
                <w:sz w:val="17"/>
                <w:szCs w:val="17"/>
                <w:color w:val="auto"/>
              </w:rPr>
              <w:t>Non-program specific and unallocated research and development expenses</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2,716</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6,411</w:t>
            </w: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3,598</w:t>
            </w:r>
          </w:p>
        </w:tc>
        <w:tc>
          <w:tcPr>
            <w:tcW w:w="60" w:type="dxa"/>
            <w:vAlign w:val="bottom"/>
          </w:tcPr>
          <w:p>
            <w:pPr>
              <w:spacing w:after="0"/>
              <w:rPr>
                <w:sz w:val="17"/>
                <w:szCs w:val="17"/>
                <w:color w:val="auto"/>
              </w:rPr>
            </w:pPr>
          </w:p>
        </w:tc>
      </w:tr>
      <w:tr>
        <w:trPr>
          <w:trHeight w:val="200"/>
        </w:trPr>
        <w:tc>
          <w:tcPr>
            <w:tcW w:w="7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$ 4,133</w:t>
            </w:r>
          </w:p>
        </w:tc>
        <w:tc>
          <w:tcPr>
            <w:tcW w:w="28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99"/>
              </w:rPr>
              <w:t>$8,371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3,598</w:t>
            </w:r>
          </w:p>
        </w:tc>
        <w:tc>
          <w:tcPr>
            <w:tcW w:w="60" w:type="dxa"/>
            <w:vAlign w:val="bottom"/>
            <w:shd w:val="clear" w:color="auto" w:fill="CCEEFF"/>
          </w:tcPr>
          <w:p>
            <w:pPr>
              <w:spacing w:after="0"/>
              <w:rPr>
                <w:sz w:val="17"/>
                <w:szCs w:val="17"/>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7680" w:type="dxa"/>
            <w:vAlign w:val="bottom"/>
          </w:tcPr>
          <w:p>
            <w:pPr>
              <w:jc w:val="right"/>
              <w:ind w:right="2053"/>
              <w:spacing w:after="0"/>
              <w:rPr>
                <w:sz w:val="20"/>
                <w:szCs w:val="20"/>
                <w:color w:val="auto"/>
              </w:rPr>
            </w:pPr>
            <w:r>
              <w:rPr>
                <w:rFonts w:ascii="Arial" w:cs="Arial" w:eastAsia="Arial" w:hAnsi="Arial"/>
                <w:sz w:val="17"/>
                <w:szCs w:val="17"/>
                <w:color w:val="auto"/>
              </w:rPr>
              <w:t>73</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20"/>
        <w:spacing w:after="0" w:line="253" w:lineRule="auto"/>
        <w:rPr>
          <w:sz w:val="20"/>
          <w:szCs w:val="20"/>
          <w:color w:val="auto"/>
        </w:rPr>
      </w:pPr>
      <w:r>
        <w:rPr>
          <w:rFonts w:ascii="Arial" w:cs="Arial" w:eastAsia="Arial" w:hAnsi="Arial"/>
          <w:sz w:val="17"/>
          <w:szCs w:val="17"/>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third-party service providers.</w:t>
      </w:r>
    </w:p>
    <w:p>
      <w:pPr>
        <w:spacing w:after="0" w:line="89" w:lineRule="exact"/>
        <w:rPr>
          <w:sz w:val="20"/>
          <w:szCs w:val="20"/>
          <w:color w:val="auto"/>
        </w:rPr>
      </w:pPr>
    </w:p>
    <w:p>
      <w:pPr>
        <w:ind w:left="280" w:right="100"/>
        <w:spacing w:after="0" w:line="247" w:lineRule="auto"/>
        <w:rPr>
          <w:sz w:val="20"/>
          <w:szCs w:val="20"/>
          <w:color w:val="auto"/>
        </w:rPr>
      </w:pPr>
      <w:r>
        <w:rPr>
          <w:rFonts w:ascii="Arial" w:cs="Arial" w:eastAsia="Arial" w:hAnsi="Arial"/>
          <w:sz w:val="17"/>
          <w:szCs w:val="17"/>
          <w:color w:val="auto"/>
        </w:rPr>
        <w:t>We expect that our expenses will increase substantially in connection with our planned discovery work, preclinical and clinical development activities in the near term and our planned clinical trials in the future. At this time, we cannot reasonably estimate the costs for completing the preclinical and clinical development of any of our other product candidates. 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we conduct clinical trials.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96" w:lineRule="exact"/>
        <w:rPr>
          <w:sz w:val="20"/>
          <w:szCs w:val="20"/>
          <w:color w:val="auto"/>
        </w:rPr>
      </w:pPr>
    </w:p>
    <w:p>
      <w:pPr>
        <w:jc w:val="both"/>
        <w:ind w:left="280" w:right="140"/>
        <w:spacing w:after="0" w:line="245" w:lineRule="auto"/>
        <w:rPr>
          <w:sz w:val="20"/>
          <w:szCs w:val="20"/>
          <w:color w:val="auto"/>
        </w:rPr>
      </w:pPr>
      <w:r>
        <w:rPr>
          <w:rFonts w:ascii="Arial" w:cs="Arial" w:eastAsia="Arial" w:hAnsi="Arial"/>
          <w:sz w:val="17"/>
          <w:szCs w:val="17"/>
          <w:color w:val="auto"/>
        </w:rPr>
        <w:t>Because of the numerous risks and uncertainties associated with product development, we cannot determine with certainty the duration and completion costs of the current or future preclinical studies and clinical trials or if, when, or to what extent we will generate revenues from the commercialization and sale of our product candidates. We may never succeed in achieving regulatory approval for our product candidates.</w:t>
      </w:r>
    </w:p>
    <w:p>
      <w:pPr>
        <w:spacing w:after="0" w:line="1" w:lineRule="exact"/>
        <w:rPr>
          <w:sz w:val="20"/>
          <w:szCs w:val="20"/>
          <w:color w:val="auto"/>
        </w:rPr>
      </w:pPr>
    </w:p>
    <w:p>
      <w:pPr>
        <w:ind w:left="280" w:right="200"/>
        <w:spacing w:after="0" w:line="262" w:lineRule="auto"/>
        <w:rPr>
          <w:sz w:val="20"/>
          <w:szCs w:val="20"/>
          <w:color w:val="auto"/>
        </w:rPr>
      </w:pPr>
      <w:r>
        <w:rPr>
          <w:rFonts w:ascii="Arial" w:cs="Arial" w:eastAsia="Arial" w:hAnsi="Arial"/>
          <w:sz w:val="17"/>
          <w:szCs w:val="17"/>
          <w:color w:val="auto"/>
        </w:rPr>
        <w:t>The duration, costs and timing of preclinical studies and clinical trials and development of our product candidates will depend on a variety of factors, including:</w:t>
      </w:r>
    </w:p>
    <w:p>
      <w:pPr>
        <w:spacing w:after="0" w:line="93" w:lineRule="exact"/>
        <w:rPr>
          <w:sz w:val="20"/>
          <w:szCs w:val="20"/>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successful completion of preclinical studies and investigational new drug-enabling studies;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receipt of regulatory approvals from applicable regulatory authorities;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furthering our commercial manufacturing capabilities and arrangements with third-party manufacturers;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launching commercial sales of our product candidates, if and when approved, whether alone or in collaboration with others;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acceptance of our product candidates, if and when approved, by patients, the medical community and third-party payors;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effectively competing with other therapies and treatment options;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continued acceptable safety profile following approval;</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enforcing and defending intellectual property and proprietary rights and claims;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achieving desirable medicinal properties for the intended indications.</w:t>
      </w:r>
    </w:p>
    <w:p>
      <w:pPr>
        <w:spacing w:after="0" w:line="11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 We expect our research and development expenses to increase for the foreseeable future as we continue the development of product candidates.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160"/>
          </w:cols>
          <w:pgMar w:left="240" w:top="455"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31" w:lineRule="exact"/>
        <w:rPr>
          <w:sz w:val="20"/>
          <w:szCs w:val="20"/>
          <w:color w:val="auto"/>
        </w:rPr>
      </w:pPr>
    </w:p>
    <w:p>
      <w:pPr>
        <w:ind w:left="280" w:right="80"/>
        <w:spacing w:after="0" w:line="247" w:lineRule="auto"/>
        <w:rPr>
          <w:sz w:val="20"/>
          <w:szCs w:val="20"/>
          <w:color w:val="auto"/>
        </w:rPr>
      </w:pPr>
      <w:r>
        <w:rPr>
          <w:rFonts w:ascii="Arial" w:cs="Arial" w:eastAsia="Arial" w:hAnsi="Arial"/>
          <w:sz w:val="17"/>
          <w:szCs w:val="17"/>
          <w:color w:val="auto"/>
        </w:rPr>
        <w:t>General and administrative expenses consist primarily of personnel costs, costs related to maintenance and filing of intellectual property, expenses for outside professional services, including legal, human resources, information technology, audit and accounting services, and facilities and other expenses. Personnel costs consist of salaries, benefits and stock-based compensation expense. We expect our general and administrative expenses to increase over the next several years to support our continued research and development activities, manufacturing activities, increased costs of operating as a public company and the potential commercialization of our product candidates. These increases are anticipated to include increased costs related to the hiring of additional personnel, developing commercial infrastructure, fees to outside consultants, lawyers and accountants, and increased costs associated with being a public company such as expenses related to services associated with maintaining compliance with Nasdaq listing rules and SEC requirements, insurance and investor relations costs.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31" w:lineRule="exact"/>
        <w:rPr>
          <w:sz w:val="20"/>
          <w:szCs w:val="20"/>
          <w:color w:val="auto"/>
        </w:rPr>
      </w:pPr>
    </w:p>
    <w:p>
      <w:pPr>
        <w:ind w:left="280" w:right="200"/>
        <w:spacing w:after="0" w:line="262" w:lineRule="auto"/>
        <w:rPr>
          <w:sz w:val="20"/>
          <w:szCs w:val="20"/>
          <w:color w:val="auto"/>
        </w:rPr>
      </w:pPr>
      <w:r>
        <w:rPr>
          <w:rFonts w:ascii="Arial" w:cs="Arial" w:eastAsia="Arial" w:hAnsi="Arial"/>
          <w:sz w:val="17"/>
          <w:szCs w:val="17"/>
          <w:color w:val="auto"/>
        </w:rPr>
        <w:t>Our other income (expense), includes (i) interest income earned on cash reserves in our operating money-market fund investment accounts and (ii) other items of income (expense), net.</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Results of operations for the three months ended March 31, 2019 and 2018</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Three months ended</w:t>
      </w:r>
    </w:p>
    <w:p>
      <w:pPr>
        <w:spacing w:after="0" w:line="27"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5761990</wp:posOffset>
            </wp:positionH>
            <wp:positionV relativeFrom="paragraph">
              <wp:posOffset>635</wp:posOffset>
            </wp:positionV>
            <wp:extent cx="12534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430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2018</w:t>
            </w:r>
          </w:p>
        </w:tc>
      </w:tr>
      <w:tr>
        <w:trPr>
          <w:trHeight w:val="224"/>
        </w:trPr>
        <w:tc>
          <w:tcPr>
            <w:tcW w:w="4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(in thousands)</w:t>
            </w:r>
          </w:p>
        </w:tc>
      </w:tr>
      <w:tr>
        <w:trPr>
          <w:trHeight w:val="36"/>
        </w:trPr>
        <w:tc>
          <w:tcPr>
            <w:tcW w:w="4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0"/>
        </w:trPr>
        <w:tc>
          <w:tcPr>
            <w:tcW w:w="4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w:t>
            </w:r>
          </w:p>
        </w:tc>
        <w:tc>
          <w:tcPr>
            <w:tcW w:w="4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4300" w:type="dxa"/>
            <w:vAlign w:val="bottom"/>
          </w:tcPr>
          <w:p>
            <w:pPr>
              <w:spacing w:after="0"/>
              <w:rPr>
                <w:sz w:val="20"/>
                <w:szCs w:val="20"/>
                <w:color w:val="auto"/>
              </w:rPr>
            </w:pPr>
            <w:r>
              <w:rPr>
                <w:rFonts w:ascii="Arial" w:cs="Arial" w:eastAsia="Arial" w:hAnsi="Arial"/>
                <w:sz w:val="17"/>
                <w:szCs w:val="17"/>
                <w:color w:val="auto"/>
              </w:rPr>
              <w:t>Revenue</w:t>
            </w:r>
          </w:p>
        </w:tc>
        <w:tc>
          <w:tcPr>
            <w:tcW w:w="4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73"/>
        </w:trPr>
        <w:tc>
          <w:tcPr>
            <w:tcW w:w="43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0"/>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4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430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73"/>
              <w:spacing w:after="0"/>
              <w:rPr>
                <w:sz w:val="20"/>
                <w:szCs w:val="20"/>
                <w:color w:val="auto"/>
              </w:rPr>
            </w:pPr>
            <w:r>
              <w:rPr>
                <w:rFonts w:ascii="Arial" w:cs="Arial" w:eastAsia="Arial" w:hAnsi="Arial"/>
                <w:sz w:val="17"/>
                <w:szCs w:val="17"/>
                <w:color w:val="auto"/>
              </w:rPr>
              <w:t>4,133</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1,252</w:t>
            </w:r>
          </w:p>
        </w:tc>
        <w:tc>
          <w:tcPr>
            <w:tcW w:w="120" w:type="dxa"/>
            <w:vAlign w:val="bottom"/>
          </w:tcPr>
          <w:p>
            <w:pPr>
              <w:spacing w:after="0"/>
              <w:rPr>
                <w:sz w:val="17"/>
                <w:szCs w:val="17"/>
                <w:color w:val="auto"/>
              </w:rPr>
            </w:pPr>
          </w:p>
        </w:tc>
      </w:tr>
      <w:tr>
        <w:trPr>
          <w:trHeight w:val="200"/>
        </w:trPr>
        <w:tc>
          <w:tcPr>
            <w:tcW w:w="4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and administrative</w:t>
            </w:r>
          </w:p>
        </w:tc>
        <w:tc>
          <w:tcPr>
            <w:tcW w:w="4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2,189</w:t>
            </w:r>
          </w:p>
        </w:tc>
        <w:tc>
          <w:tcPr>
            <w:tcW w:w="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20" w:type="dxa"/>
            <w:vAlign w:val="bottom"/>
            <w:shd w:val="clear" w:color="auto" w:fill="CCEEFF"/>
          </w:tcPr>
          <w:p>
            <w:pPr>
              <w:spacing w:after="0"/>
              <w:rPr>
                <w:sz w:val="17"/>
                <w:szCs w:val="17"/>
                <w:color w:val="auto"/>
              </w:rPr>
            </w:pPr>
          </w:p>
        </w:tc>
      </w:tr>
      <w:tr>
        <w:trPr>
          <w:trHeight w:val="213"/>
        </w:trPr>
        <w:tc>
          <w:tcPr>
            <w:tcW w:w="4300" w:type="dxa"/>
            <w:vAlign w:val="bottom"/>
          </w:tcPr>
          <w:p>
            <w:pPr>
              <w:ind w:left="420"/>
              <w:spacing w:after="0"/>
              <w:rPr>
                <w:sz w:val="20"/>
                <w:szCs w:val="20"/>
                <w:color w:val="auto"/>
              </w:rPr>
            </w:pPr>
            <w:r>
              <w:rPr>
                <w:rFonts w:ascii="Arial" w:cs="Arial" w:eastAsia="Arial" w:hAnsi="Arial"/>
                <w:sz w:val="17"/>
                <w:szCs w:val="17"/>
                <w:color w:val="auto"/>
              </w:rPr>
              <w:t>Total operating expenses</w:t>
            </w:r>
          </w:p>
        </w:tc>
        <w:tc>
          <w:tcPr>
            <w:tcW w:w="4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6,322</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w:t>
            </w:r>
          </w:p>
        </w:tc>
        <w:tc>
          <w:tcPr>
            <w:tcW w:w="120" w:type="dxa"/>
            <w:vAlign w:val="bottom"/>
          </w:tcPr>
          <w:p>
            <w:pPr>
              <w:spacing w:after="0"/>
              <w:rPr>
                <w:sz w:val="18"/>
                <w:szCs w:val="18"/>
                <w:color w:val="auto"/>
              </w:rPr>
            </w:pPr>
          </w:p>
        </w:tc>
      </w:tr>
      <w:tr>
        <w:trPr>
          <w:trHeight w:val="200"/>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4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(6,322)</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(1,912)</w:t>
            </w:r>
          </w:p>
        </w:tc>
      </w:tr>
      <w:tr>
        <w:trPr>
          <w:trHeight w:val="273"/>
        </w:trPr>
        <w:tc>
          <w:tcPr>
            <w:tcW w:w="4300" w:type="dxa"/>
            <w:vAlign w:val="bottom"/>
          </w:tcPr>
          <w:p>
            <w:pPr>
              <w:spacing w:after="0"/>
              <w:rPr>
                <w:sz w:val="20"/>
                <w:szCs w:val="20"/>
                <w:color w:val="auto"/>
              </w:rPr>
            </w:pPr>
            <w:r>
              <w:rPr>
                <w:rFonts w:ascii="Arial" w:cs="Arial" w:eastAsia="Arial" w:hAnsi="Arial"/>
                <w:sz w:val="17"/>
                <w:szCs w:val="17"/>
                <w:color w:val="auto"/>
              </w:rPr>
              <w:t>Other income (expense):</w:t>
            </w:r>
          </w:p>
        </w:tc>
        <w:tc>
          <w:tcPr>
            <w:tcW w:w="45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4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4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580</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4300" w:type="dxa"/>
            <w:vAlign w:val="bottom"/>
          </w:tcPr>
          <w:p>
            <w:pPr>
              <w:ind w:left="200"/>
              <w:spacing w:after="0"/>
              <w:rPr>
                <w:sz w:val="20"/>
                <w:szCs w:val="20"/>
                <w:color w:val="auto"/>
              </w:rPr>
            </w:pPr>
            <w:r>
              <w:rPr>
                <w:rFonts w:ascii="Arial" w:cs="Arial" w:eastAsia="Arial" w:hAnsi="Arial"/>
                <w:sz w:val="17"/>
                <w:szCs w:val="17"/>
                <w:color w:val="auto"/>
              </w:rPr>
              <w:t>Other expense, net</w:t>
            </w:r>
          </w:p>
        </w:tc>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7"/>
        </w:trPr>
        <w:tc>
          <w:tcPr>
            <w:tcW w:w="4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Total other income (expense)</w:t>
            </w:r>
          </w:p>
        </w:tc>
        <w:tc>
          <w:tcPr>
            <w:tcW w:w="4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580</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4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4300" w:type="dxa"/>
            <w:vAlign w:val="bottom"/>
          </w:tcPr>
          <w:p>
            <w:pPr>
              <w:spacing w:after="0"/>
              <w:rPr>
                <w:sz w:val="20"/>
                <w:szCs w:val="20"/>
                <w:color w:val="auto"/>
              </w:rPr>
            </w:pPr>
            <w:r>
              <w:rPr>
                <w:rFonts w:ascii="Arial" w:cs="Arial" w:eastAsia="Arial" w:hAnsi="Arial"/>
                <w:sz w:val="17"/>
                <w:szCs w:val="17"/>
                <w:color w:val="auto"/>
              </w:rPr>
              <w:t>Net loss</w:t>
            </w:r>
          </w:p>
        </w:tc>
        <w:tc>
          <w:tcPr>
            <w:tcW w:w="4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13"/>
              <w:spacing w:after="0"/>
              <w:rPr>
                <w:sz w:val="20"/>
                <w:szCs w:val="20"/>
                <w:color w:val="auto"/>
              </w:rPr>
            </w:pPr>
            <w:r>
              <w:rPr>
                <w:rFonts w:ascii="Arial" w:cs="Arial" w:eastAsia="Arial" w:hAnsi="Arial"/>
                <w:sz w:val="17"/>
                <w:szCs w:val="17"/>
                <w:color w:val="auto"/>
              </w:rPr>
              <w:t>(5,742)</w:t>
            </w: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(1,912)</w:t>
            </w:r>
          </w:p>
        </w:tc>
      </w:tr>
      <w:tr>
        <w:trPr>
          <w:trHeight w:val="353"/>
        </w:trPr>
        <w:tc>
          <w:tcPr>
            <w:tcW w:w="4300" w:type="dxa"/>
            <w:vAlign w:val="bottom"/>
            <w:tcBorders>
              <w:top w:val="single" w:sz="8" w:color="auto"/>
            </w:tcBorders>
          </w:tcPr>
          <w:p>
            <w:pPr>
              <w:spacing w:after="0"/>
              <w:rPr>
                <w:sz w:val="24"/>
                <w:szCs w:val="24"/>
                <w:color w:val="auto"/>
              </w:rPr>
            </w:pPr>
          </w:p>
        </w:tc>
        <w:tc>
          <w:tcPr>
            <w:tcW w:w="4500" w:type="dxa"/>
            <w:vAlign w:val="bottom"/>
            <w:tcBorders>
              <w:top w:val="single" w:sz="8" w:color="auto"/>
            </w:tcBorders>
          </w:tcPr>
          <w:p>
            <w:pPr>
              <w:jc w:val="right"/>
              <w:ind w:right="3173"/>
              <w:spacing w:after="0"/>
              <w:rPr>
                <w:sz w:val="20"/>
                <w:szCs w:val="20"/>
                <w:color w:val="auto"/>
              </w:rPr>
            </w:pPr>
            <w:r>
              <w:rPr>
                <w:rFonts w:ascii="Arial" w:cs="Arial" w:eastAsia="Arial" w:hAnsi="Arial"/>
                <w:sz w:val="17"/>
                <w:szCs w:val="17"/>
                <w:color w:val="auto"/>
              </w:rPr>
              <w:t>75</w:t>
            </w: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1"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Research and development expenses were $4.1 million for the three months ended March 31, 2019 as compared to $1.3 million for the three months ended March 31, 2018, an increase of $2.8 million. The table below summarizes our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Three months ended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5761990</wp:posOffset>
            </wp:positionH>
            <wp:positionV relativeFrom="paragraph">
              <wp:posOffset>635</wp:posOffset>
            </wp:positionV>
            <wp:extent cx="12871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8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2019</w:t>
            </w: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2018</w:t>
            </w:r>
          </w:p>
        </w:tc>
      </w:tr>
      <w:tr>
        <w:trPr>
          <w:trHeight w:val="193"/>
        </w:trPr>
        <w:tc>
          <w:tcPr>
            <w:tcW w:w="8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STK-001</w:t>
            </w:r>
          </w:p>
        </w:tc>
        <w:tc>
          <w:tcPr>
            <w:tcW w:w="20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53"/>
              <w:spacing w:after="0" w:line="194" w:lineRule="exact"/>
              <w:rPr>
                <w:sz w:val="20"/>
                <w:szCs w:val="20"/>
                <w:color w:val="auto"/>
              </w:rPr>
            </w:pPr>
            <w:r>
              <w:rPr>
                <w:rFonts w:ascii="Arial" w:cs="Arial" w:eastAsia="Arial" w:hAnsi="Arial"/>
                <w:sz w:val="17"/>
                <w:szCs w:val="17"/>
                <w:color w:val="auto"/>
              </w:rPr>
              <w:t>1,417</w:t>
            </w:r>
          </w:p>
        </w:tc>
        <w:tc>
          <w:tcPr>
            <w:tcW w:w="46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92</w:t>
            </w:r>
          </w:p>
        </w:tc>
      </w:tr>
      <w:tr>
        <w:trPr>
          <w:trHeight w:val="200"/>
        </w:trPr>
        <w:tc>
          <w:tcPr>
            <w:tcW w:w="8800" w:type="dxa"/>
            <w:vAlign w:val="bottom"/>
          </w:tcPr>
          <w:p>
            <w:pPr>
              <w:spacing w:after="0"/>
              <w:rPr>
                <w:sz w:val="20"/>
                <w:szCs w:val="20"/>
                <w:color w:val="auto"/>
              </w:rPr>
            </w:pPr>
            <w:r>
              <w:rPr>
                <w:rFonts w:ascii="Arial" w:cs="Arial" w:eastAsia="Arial" w:hAnsi="Arial"/>
                <w:sz w:val="17"/>
                <w:szCs w:val="17"/>
                <w:color w:val="auto"/>
              </w:rPr>
              <w:t>Personnel-related expenses</w:t>
            </w:r>
          </w:p>
        </w:tc>
        <w:tc>
          <w:tcPr>
            <w:tcW w:w="200" w:type="dxa"/>
            <w:vAlign w:val="bottom"/>
          </w:tcPr>
          <w:p>
            <w:pPr>
              <w:spacing w:after="0"/>
              <w:rPr>
                <w:sz w:val="17"/>
                <w:szCs w:val="17"/>
                <w:color w:val="auto"/>
              </w:rPr>
            </w:pPr>
          </w:p>
        </w:tc>
        <w:tc>
          <w:tcPr>
            <w:tcW w:w="800" w:type="dxa"/>
            <w:vAlign w:val="bottom"/>
          </w:tcPr>
          <w:p>
            <w:pPr>
              <w:jc w:val="right"/>
              <w:ind w:right="153"/>
              <w:spacing w:after="0"/>
              <w:rPr>
                <w:sz w:val="20"/>
                <w:szCs w:val="20"/>
                <w:color w:val="auto"/>
              </w:rPr>
            </w:pPr>
            <w:r>
              <w:rPr>
                <w:rFonts w:ascii="Arial" w:cs="Arial" w:eastAsia="Arial" w:hAnsi="Arial"/>
                <w:sz w:val="17"/>
                <w:szCs w:val="17"/>
                <w:color w:val="auto"/>
              </w:rPr>
              <w:t>1,527</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706</w:t>
            </w:r>
          </w:p>
        </w:tc>
        <w:tc>
          <w:tcPr>
            <w:tcW w:w="60" w:type="dxa"/>
            <w:vAlign w:val="bottom"/>
          </w:tcPr>
          <w:p>
            <w:pPr>
              <w:spacing w:after="0"/>
              <w:rPr>
                <w:sz w:val="17"/>
                <w:szCs w:val="17"/>
                <w:color w:val="auto"/>
              </w:rPr>
            </w:pPr>
          </w:p>
        </w:tc>
      </w:tr>
      <w:tr>
        <w:trPr>
          <w:trHeight w:val="200"/>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Third-party services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345</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60" w:type="dxa"/>
            <w:vAlign w:val="bottom"/>
            <w:shd w:val="clear" w:color="auto" w:fill="CCEEFF"/>
          </w:tcPr>
          <w:p>
            <w:pPr>
              <w:spacing w:after="0"/>
              <w:rPr>
                <w:sz w:val="17"/>
                <w:szCs w:val="17"/>
                <w:color w:val="auto"/>
              </w:rPr>
            </w:pPr>
          </w:p>
        </w:tc>
      </w:tr>
      <w:tr>
        <w:trPr>
          <w:trHeight w:val="200"/>
        </w:trPr>
        <w:tc>
          <w:tcPr>
            <w:tcW w:w="8800" w:type="dxa"/>
            <w:vAlign w:val="bottom"/>
          </w:tcPr>
          <w:p>
            <w:pPr>
              <w:spacing w:after="0"/>
              <w:rPr>
                <w:sz w:val="20"/>
                <w:szCs w:val="20"/>
                <w:color w:val="auto"/>
              </w:rPr>
            </w:pPr>
            <w:r>
              <w:rPr>
                <w:rFonts w:ascii="Arial" w:cs="Arial" w:eastAsia="Arial" w:hAnsi="Arial"/>
                <w:sz w:val="17"/>
                <w:szCs w:val="17"/>
                <w:color w:val="auto"/>
              </w:rPr>
              <w:t>Scientific consulting</w:t>
            </w:r>
          </w:p>
        </w:tc>
        <w:tc>
          <w:tcPr>
            <w:tcW w:w="200" w:type="dxa"/>
            <w:vAlign w:val="bottom"/>
          </w:tcPr>
          <w:p>
            <w:pPr>
              <w:spacing w:after="0"/>
              <w:rPr>
                <w:sz w:val="17"/>
                <w:szCs w:val="17"/>
                <w:color w:val="auto"/>
              </w:rPr>
            </w:pPr>
          </w:p>
        </w:tc>
        <w:tc>
          <w:tcPr>
            <w:tcW w:w="800" w:type="dxa"/>
            <w:vAlign w:val="bottom"/>
          </w:tcPr>
          <w:p>
            <w:pPr>
              <w:jc w:val="right"/>
              <w:ind w:right="153"/>
              <w:spacing w:after="0"/>
              <w:rPr>
                <w:sz w:val="20"/>
                <w:szCs w:val="20"/>
                <w:color w:val="auto"/>
              </w:rPr>
            </w:pPr>
            <w:r>
              <w:rPr>
                <w:rFonts w:ascii="Arial" w:cs="Arial" w:eastAsia="Arial" w:hAnsi="Arial"/>
                <w:sz w:val="17"/>
                <w:szCs w:val="17"/>
                <w:color w:val="auto"/>
              </w:rPr>
              <w:t>44</w:t>
            </w:r>
          </w:p>
        </w:tc>
        <w:tc>
          <w:tcPr>
            <w:tcW w:w="4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r>
      <w:tr>
        <w:trPr>
          <w:trHeight w:val="200"/>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Facilities and other research and development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800</w:t>
            </w:r>
          </w:p>
        </w:tc>
        <w:tc>
          <w:tcPr>
            <w:tcW w:w="4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60" w:type="dxa"/>
            <w:vAlign w:val="bottom"/>
            <w:shd w:val="clear" w:color="auto" w:fill="CCEEFF"/>
          </w:tcPr>
          <w:p>
            <w:pPr>
              <w:spacing w:after="0"/>
              <w:rPr>
                <w:sz w:val="17"/>
                <w:szCs w:val="17"/>
                <w:color w:val="auto"/>
              </w:rPr>
            </w:pPr>
          </w:p>
        </w:tc>
      </w:tr>
      <w:tr>
        <w:trPr>
          <w:trHeight w:val="219"/>
        </w:trPr>
        <w:tc>
          <w:tcPr>
            <w:tcW w:w="88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4,133</w:t>
            </w: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w:t>
            </w:r>
          </w:p>
        </w:tc>
        <w:tc>
          <w:tcPr>
            <w:tcW w:w="60" w:type="dxa"/>
            <w:vAlign w:val="bottom"/>
          </w:tcPr>
          <w:p>
            <w:pPr>
              <w:spacing w:after="0"/>
              <w:rPr>
                <w:sz w:val="19"/>
                <w:szCs w:val="19"/>
                <w:color w:val="auto"/>
              </w:rPr>
            </w:pPr>
          </w:p>
        </w:tc>
      </w:tr>
    </w:tbl>
    <w:p>
      <w:pPr>
        <w:spacing w:after="0" w:line="110" w:lineRule="exact"/>
        <w:rPr>
          <w:sz w:val="20"/>
          <w:szCs w:val="20"/>
          <w:color w:val="auto"/>
        </w:rPr>
      </w:pPr>
    </w:p>
    <w:p>
      <w:pPr>
        <w:ind w:left="280" w:right="340"/>
        <w:spacing w:after="0" w:line="249" w:lineRule="auto"/>
        <w:rPr>
          <w:sz w:val="20"/>
          <w:szCs w:val="20"/>
          <w:color w:val="auto"/>
        </w:rPr>
      </w:pPr>
      <w:r>
        <w:rPr>
          <w:rFonts w:ascii="Arial" w:cs="Arial" w:eastAsia="Arial" w:hAnsi="Arial"/>
          <w:sz w:val="17"/>
          <w:szCs w:val="17"/>
          <w:color w:val="auto"/>
        </w:rPr>
        <w:t>The increase in research and development expenses were primarily attributable to an increase of $1.3 million on our STK-001 program, comprised of third-party services and scientific consulting fees, an increase of $0.8 million in personnel costs resulting from an increase in headcount, an increase of $0.2 million in consulting, third-party services, materials and other costs as we advance our discovery and preclinical activities, and an increase of $0.5 million in facilities and other costs resulting from the growth in our research and development personnel.</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31" w:lineRule="exact"/>
        <w:rPr>
          <w:sz w:val="20"/>
          <w:szCs w:val="20"/>
          <w:color w:val="auto"/>
        </w:rPr>
      </w:pPr>
    </w:p>
    <w:p>
      <w:pPr>
        <w:ind w:left="280" w:right="140"/>
        <w:spacing w:after="0" w:line="262" w:lineRule="auto"/>
        <w:rPr>
          <w:sz w:val="20"/>
          <w:szCs w:val="20"/>
          <w:color w:val="auto"/>
        </w:rPr>
      </w:pPr>
      <w:r>
        <w:rPr>
          <w:rFonts w:ascii="Arial" w:cs="Arial" w:eastAsia="Arial" w:hAnsi="Arial"/>
          <w:sz w:val="17"/>
          <w:szCs w:val="17"/>
          <w:color w:val="auto"/>
        </w:rPr>
        <w:t>General and administrative expenses were $2.2 million for the three months ended March 31, 2019 as compared to $0.7 million for the three months ended March 31, 2018, an increase of $1.5 million.</w:t>
      </w:r>
    </w:p>
    <w:p>
      <w:pPr>
        <w:spacing w:after="0" w:line="80" w:lineRule="exact"/>
        <w:rPr>
          <w:sz w:val="20"/>
          <w:szCs w:val="20"/>
          <w:color w:val="auto"/>
        </w:rPr>
      </w:pPr>
    </w:p>
    <w:p>
      <w:pPr>
        <w:ind w:left="280" w:right="140"/>
        <w:spacing w:after="0" w:line="249" w:lineRule="auto"/>
        <w:rPr>
          <w:sz w:val="20"/>
          <w:szCs w:val="20"/>
          <w:color w:val="auto"/>
        </w:rPr>
      </w:pPr>
      <w:r>
        <w:rPr>
          <w:rFonts w:ascii="Arial" w:cs="Arial" w:eastAsia="Arial" w:hAnsi="Arial"/>
          <w:sz w:val="17"/>
          <w:szCs w:val="17"/>
          <w:color w:val="auto"/>
        </w:rPr>
        <w:t>The increase in general and administrative expenses were primarily attributable to an increase of $0.3 million in personnel costs resulting from an increase in headcount, an increase of $0.6 million in third-party services to support our in-house personnel in various aspects of developing and supporting the business including human resources, information technology, audit, tax, public relations, communications and other general and administrative activities, an increase of $0.3 million related to cost of maintaining and filing of our intellectual property and an increase of $0.3 million in facilities and other costs resulting from the growth in our general and administrative personnel.</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31" w:lineRule="exact"/>
        <w:rPr>
          <w:sz w:val="20"/>
          <w:szCs w:val="20"/>
          <w:color w:val="auto"/>
        </w:rPr>
      </w:pPr>
    </w:p>
    <w:p>
      <w:pPr>
        <w:ind w:left="280" w:right="300"/>
        <w:spacing w:after="0" w:line="262" w:lineRule="auto"/>
        <w:rPr>
          <w:sz w:val="20"/>
          <w:szCs w:val="20"/>
          <w:color w:val="auto"/>
        </w:rPr>
      </w:pPr>
      <w:r>
        <w:rPr>
          <w:rFonts w:ascii="Arial" w:cs="Arial" w:eastAsia="Arial" w:hAnsi="Arial"/>
          <w:sz w:val="17"/>
          <w:szCs w:val="17"/>
          <w:color w:val="auto"/>
        </w:rPr>
        <w:t>The change in our other income (expense) for the three months ended March 31, 2019 as compared to the three months ended March 31, 2018 principally reflects returns on higher levels of cash reserves.</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160"/>
          </w:cols>
          <w:pgMar w:left="240" w:top="455"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Results of operations for the years ended December 31, 2018 and 2017</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Year ended</w:t>
      </w:r>
    </w:p>
    <w:p>
      <w:pPr>
        <w:spacing w:after="0" w:line="27"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5914390</wp:posOffset>
            </wp:positionH>
            <wp:positionV relativeFrom="paragraph">
              <wp:posOffset>635</wp:posOffset>
            </wp:positionV>
            <wp:extent cx="11010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61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2017</w:t>
            </w:r>
          </w:p>
        </w:tc>
      </w:tr>
      <w:tr>
        <w:trPr>
          <w:trHeight w:val="224"/>
        </w:trPr>
        <w:tc>
          <w:tcPr>
            <w:tcW w:w="61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(in thousands)</w:t>
            </w:r>
          </w:p>
        </w:tc>
      </w:tr>
      <w:tr>
        <w:trPr>
          <w:trHeight w:val="36"/>
        </w:trPr>
        <w:tc>
          <w:tcPr>
            <w:tcW w:w="6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0"/>
        </w:trPr>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6140" w:type="dxa"/>
            <w:vAlign w:val="bottom"/>
          </w:tcPr>
          <w:p>
            <w:pPr>
              <w:spacing w:after="0"/>
              <w:rPr>
                <w:sz w:val="20"/>
                <w:szCs w:val="20"/>
                <w:color w:val="auto"/>
              </w:rPr>
            </w:pPr>
            <w:r>
              <w:rPr>
                <w:rFonts w:ascii="Arial" w:cs="Arial" w:eastAsia="Arial" w:hAnsi="Arial"/>
                <w:sz w:val="17"/>
                <w:szCs w:val="17"/>
                <w:color w:val="auto"/>
              </w:rPr>
              <w:t>Revenue</w:t>
            </w:r>
          </w:p>
        </w:tc>
        <w:tc>
          <w:tcPr>
            <w:tcW w:w="3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73"/>
        </w:trPr>
        <w:tc>
          <w:tcPr>
            <w:tcW w:w="61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0"/>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614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3"/>
              <w:spacing w:after="0"/>
              <w:rPr>
                <w:sz w:val="20"/>
                <w:szCs w:val="20"/>
                <w:color w:val="auto"/>
              </w:rPr>
            </w:pPr>
            <w:r>
              <w:rPr>
                <w:rFonts w:ascii="Arial" w:cs="Arial" w:eastAsia="Arial" w:hAnsi="Arial"/>
                <w:sz w:val="17"/>
                <w:szCs w:val="17"/>
                <w:color w:val="auto"/>
              </w:rPr>
              <w:t>8,371</w:t>
            </w: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3,598</w:t>
            </w:r>
          </w:p>
        </w:tc>
        <w:tc>
          <w:tcPr>
            <w:tcW w:w="120" w:type="dxa"/>
            <w:vAlign w:val="bottom"/>
          </w:tcPr>
          <w:p>
            <w:pPr>
              <w:spacing w:after="0"/>
              <w:rPr>
                <w:sz w:val="17"/>
                <w:szCs w:val="17"/>
                <w:color w:val="auto"/>
              </w:rPr>
            </w:pPr>
          </w:p>
        </w:tc>
      </w:tr>
      <w:tr>
        <w:trPr>
          <w:trHeight w:val="200"/>
        </w:trPr>
        <w:tc>
          <w:tcPr>
            <w:tcW w:w="6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and administrative</w:t>
            </w:r>
          </w:p>
        </w:tc>
        <w:tc>
          <w:tcPr>
            <w:tcW w:w="29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4,410</w:t>
            </w: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120" w:type="dxa"/>
            <w:vAlign w:val="bottom"/>
            <w:shd w:val="clear" w:color="auto" w:fill="CCEEFF"/>
          </w:tcPr>
          <w:p>
            <w:pPr>
              <w:spacing w:after="0"/>
              <w:rPr>
                <w:sz w:val="17"/>
                <w:szCs w:val="17"/>
                <w:color w:val="auto"/>
              </w:rPr>
            </w:pPr>
          </w:p>
        </w:tc>
      </w:tr>
      <w:tr>
        <w:trPr>
          <w:trHeight w:val="213"/>
        </w:trPr>
        <w:tc>
          <w:tcPr>
            <w:tcW w:w="6140" w:type="dxa"/>
            <w:vAlign w:val="bottom"/>
          </w:tcPr>
          <w:p>
            <w:pPr>
              <w:ind w:left="420"/>
              <w:spacing w:after="0"/>
              <w:rPr>
                <w:sz w:val="20"/>
                <w:szCs w:val="20"/>
                <w:color w:val="auto"/>
              </w:rPr>
            </w:pPr>
            <w:r>
              <w:rPr>
                <w:rFonts w:ascii="Arial" w:cs="Arial" w:eastAsia="Arial" w:hAnsi="Arial"/>
                <w:sz w:val="17"/>
                <w:szCs w:val="17"/>
                <w:color w:val="auto"/>
              </w:rPr>
              <w:t>Total operating expenses</w:t>
            </w:r>
          </w:p>
        </w:tc>
        <w:tc>
          <w:tcPr>
            <w:tcW w:w="2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12,781</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5,554</w:t>
            </w:r>
          </w:p>
        </w:tc>
        <w:tc>
          <w:tcPr>
            <w:tcW w:w="120" w:type="dxa"/>
            <w:vAlign w:val="bottom"/>
          </w:tcPr>
          <w:p>
            <w:pPr>
              <w:spacing w:after="0"/>
              <w:rPr>
                <w:sz w:val="18"/>
                <w:szCs w:val="18"/>
                <w:color w:val="auto"/>
              </w:rPr>
            </w:pPr>
          </w:p>
        </w:tc>
      </w:tr>
      <w:tr>
        <w:trPr>
          <w:trHeight w:val="200"/>
        </w:trPr>
        <w:tc>
          <w:tcPr>
            <w:tcW w:w="6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from operations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(12,781)</w:t>
            </w: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(5,554)</w:t>
            </w:r>
          </w:p>
        </w:tc>
      </w:tr>
      <w:tr>
        <w:trPr>
          <w:trHeight w:val="267"/>
        </w:trPr>
        <w:tc>
          <w:tcPr>
            <w:tcW w:w="6140" w:type="dxa"/>
            <w:vAlign w:val="bottom"/>
          </w:tcPr>
          <w:p>
            <w:pPr>
              <w:spacing w:after="0"/>
              <w:rPr>
                <w:sz w:val="20"/>
                <w:szCs w:val="20"/>
                <w:color w:val="auto"/>
              </w:rPr>
            </w:pPr>
            <w:r>
              <w:rPr>
                <w:rFonts w:ascii="Arial" w:cs="Arial" w:eastAsia="Arial" w:hAnsi="Arial"/>
                <w:sz w:val="17"/>
                <w:szCs w:val="17"/>
                <w:color w:val="auto"/>
              </w:rPr>
              <w:t>Other income (expense):</w:t>
            </w:r>
          </w:p>
        </w:tc>
        <w:tc>
          <w:tcPr>
            <w:tcW w:w="2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6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270</w:t>
            </w: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6140" w:type="dxa"/>
            <w:vAlign w:val="bottom"/>
          </w:tcPr>
          <w:p>
            <w:pPr>
              <w:ind w:left="200"/>
              <w:spacing w:after="0"/>
              <w:rPr>
                <w:sz w:val="20"/>
                <w:szCs w:val="20"/>
                <w:color w:val="auto"/>
              </w:rPr>
            </w:pPr>
            <w:r>
              <w:rPr>
                <w:rFonts w:ascii="Arial" w:cs="Arial" w:eastAsia="Arial" w:hAnsi="Arial"/>
                <w:sz w:val="17"/>
                <w:szCs w:val="17"/>
                <w:color w:val="auto"/>
              </w:rPr>
              <w:t>Other expense, net</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93"/>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r>
      <w:tr>
        <w:trPr>
          <w:trHeight w:val="27"/>
        </w:trPr>
        <w:tc>
          <w:tcPr>
            <w:tcW w:w="61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Total other income (expense)</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260</w:t>
            </w: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r>
      <w:tr>
        <w:trPr>
          <w:trHeight w:val="20"/>
        </w:trPr>
        <w:tc>
          <w:tcPr>
            <w:tcW w:w="6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6140" w:type="dxa"/>
            <w:vAlign w:val="bottom"/>
          </w:tcPr>
          <w:p>
            <w:pPr>
              <w:spacing w:after="0"/>
              <w:rPr>
                <w:sz w:val="20"/>
                <w:szCs w:val="20"/>
                <w:color w:val="auto"/>
              </w:rPr>
            </w:pPr>
            <w:r>
              <w:rPr>
                <w:rFonts w:ascii="Arial" w:cs="Arial" w:eastAsia="Arial" w:hAnsi="Arial"/>
                <w:sz w:val="17"/>
                <w:szCs w:val="17"/>
                <w:color w:val="auto"/>
              </w:rPr>
              <w:t>Net loss</w:t>
            </w:r>
          </w:p>
        </w:tc>
        <w:tc>
          <w:tcPr>
            <w:tcW w:w="3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3"/>
              <w:spacing w:after="0"/>
              <w:rPr>
                <w:sz w:val="20"/>
                <w:szCs w:val="20"/>
                <w:color w:val="auto"/>
              </w:rPr>
            </w:pPr>
            <w:r>
              <w:rPr>
                <w:rFonts w:ascii="Arial" w:cs="Arial" w:eastAsia="Arial" w:hAnsi="Arial"/>
                <w:sz w:val="17"/>
                <w:szCs w:val="17"/>
                <w:color w:val="auto"/>
              </w:rPr>
              <w:t>(12,521)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(5,558)</w:t>
            </w:r>
          </w:p>
        </w:tc>
      </w:tr>
      <w:tr>
        <w:trPr>
          <w:trHeight w:val="20"/>
        </w:trPr>
        <w:tc>
          <w:tcPr>
            <w:tcW w:w="614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1" w:lineRule="exact"/>
        <w:rPr>
          <w:sz w:val="20"/>
          <w:szCs w:val="20"/>
          <w:color w:val="auto"/>
        </w:rPr>
      </w:pPr>
    </w:p>
    <w:p>
      <w:pPr>
        <w:ind w:left="280" w:right="500"/>
        <w:spacing w:after="0" w:line="262" w:lineRule="auto"/>
        <w:rPr>
          <w:sz w:val="20"/>
          <w:szCs w:val="20"/>
          <w:color w:val="auto"/>
        </w:rPr>
      </w:pPr>
      <w:r>
        <w:rPr>
          <w:rFonts w:ascii="Arial" w:cs="Arial" w:eastAsia="Arial" w:hAnsi="Arial"/>
          <w:sz w:val="17"/>
          <w:szCs w:val="17"/>
          <w:color w:val="auto"/>
        </w:rPr>
        <w:t>Research and development expenses were $8.4 million for the year ended December 31, 2018 as compared to $3.6 million for the year ended December 31, 2017, an increase of $4.8 million. The table below summarizes our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Year Ended</w:t>
      </w:r>
    </w:p>
    <w:p>
      <w:pPr>
        <w:spacing w:after="0" w:line="27" w:lineRule="exact"/>
        <w:rPr>
          <w:sz w:val="20"/>
          <w:szCs w:val="20"/>
          <w:color w:val="auto"/>
        </w:rPr>
      </w:pPr>
    </w:p>
    <w:p>
      <w:pPr>
        <w:ind w:left="998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635</wp:posOffset>
            </wp:positionV>
            <wp:extent cx="9315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68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2017</w:t>
            </w:r>
          </w:p>
        </w:tc>
      </w:tr>
      <w:tr>
        <w:trPr>
          <w:trHeight w:val="193"/>
        </w:trPr>
        <w:tc>
          <w:tcPr>
            <w:tcW w:w="6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STK-001</w:t>
            </w:r>
          </w:p>
        </w:tc>
        <w:tc>
          <w:tcPr>
            <w:tcW w:w="3240" w:type="dxa"/>
            <w:vAlign w:val="bottom"/>
            <w:gridSpan w:val="2"/>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$1,960</w:t>
            </w:r>
          </w:p>
        </w:tc>
        <w:tc>
          <w:tcPr>
            <w:tcW w:w="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200"/>
        </w:trPr>
        <w:tc>
          <w:tcPr>
            <w:tcW w:w="6840" w:type="dxa"/>
            <w:vAlign w:val="bottom"/>
          </w:tcPr>
          <w:p>
            <w:pPr>
              <w:spacing w:after="0"/>
              <w:rPr>
                <w:sz w:val="20"/>
                <w:szCs w:val="20"/>
                <w:color w:val="auto"/>
              </w:rPr>
            </w:pPr>
            <w:r>
              <w:rPr>
                <w:rFonts w:ascii="Arial" w:cs="Arial" w:eastAsia="Arial" w:hAnsi="Arial"/>
                <w:sz w:val="17"/>
                <w:szCs w:val="17"/>
                <w:color w:val="auto"/>
              </w:rPr>
              <w:t>Personnel-related expenses</w:t>
            </w:r>
          </w:p>
        </w:tc>
        <w:tc>
          <w:tcPr>
            <w:tcW w:w="3240" w:type="dxa"/>
            <w:vAlign w:val="bottom"/>
            <w:gridSpan w:val="2"/>
          </w:tcPr>
          <w:p>
            <w:pPr>
              <w:jc w:val="right"/>
              <w:ind w:right="93"/>
              <w:spacing w:after="0"/>
              <w:rPr>
                <w:sz w:val="20"/>
                <w:szCs w:val="20"/>
                <w:color w:val="auto"/>
              </w:rPr>
            </w:pPr>
            <w:r>
              <w:rPr>
                <w:rFonts w:ascii="Arial" w:cs="Arial" w:eastAsia="Arial" w:hAnsi="Arial"/>
                <w:sz w:val="17"/>
                <w:szCs w:val="17"/>
                <w:color w:val="auto"/>
              </w:rPr>
              <w:t>3,825</w:t>
            </w: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1,823</w:t>
            </w:r>
          </w:p>
        </w:tc>
        <w:tc>
          <w:tcPr>
            <w:tcW w:w="60" w:type="dxa"/>
            <w:vAlign w:val="bottom"/>
          </w:tcPr>
          <w:p>
            <w:pPr>
              <w:spacing w:after="0"/>
              <w:rPr>
                <w:sz w:val="17"/>
                <w:szCs w:val="17"/>
                <w:color w:val="auto"/>
              </w:rPr>
            </w:pPr>
          </w:p>
        </w:tc>
      </w:tr>
      <w:tr>
        <w:trPr>
          <w:trHeight w:val="200"/>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Third-party services</w:t>
            </w:r>
          </w:p>
        </w:tc>
        <w:tc>
          <w:tcPr>
            <w:tcW w:w="32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1,680</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1,199</w:t>
            </w:r>
          </w:p>
        </w:tc>
        <w:tc>
          <w:tcPr>
            <w:tcW w:w="60" w:type="dxa"/>
            <w:vAlign w:val="bottom"/>
            <w:shd w:val="clear" w:color="auto" w:fill="CCEEFF"/>
          </w:tcPr>
          <w:p>
            <w:pPr>
              <w:spacing w:after="0"/>
              <w:rPr>
                <w:sz w:val="17"/>
                <w:szCs w:val="17"/>
                <w:color w:val="auto"/>
              </w:rPr>
            </w:pPr>
          </w:p>
        </w:tc>
      </w:tr>
      <w:tr>
        <w:trPr>
          <w:trHeight w:val="200"/>
        </w:trPr>
        <w:tc>
          <w:tcPr>
            <w:tcW w:w="6840" w:type="dxa"/>
            <w:vAlign w:val="bottom"/>
          </w:tcPr>
          <w:p>
            <w:pPr>
              <w:spacing w:after="0"/>
              <w:rPr>
                <w:sz w:val="20"/>
                <w:szCs w:val="20"/>
                <w:color w:val="auto"/>
              </w:rPr>
            </w:pPr>
            <w:r>
              <w:rPr>
                <w:rFonts w:ascii="Arial" w:cs="Arial" w:eastAsia="Arial" w:hAnsi="Arial"/>
                <w:sz w:val="17"/>
                <w:szCs w:val="17"/>
                <w:color w:val="auto"/>
              </w:rPr>
              <w:t>Scientific consulting</w:t>
            </w:r>
          </w:p>
        </w:tc>
        <w:tc>
          <w:tcPr>
            <w:tcW w:w="3240" w:type="dxa"/>
            <w:vAlign w:val="bottom"/>
            <w:gridSpan w:val="2"/>
          </w:tcPr>
          <w:p>
            <w:pPr>
              <w:jc w:val="right"/>
              <w:ind w:right="93"/>
              <w:spacing w:after="0"/>
              <w:rPr>
                <w:sz w:val="20"/>
                <w:szCs w:val="20"/>
                <w:color w:val="auto"/>
              </w:rPr>
            </w:pPr>
            <w:r>
              <w:rPr>
                <w:rFonts w:ascii="Arial" w:cs="Arial" w:eastAsia="Arial" w:hAnsi="Arial"/>
                <w:sz w:val="17"/>
                <w:szCs w:val="17"/>
                <w:color w:val="auto"/>
              </w:rPr>
              <w:t>161</w:t>
            </w: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160</w:t>
            </w:r>
          </w:p>
        </w:tc>
        <w:tc>
          <w:tcPr>
            <w:tcW w:w="60" w:type="dxa"/>
            <w:vAlign w:val="bottom"/>
          </w:tcPr>
          <w:p>
            <w:pPr>
              <w:spacing w:after="0"/>
              <w:rPr>
                <w:sz w:val="17"/>
                <w:szCs w:val="17"/>
                <w:color w:val="auto"/>
              </w:rPr>
            </w:pPr>
          </w:p>
        </w:tc>
      </w:tr>
      <w:tr>
        <w:trPr>
          <w:trHeight w:val="200"/>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Facilities and other research and development expenses</w:t>
            </w:r>
          </w:p>
        </w:tc>
        <w:tc>
          <w:tcPr>
            <w:tcW w:w="25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745</w:t>
            </w:r>
          </w:p>
        </w:tc>
        <w:tc>
          <w:tcPr>
            <w:tcW w:w="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60" w:type="dxa"/>
            <w:vAlign w:val="bottom"/>
            <w:shd w:val="clear" w:color="auto" w:fill="CCEEFF"/>
          </w:tcPr>
          <w:p>
            <w:pPr>
              <w:spacing w:after="0"/>
              <w:rPr>
                <w:sz w:val="17"/>
                <w:szCs w:val="17"/>
                <w:color w:val="auto"/>
              </w:rPr>
            </w:pPr>
          </w:p>
        </w:tc>
      </w:tr>
      <w:tr>
        <w:trPr>
          <w:trHeight w:val="219"/>
        </w:trPr>
        <w:tc>
          <w:tcPr>
            <w:tcW w:w="68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 research and development expenses</w:t>
            </w:r>
          </w:p>
        </w:tc>
        <w:tc>
          <w:tcPr>
            <w:tcW w:w="32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color w:val="auto"/>
              </w:rPr>
              <w:t>$8,371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3,598</w:t>
            </w:r>
          </w:p>
        </w:tc>
        <w:tc>
          <w:tcPr>
            <w:tcW w:w="60" w:type="dxa"/>
            <w:vAlign w:val="bottom"/>
          </w:tcPr>
          <w:p>
            <w:pPr>
              <w:spacing w:after="0"/>
              <w:rPr>
                <w:sz w:val="19"/>
                <w:szCs w:val="19"/>
                <w:color w:val="auto"/>
              </w:rPr>
            </w:pPr>
          </w:p>
        </w:tc>
      </w:tr>
    </w:tbl>
    <w:p>
      <w:pPr>
        <w:spacing w:after="0" w:line="110"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The increases in research and development expenses were primarily attributable to an increase of $2.0 million on our STK-001 program, comprised of third-party services and scientific consulting fees, an increase of $2.0 million in personnel costs resulting from an increase in headcount, an increase of $0.5 million in third-party services, materials and other costs as we advance our discovery and preclinical activities, and an increase of $0.3 million in facilities and other costs resulting from the growth in our research and development personnel.</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31" w:lineRule="exact"/>
        <w:rPr>
          <w:sz w:val="20"/>
          <w:szCs w:val="20"/>
          <w:color w:val="auto"/>
        </w:rPr>
      </w:pPr>
    </w:p>
    <w:p>
      <w:pPr>
        <w:ind w:left="280" w:right="20"/>
        <w:spacing w:after="0" w:line="262" w:lineRule="auto"/>
        <w:rPr>
          <w:sz w:val="20"/>
          <w:szCs w:val="20"/>
          <w:color w:val="auto"/>
        </w:rPr>
      </w:pPr>
      <w:r>
        <w:rPr>
          <w:rFonts w:ascii="Arial" w:cs="Arial" w:eastAsia="Arial" w:hAnsi="Arial"/>
          <w:sz w:val="17"/>
          <w:szCs w:val="17"/>
          <w:color w:val="auto"/>
        </w:rPr>
        <w:t>General and administrative expenses were $4.4 million for the year ended December 31, 2018 as compared to $2.0 million for the year ended December 31, 2017, an increase of $2.4 million.</w:t>
      </w: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160"/>
          </w:cols>
          <w:pgMar w:left="240" w:top="455"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40"/>
        <w:spacing w:after="0" w:line="249" w:lineRule="auto"/>
        <w:rPr>
          <w:sz w:val="20"/>
          <w:szCs w:val="20"/>
          <w:color w:val="auto"/>
        </w:rPr>
      </w:pPr>
      <w:r>
        <w:rPr>
          <w:rFonts w:ascii="Arial" w:cs="Arial" w:eastAsia="Arial" w:hAnsi="Arial"/>
          <w:sz w:val="17"/>
          <w:szCs w:val="17"/>
          <w:color w:val="auto"/>
        </w:rPr>
        <w:t>The increases in general and administrative expenses were primarily attributable to an increase of $0.8 million in personnel costs resulting from an increase in headcount, an increase of $0.5 million in third-party services to support our in-house personnel in various aspects of developing and supporting the business including human resources, information technology, audit, tax, public relations, communications and other general and administrative activities, an increase of $0.7 million related to cost of maintaining and filing of our intellectual property and an increase of $0.4 million in facilities and other costs resulting from the growth in our general and administrative personnel.</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31"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The change in our other income (expense) the year ended December 31, 2018 as compared to the year ended December 31, 2017 principally reflects returns on higher levels of cash reserves.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Liquidity and capital resources</w:t>
      </w:r>
    </w:p>
    <w:p>
      <w:pPr>
        <w:spacing w:after="0" w:line="141" w:lineRule="exact"/>
        <w:rPr>
          <w:sz w:val="20"/>
          <w:szCs w:val="20"/>
          <w:color w:val="auto"/>
        </w:rPr>
      </w:pPr>
    </w:p>
    <w:p>
      <w:pPr>
        <w:ind w:left="280" w:right="220"/>
        <w:spacing w:after="0" w:line="251" w:lineRule="auto"/>
        <w:rPr>
          <w:sz w:val="20"/>
          <w:szCs w:val="20"/>
          <w:color w:val="auto"/>
        </w:rPr>
      </w:pPr>
      <w:r>
        <w:rPr>
          <w:rFonts w:ascii="Arial" w:cs="Arial" w:eastAsia="Arial" w:hAnsi="Arial"/>
          <w:sz w:val="17"/>
          <w:szCs w:val="17"/>
          <w:color w:val="auto"/>
        </w:rPr>
        <w:t>Since our inception through March 31, 2019, our operations have been financed by net proceeds of $131.0 million primarily from the sale of convertible notes and our convertible preferred stock. As of March 31, 2019, we had $98.9 million in cash, cash equivalents and restricted cash. Cash in excess of immediate requirements is invested in accordance with our investment policy, primarily with a view to liquidity and capital preservation.</w:t>
      </w:r>
    </w:p>
    <w:p>
      <w:pPr>
        <w:spacing w:after="0" w:line="89"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We have incurred losses since our inception in June 2014 and, as of March 31, 2019, we had an accumulated deficit of $31.5 million.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89"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Our product candidates may never achieve commercialization and we anticipate that we will continue to incur losses for the foreseeable future. We expect that our research and development expenses, general and administrative expenses, and capital expenditures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third-party clinical research and development services, costs relating to the build-out of our headquarters and manufacturing facility, license payments or milestone obligations that may arise, laboratory and related supplies, clinical costs, manufacturing costs, legal and other regulatory expenses and general overhead costs.</w:t>
      </w:r>
    </w:p>
    <w:p>
      <w:pPr>
        <w:spacing w:after="0" w:line="97"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Based upon our current operating plan, we believe that the net proceeds from this offering, together with our existing cash, cash equivalents and restricted cash as of March 31, 2019 will enable us to fund our operating expenses and capital expenditure requirements through at least the end of 2022.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potentially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stockholders, including investors in this offering, will be diluted, and the terms of these securities may include liquidation or other preferences that adversely affect our stockholders’ rights. If we raise additional capital through debt financing, we may be subject to covenants limiting or</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160"/>
          </w:cols>
          <w:pgMar w:left="240" w:top="455"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80"/>
        <w:spacing w:after="0" w:line="253" w:lineRule="auto"/>
        <w:rPr>
          <w:sz w:val="20"/>
          <w:szCs w:val="20"/>
          <w:color w:val="auto"/>
        </w:rPr>
      </w:pPr>
      <w:r>
        <w:rPr>
          <w:rFonts w:ascii="Arial" w:cs="Arial" w:eastAsia="Arial" w:hAnsi="Arial"/>
          <w:sz w:val="17"/>
          <w:szCs w:val="17"/>
          <w:color w:val="auto"/>
        </w:rPr>
        <w:t>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89" w:lineRule="exact"/>
        <w:rPr>
          <w:sz w:val="20"/>
          <w:szCs w:val="20"/>
          <w:color w:val="auto"/>
        </w:rPr>
      </w:pPr>
    </w:p>
    <w:p>
      <w:pPr>
        <w:ind w:left="280" w:right="140"/>
        <w:spacing w:after="0" w:line="253"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02" w:lineRule="exact"/>
        <w:rPr>
          <w:sz w:val="20"/>
          <w:szCs w:val="20"/>
          <w:color w:val="auto"/>
        </w:rPr>
      </w:pPr>
    </w:p>
    <w:p>
      <w:pPr>
        <w:ind w:left="480" w:right="280" w:hanging="207"/>
        <w:spacing w:after="0" w:line="262" w:lineRule="auto"/>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lead product candidates or any future product candidates, and conducting nonclinical studies and clinical trials;</w:t>
      </w:r>
    </w:p>
    <w:p>
      <w:pPr>
        <w:spacing w:after="0" w:line="93" w:lineRule="exact"/>
        <w:rPr>
          <w:rFonts w:ascii="Arial" w:cs="Arial" w:eastAsia="Arial" w:hAnsi="Arial"/>
          <w:sz w:val="17"/>
          <w:szCs w:val="17"/>
          <w:color w:val="auto"/>
        </w:rPr>
      </w:pPr>
    </w:p>
    <w:p>
      <w:pPr>
        <w:ind w:left="480" w:right="140" w:hanging="207"/>
        <w:spacing w:after="0" w:line="262" w:lineRule="auto"/>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or clearances for our lead product candidates or any future product candidates;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and characteristics of any additional product candidates we develop or acquire;</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of any cash milestone payments if we successfully achieve certain predetermined milestones;</w:t>
      </w:r>
    </w:p>
    <w:p>
      <w:pPr>
        <w:spacing w:after="0" w:line="124" w:lineRule="exact"/>
        <w:rPr>
          <w:rFonts w:ascii="Arial" w:cs="Arial" w:eastAsia="Arial" w:hAnsi="Arial"/>
          <w:sz w:val="17"/>
          <w:szCs w:val="17"/>
          <w:color w:val="auto"/>
        </w:rPr>
      </w:pPr>
    </w:p>
    <w:p>
      <w:pPr>
        <w:ind w:left="480" w:right="180" w:hanging="207"/>
        <w:spacing w:after="0" w:line="262" w:lineRule="auto"/>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 of manufacturing our lead product candidates or any future product candidates and any products we successfully commercialize, including costs associated with building-out our manufacturing capabilities;</w:t>
      </w:r>
    </w:p>
    <w:p>
      <w:pPr>
        <w:spacing w:after="0" w:line="93" w:lineRule="exact"/>
        <w:rPr>
          <w:rFonts w:ascii="Arial" w:cs="Arial" w:eastAsia="Arial" w:hAnsi="Arial"/>
          <w:sz w:val="17"/>
          <w:szCs w:val="17"/>
          <w:color w:val="auto"/>
        </w:rPr>
      </w:pPr>
    </w:p>
    <w:p>
      <w:pPr>
        <w:ind w:left="480" w:right="880" w:hanging="207"/>
        <w:spacing w:after="0" w:line="262" w:lineRule="auto"/>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any such agreements that we may enter into;</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expenses needed to attract and retain skilled personnel;</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associated with being a public company;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receipt and amount of sales of any future approved or cleared products, if any.</w:t>
      </w:r>
    </w:p>
    <w:p>
      <w:pPr>
        <w:spacing w:after="0" w:line="111" w:lineRule="exact"/>
        <w:rPr>
          <w:sz w:val="20"/>
          <w:szCs w:val="20"/>
          <w:color w:val="auto"/>
        </w:rPr>
      </w:pPr>
    </w:p>
    <w:p>
      <w:pPr>
        <w:ind w:left="280" w:right="220"/>
        <w:spacing w:after="0" w:line="249" w:lineRule="auto"/>
        <w:rPr>
          <w:sz w:val="20"/>
          <w:szCs w:val="20"/>
          <w:color w:val="auto"/>
        </w:rPr>
      </w:pPr>
      <w:r>
        <w:rPr>
          <w:rFonts w:ascii="Arial" w:cs="Arial" w:eastAsia="Arial" w:hAnsi="Arial"/>
          <w:sz w:val="17"/>
          <w:szCs w:val="17"/>
          <w:color w:val="auto"/>
        </w:rPr>
        <w:t>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Cash flows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summarizes our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4"/>
          </w:tcPr>
          <w:p>
            <w:pPr>
              <w:jc w:val="right"/>
              <w:ind w:right="240"/>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Year ended</w:t>
            </w:r>
          </w:p>
        </w:tc>
      </w:tr>
      <w:tr>
        <w:trPr>
          <w:trHeight w:val="219"/>
        </w:trPr>
        <w:tc>
          <w:tcPr>
            <w:tcW w:w="6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3"/>
          </w:tcPr>
          <w:p>
            <w:pPr>
              <w:ind w:left="20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December 31,</w:t>
            </w:r>
          </w:p>
        </w:tc>
      </w:tr>
      <w:tr>
        <w:trPr>
          <w:trHeight w:val="20"/>
        </w:trPr>
        <w:tc>
          <w:tcPr>
            <w:tcW w:w="6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6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rPr>
              <w:t>2018</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2018</w:t>
            </w: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2017</w:t>
            </w:r>
          </w:p>
        </w:tc>
      </w:tr>
      <w:tr>
        <w:trPr>
          <w:trHeight w:val="224"/>
        </w:trPr>
        <w:tc>
          <w:tcPr>
            <w:tcW w:w="6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(in thousands)</w:t>
            </w:r>
          </w:p>
        </w:tc>
      </w:tr>
      <w:tr>
        <w:trPr>
          <w:trHeight w:val="49"/>
        </w:trPr>
        <w:tc>
          <w:tcPr>
            <w:tcW w:w="6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6640" w:type="dxa"/>
            <w:vAlign w:val="bottom"/>
          </w:tcPr>
          <w:p>
            <w:pPr>
              <w:ind w:left="200"/>
              <w:spacing w:after="0"/>
              <w:rPr>
                <w:sz w:val="20"/>
                <w:szCs w:val="20"/>
                <w:color w:val="auto"/>
              </w:rPr>
            </w:pPr>
            <w:r>
              <w:rPr>
                <w:rFonts w:ascii="Arial" w:cs="Arial" w:eastAsia="Arial" w:hAnsi="Arial"/>
                <w:sz w:val="17"/>
                <w:szCs w:val="17"/>
                <w:color w:val="auto"/>
              </w:rPr>
              <w:t>Operating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93"/>
              <w:spacing w:after="0"/>
              <w:rPr>
                <w:sz w:val="20"/>
                <w:szCs w:val="20"/>
                <w:color w:val="auto"/>
              </w:rPr>
            </w:pPr>
            <w:r>
              <w:rPr>
                <w:rFonts w:ascii="Arial" w:cs="Arial" w:eastAsia="Arial" w:hAnsi="Arial"/>
                <w:sz w:val="17"/>
                <w:szCs w:val="17"/>
                <w:color w:val="auto"/>
              </w:rPr>
              <w:t>(6,532)</w:t>
            </w:r>
          </w:p>
        </w:tc>
        <w:tc>
          <w:tcPr>
            <w:tcW w:w="380" w:type="dxa"/>
            <w:vAlign w:val="bottom"/>
          </w:tcPr>
          <w:p>
            <w:pPr>
              <w:ind w:lef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(1,989)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 (10,964)</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(5,384)</w:t>
            </w:r>
          </w:p>
        </w:tc>
      </w:tr>
      <w:tr>
        <w:trPr>
          <w:trHeight w:val="200"/>
        </w:trPr>
        <w:tc>
          <w:tcPr>
            <w:tcW w:w="6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Investing activities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(90)</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4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w:t>
            </w:r>
          </w:p>
        </w:tc>
      </w:tr>
      <w:tr>
        <w:trPr>
          <w:trHeight w:val="207"/>
        </w:trPr>
        <w:tc>
          <w:tcPr>
            <w:tcW w:w="6640" w:type="dxa"/>
            <w:vAlign w:val="bottom"/>
          </w:tcPr>
          <w:p>
            <w:pPr>
              <w:ind w:left="200"/>
              <w:spacing w:after="0"/>
              <w:rPr>
                <w:sz w:val="20"/>
                <w:szCs w:val="20"/>
                <w:color w:val="auto"/>
              </w:rPr>
            </w:pPr>
            <w:r>
              <w:rPr>
                <w:rFonts w:ascii="Arial" w:cs="Arial" w:eastAsia="Arial" w:hAnsi="Arial"/>
                <w:sz w:val="17"/>
                <w:szCs w:val="17"/>
                <w:color w:val="auto"/>
              </w:rPr>
              <w:t>Financing activities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(68)</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12,419</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115,639</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5,974</w:t>
            </w:r>
          </w:p>
        </w:tc>
        <w:tc>
          <w:tcPr>
            <w:tcW w:w="120" w:type="dxa"/>
            <w:vAlign w:val="bottom"/>
          </w:tcPr>
          <w:p>
            <w:pPr>
              <w:spacing w:after="0"/>
              <w:rPr>
                <w:sz w:val="17"/>
                <w:szCs w:val="17"/>
                <w:color w:val="auto"/>
              </w:rPr>
            </w:pPr>
          </w:p>
        </w:tc>
      </w:tr>
      <w:tr>
        <w:trPr>
          <w:trHeight w:val="200"/>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(6,690)</w:t>
            </w: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10,404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$103,750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20" w:type="dxa"/>
            <w:vAlign w:val="bottom"/>
            <w:shd w:val="clear" w:color="auto" w:fill="CCEEFF"/>
          </w:tcPr>
          <w:p>
            <w:pPr>
              <w:spacing w:after="0"/>
              <w:rPr>
                <w:sz w:val="17"/>
                <w:szCs w:val="17"/>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6640" w:type="dxa"/>
            <w:vAlign w:val="bottom"/>
          </w:tcPr>
          <w:p>
            <w:pPr>
              <w:ind w:left="5340"/>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31" w:lineRule="exact"/>
        <w:rPr>
          <w:sz w:val="20"/>
          <w:szCs w:val="20"/>
          <w:color w:val="auto"/>
        </w:rPr>
      </w:pPr>
    </w:p>
    <w:p>
      <w:pPr>
        <w:jc w:val="both"/>
        <w:ind w:left="280" w:right="120"/>
        <w:spacing w:after="0" w:line="253" w:lineRule="auto"/>
        <w:rPr>
          <w:sz w:val="20"/>
          <w:szCs w:val="20"/>
          <w:color w:val="auto"/>
        </w:rPr>
      </w:pPr>
      <w:r>
        <w:rPr>
          <w:rFonts w:ascii="Arial" w:cs="Arial" w:eastAsia="Arial" w:hAnsi="Arial"/>
          <w:sz w:val="17"/>
          <w:szCs w:val="17"/>
          <w:color w:val="auto"/>
        </w:rPr>
        <w:t>During the three months ended March 31, 2019, cash used in operating activities was $6.5 million and was primarily attributable to a net loss of $5.7 million, partially offset by non-cash charges of $0.3 million for share-based compensation and depreciation, and a net change of $1.1 million in our net operating assets and liabilities.</w:t>
      </w:r>
    </w:p>
    <w:p>
      <w:pPr>
        <w:spacing w:after="0" w:line="89" w:lineRule="exact"/>
        <w:rPr>
          <w:sz w:val="20"/>
          <w:szCs w:val="20"/>
          <w:color w:val="auto"/>
        </w:rPr>
      </w:pPr>
    </w:p>
    <w:p>
      <w:pPr>
        <w:ind w:left="280" w:right="240"/>
        <w:spacing w:after="0" w:line="262" w:lineRule="auto"/>
        <w:rPr>
          <w:sz w:val="20"/>
          <w:szCs w:val="20"/>
          <w:color w:val="auto"/>
        </w:rPr>
      </w:pPr>
      <w:r>
        <w:rPr>
          <w:rFonts w:ascii="Arial" w:cs="Arial" w:eastAsia="Arial" w:hAnsi="Arial"/>
          <w:sz w:val="17"/>
          <w:szCs w:val="17"/>
          <w:color w:val="auto"/>
        </w:rPr>
        <w:t>During the three months ended March 31, 2018, cash used in operating activities was $2.0 million and was attributable to a net loss of $1.9 million and a net change of $0.1 million in our net operating assets and liabilities.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During the year ended December 31, 2018, cash used in operating activities was $11.0 million and was attributable to a net loss of</w:t>
      </w:r>
    </w:p>
    <w:p>
      <w:pPr>
        <w:spacing w:after="0" w:line="5" w:lineRule="exact"/>
        <w:rPr>
          <w:sz w:val="20"/>
          <w:szCs w:val="20"/>
          <w:color w:val="auto"/>
        </w:rPr>
      </w:pPr>
    </w:p>
    <w:p>
      <w:pPr>
        <w:ind w:left="280" w:right="620"/>
        <w:spacing w:after="0" w:line="262" w:lineRule="auto"/>
        <w:rPr>
          <w:sz w:val="20"/>
          <w:szCs w:val="20"/>
          <w:color w:val="auto"/>
        </w:rPr>
      </w:pPr>
      <w:r>
        <w:rPr>
          <w:rFonts w:ascii="Arial" w:cs="Arial" w:eastAsia="Arial" w:hAnsi="Arial"/>
          <w:sz w:val="17"/>
          <w:szCs w:val="17"/>
          <w:color w:val="auto"/>
        </w:rPr>
        <w:t>$12.5 million, partially offset by non-cash charges of $0.5 million for share-based compensation and depreciation, and a net change of $1.0 million in our net operating assets and liabilities.</w:t>
      </w:r>
    </w:p>
    <w:p>
      <w:pPr>
        <w:spacing w:after="0" w:line="80" w:lineRule="exact"/>
        <w:rPr>
          <w:sz w:val="20"/>
          <w:szCs w:val="20"/>
          <w:color w:val="auto"/>
        </w:rPr>
      </w:pPr>
    </w:p>
    <w:p>
      <w:pPr>
        <w:ind w:left="280" w:right="20"/>
        <w:spacing w:after="0" w:line="262" w:lineRule="auto"/>
        <w:rPr>
          <w:sz w:val="20"/>
          <w:szCs w:val="20"/>
          <w:color w:val="auto"/>
        </w:rPr>
      </w:pPr>
      <w:r>
        <w:rPr>
          <w:rFonts w:ascii="Arial" w:cs="Arial" w:eastAsia="Arial" w:hAnsi="Arial"/>
          <w:sz w:val="17"/>
          <w:szCs w:val="17"/>
          <w:color w:val="auto"/>
        </w:rPr>
        <w:t>During the year ended December 31, 2017, cash used in operating activities was $5.4 million and was attributable to a net loss of $5.6 million, partially offset by non-cash charges of $0.1 million and a net change of $0.1 million in our net operating assets and liabilities.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31" w:lineRule="exact"/>
        <w:rPr>
          <w:sz w:val="20"/>
          <w:szCs w:val="20"/>
          <w:color w:val="auto"/>
        </w:rPr>
      </w:pPr>
    </w:p>
    <w:p>
      <w:pPr>
        <w:ind w:left="280" w:right="220"/>
        <w:spacing w:after="0" w:line="262" w:lineRule="auto"/>
        <w:rPr>
          <w:sz w:val="20"/>
          <w:szCs w:val="20"/>
          <w:color w:val="auto"/>
        </w:rPr>
      </w:pPr>
      <w:r>
        <w:rPr>
          <w:rFonts w:ascii="Arial" w:cs="Arial" w:eastAsia="Arial" w:hAnsi="Arial"/>
          <w:sz w:val="17"/>
          <w:szCs w:val="17"/>
          <w:color w:val="auto"/>
        </w:rPr>
        <w:t>Our investing activities during the years ended December 31, 2018 and 2017 and during the three months ended March 31, 2019 and 2018 have consisted principally of purchases of property and equipment.</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31" w:lineRule="exact"/>
        <w:rPr>
          <w:sz w:val="20"/>
          <w:szCs w:val="20"/>
          <w:color w:val="auto"/>
        </w:rPr>
      </w:pPr>
    </w:p>
    <w:p>
      <w:pPr>
        <w:ind w:left="280" w:right="160"/>
        <w:spacing w:after="0" w:line="262" w:lineRule="auto"/>
        <w:rPr>
          <w:sz w:val="20"/>
          <w:szCs w:val="20"/>
          <w:color w:val="auto"/>
        </w:rPr>
      </w:pPr>
      <w:r>
        <w:rPr>
          <w:rFonts w:ascii="Arial" w:cs="Arial" w:eastAsia="Arial" w:hAnsi="Arial"/>
          <w:sz w:val="17"/>
          <w:szCs w:val="17"/>
          <w:color w:val="auto"/>
        </w:rPr>
        <w:t>Our financing activities during the three months ended March 31, 2019 consisted primarily of deferred offering costs related to the IPO offset by proceeds from the issuance of common stock.</w:t>
      </w:r>
    </w:p>
    <w:p>
      <w:pPr>
        <w:spacing w:after="0" w:line="80" w:lineRule="exact"/>
        <w:rPr>
          <w:sz w:val="20"/>
          <w:szCs w:val="20"/>
          <w:color w:val="auto"/>
        </w:rPr>
      </w:pPr>
    </w:p>
    <w:p>
      <w:pPr>
        <w:ind w:left="280" w:right="700"/>
        <w:spacing w:after="0" w:line="262" w:lineRule="auto"/>
        <w:rPr>
          <w:sz w:val="20"/>
          <w:szCs w:val="20"/>
          <w:color w:val="auto"/>
        </w:rPr>
      </w:pPr>
      <w:r>
        <w:rPr>
          <w:rFonts w:ascii="Arial" w:cs="Arial" w:eastAsia="Arial" w:hAnsi="Arial"/>
          <w:sz w:val="17"/>
          <w:szCs w:val="17"/>
          <w:color w:val="auto"/>
        </w:rPr>
        <w:t>Our financing activities during the three months ended March 31, 2018 consisted primarily of the closing of our Series A-2 convertible preferred stock financing in January 2018.</w:t>
      </w:r>
    </w:p>
    <w:p>
      <w:pPr>
        <w:spacing w:after="0" w:line="80"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Our financing activities during the year ended December 31, 2018 included closings on our Series A-2 convertible preferred stock financing in January and September 2018 aggregating gross proceeds of $26.0 million, and the sale of Series B convertible preferred stock in October 2018 raising gross proceeds of $90.0 million.</w:t>
      </w:r>
    </w:p>
    <w:p>
      <w:pPr>
        <w:spacing w:after="0" w:line="89"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Our financing activities during the year ended December 31, 2017 included a second extension on our Series A convertible preferred stock financing in February 2017 with gross proceeds of $3.0 million and proceeds on a $3.0 million simple agreement for future equity, or SAFE, in October 2017 which was converted in the initial closing of our Series A-2 convertible preferred stock financing in January 2018.</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Contractual obligations and commitments</w:t>
      </w:r>
    </w:p>
    <w:p>
      <w:pPr>
        <w:spacing w:after="0" w:line="141" w:lineRule="exact"/>
        <w:rPr>
          <w:sz w:val="20"/>
          <w:szCs w:val="20"/>
          <w:color w:val="auto"/>
        </w:rPr>
      </w:pPr>
    </w:p>
    <w:p>
      <w:pPr>
        <w:ind w:left="280" w:right="340"/>
        <w:spacing w:after="0" w:line="262" w:lineRule="auto"/>
        <w:rPr>
          <w:sz w:val="20"/>
          <w:szCs w:val="20"/>
          <w:color w:val="auto"/>
        </w:rPr>
      </w:pPr>
      <w:r>
        <w:rPr>
          <w:rFonts w:ascii="Arial" w:cs="Arial" w:eastAsia="Arial" w:hAnsi="Arial"/>
          <w:sz w:val="17"/>
          <w:szCs w:val="17"/>
          <w:color w:val="auto"/>
        </w:rPr>
        <w:t>The following table summarizes our contractual obligations as of December 31, 2018 and the effects that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37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40" w:type="dxa"/>
            <w:vAlign w:val="bottom"/>
            <w:gridSpan w:val="5"/>
          </w:tcPr>
          <w:p>
            <w:pPr>
              <w:jc w:val="right"/>
              <w:ind w:right="60"/>
              <w:spacing w:after="0"/>
              <w:rPr>
                <w:sz w:val="20"/>
                <w:szCs w:val="20"/>
                <w:color w:val="auto"/>
              </w:rPr>
            </w:pPr>
            <w:r>
              <w:rPr>
                <w:rFonts w:ascii="Arial" w:cs="Arial" w:eastAsia="Arial" w:hAnsi="Arial"/>
                <w:sz w:val="17"/>
                <w:szCs w:val="17"/>
                <w:b w:val="1"/>
                <w:bCs w:val="1"/>
                <w:color w:val="auto"/>
              </w:rPr>
              <w:t>Payments Due by Period</w:t>
            </w:r>
          </w:p>
        </w:tc>
      </w:tr>
      <w:tr>
        <w:trPr>
          <w:trHeight w:val="174"/>
        </w:trPr>
        <w:tc>
          <w:tcPr>
            <w:tcW w:w="3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133"/>
              <w:spacing w:after="0" w:line="175" w:lineRule="exact"/>
              <w:rPr>
                <w:sz w:val="20"/>
                <w:szCs w:val="20"/>
                <w:color w:val="auto"/>
              </w:rPr>
            </w:pPr>
            <w:r>
              <w:rPr>
                <w:rFonts w:ascii="Arial" w:cs="Arial" w:eastAsia="Arial" w:hAnsi="Arial"/>
                <w:sz w:val="17"/>
                <w:szCs w:val="17"/>
                <w:b w:val="1"/>
                <w:bCs w:val="1"/>
                <w:color w:val="auto"/>
              </w:rPr>
              <w:t>Less Than</w:t>
            </w:r>
          </w:p>
        </w:tc>
        <w:tc>
          <w:tcPr>
            <w:tcW w:w="8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7"/>
                <w:szCs w:val="17"/>
                <w:b w:val="1"/>
                <w:bCs w:val="1"/>
                <w:color w:val="auto"/>
              </w:rPr>
              <w:t>1 to 3</w:t>
            </w:r>
          </w:p>
        </w:tc>
        <w:tc>
          <w:tcPr>
            <w:tcW w:w="86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7"/>
                <w:szCs w:val="17"/>
                <w:b w:val="1"/>
                <w:bCs w:val="1"/>
                <w:color w:val="auto"/>
              </w:rPr>
              <w:t>4 to 5</w:t>
            </w:r>
          </w:p>
        </w:tc>
        <w:tc>
          <w:tcPr>
            <w:tcW w:w="122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7"/>
                <w:szCs w:val="17"/>
                <w:b w:val="1"/>
                <w:bCs w:val="1"/>
                <w:color w:val="auto"/>
              </w:rPr>
              <w:t>More than</w:t>
            </w:r>
          </w:p>
        </w:tc>
        <w:tc>
          <w:tcPr>
            <w:tcW w:w="60" w:type="dxa"/>
            <w:vAlign w:val="bottom"/>
          </w:tcPr>
          <w:p>
            <w:pPr>
              <w:spacing w:after="0"/>
              <w:rPr>
                <w:sz w:val="15"/>
                <w:szCs w:val="15"/>
                <w:color w:val="auto"/>
              </w:rPr>
            </w:pPr>
          </w:p>
        </w:tc>
      </w:tr>
      <w:tr>
        <w:trPr>
          <w:trHeight w:val="232"/>
        </w:trPr>
        <w:tc>
          <w:tcPr>
            <w:tcW w:w="37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Total</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1 Year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Years</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Years</w:t>
            </w: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5 Years</w:t>
            </w:r>
          </w:p>
        </w:tc>
      </w:tr>
      <w:tr>
        <w:trPr>
          <w:trHeight w:val="193"/>
        </w:trPr>
        <w:tc>
          <w:tcPr>
            <w:tcW w:w="3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3"/>
          </w:tcPr>
          <w:p>
            <w:pPr>
              <w:jc w:val="right"/>
              <w:ind w:right="60"/>
              <w:spacing w:after="0" w:line="194" w:lineRule="exact"/>
              <w:rPr>
                <w:sz w:val="20"/>
                <w:szCs w:val="20"/>
                <w:color w:val="auto"/>
              </w:rPr>
            </w:pPr>
            <w:r>
              <w:rPr>
                <w:rFonts w:ascii="Arial" w:cs="Arial" w:eastAsia="Arial" w:hAnsi="Arial"/>
                <w:sz w:val="17"/>
                <w:szCs w:val="17"/>
                <w:b w:val="1"/>
                <w:bCs w:val="1"/>
                <w:color w:val="auto"/>
              </w:rPr>
              <w:t>(in thousands)</w:t>
            </w:r>
          </w:p>
        </w:tc>
      </w:tr>
      <w:tr>
        <w:trPr>
          <w:trHeight w:val="200"/>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2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$3,373</w:t>
            </w: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1,051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3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9"/>
        </w:trPr>
        <w:tc>
          <w:tcPr>
            <w:tcW w:w="3720" w:type="dxa"/>
            <w:vAlign w:val="bottom"/>
          </w:tcPr>
          <w:p>
            <w:pPr>
              <w:spacing w:after="0"/>
              <w:rPr>
                <w:sz w:val="20"/>
                <w:szCs w:val="20"/>
                <w:color w:val="auto"/>
              </w:rPr>
            </w:pPr>
            <w:r>
              <w:rPr>
                <w:rFonts w:ascii="Arial" w:cs="Arial" w:eastAsia="Arial" w:hAnsi="Arial"/>
                <w:sz w:val="17"/>
                <w:szCs w:val="17"/>
                <w:color w:val="auto"/>
              </w:rPr>
              <w:t>Total</w:t>
            </w:r>
          </w:p>
        </w:tc>
        <w:tc>
          <w:tcPr>
            <w:tcW w:w="218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Arial" w:cs="Arial" w:eastAsia="Arial" w:hAnsi="Arial"/>
                <w:sz w:val="17"/>
                <w:szCs w:val="17"/>
                <w:color w:val="auto"/>
                <w:w w:val="99"/>
              </w:rPr>
              <w:t>$3,373</w:t>
            </w: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1,051</w:t>
            </w:r>
          </w:p>
        </w:tc>
        <w:tc>
          <w:tcPr>
            <w:tcW w:w="800" w:type="dxa"/>
            <w:vAlign w:val="bottom"/>
          </w:tcPr>
          <w:p>
            <w:pPr>
              <w:jc w:val="right"/>
              <w:spacing w:after="0"/>
              <w:rPr>
                <w:sz w:val="20"/>
                <w:szCs w:val="20"/>
                <w:color w:val="auto"/>
              </w:rPr>
            </w:pPr>
            <w:r>
              <w:rPr>
                <w:rFonts w:ascii="Arial" w:cs="Arial" w:eastAsia="Arial" w:hAnsi="Arial"/>
                <w:sz w:val="17"/>
                <w:szCs w:val="17"/>
                <w:color w:val="auto"/>
              </w:rPr>
              <w:t>$2,251</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71</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353"/>
        </w:trPr>
        <w:tc>
          <w:tcPr>
            <w:tcW w:w="37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color w:val="auto"/>
              </w:rPr>
              <w:t>80</w:t>
            </w: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280" w:right="40"/>
        <w:spacing w:after="0" w:line="253" w:lineRule="auto"/>
        <w:rPr>
          <w:sz w:val="20"/>
          <w:szCs w:val="20"/>
          <w:color w:val="auto"/>
        </w:rPr>
      </w:pPr>
      <w:r>
        <w:rPr>
          <w:rFonts w:ascii="Arial" w:cs="Arial" w:eastAsia="Arial" w:hAnsi="Arial"/>
          <w:sz w:val="17"/>
          <w:szCs w:val="17"/>
          <w:color w:val="auto"/>
        </w:rPr>
        <w:t>In August 2018, we entered into an agreement to sublease approximately 23,000 square feet of space for a term of three years. Lease terms are triple net lease commencing at $0.9 million per year, then with 3% annual base rent increases plus operating expenses, real estate taxes, utilities and janitorial fees. The lease commencement date was December 10, 2018.</w:t>
      </w:r>
    </w:p>
    <w:p>
      <w:pPr>
        <w:spacing w:after="0" w:line="89" w:lineRule="exact"/>
        <w:rPr>
          <w:sz w:val="20"/>
          <w:szCs w:val="20"/>
          <w:color w:val="auto"/>
        </w:rPr>
      </w:pPr>
    </w:p>
    <w:p>
      <w:pPr>
        <w:jc w:val="both"/>
        <w:ind w:left="280" w:right="480"/>
        <w:spacing w:after="0" w:line="253" w:lineRule="auto"/>
        <w:rPr>
          <w:sz w:val="20"/>
          <w:szCs w:val="20"/>
          <w:color w:val="auto"/>
        </w:rPr>
      </w:pPr>
      <w:r>
        <w:rPr>
          <w:rFonts w:ascii="Arial" w:cs="Arial" w:eastAsia="Arial" w:hAnsi="Arial"/>
          <w:sz w:val="17"/>
          <w:szCs w:val="17"/>
          <w:color w:val="auto"/>
        </w:rPr>
        <w:t>In December 2018, we entered into an agreement to lease 2,485 square feet of space for a term of three years. The lease includes one renewal option for an additional two years. Lease terms commence at $0.2 million per year, with 2.5% annual base rent increases plus operating expenses, real estate taxes, utilities and janitorial fees. We occupied this space in May 2019.</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Commitments</w:t>
      </w:r>
    </w:p>
    <w:p>
      <w:pPr>
        <w:spacing w:after="0" w:line="131"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Our commitments primarily consist of obligations under our agreements with CSHL and the University of Southampton. As of March 31, 2019, we were unable to estimate the timing or likelihood of achieving the milestones or making future product sales. For additional information regarding our agreements, see “Business—License agreements.”</w:t>
      </w:r>
    </w:p>
    <w:p>
      <w:pPr>
        <w:spacing w:after="0" w:line="89" w:lineRule="exact"/>
        <w:rPr>
          <w:sz w:val="20"/>
          <w:szCs w:val="20"/>
          <w:color w:val="auto"/>
        </w:rPr>
      </w:pPr>
    </w:p>
    <w:p>
      <w:pPr>
        <w:ind w:left="280" w:right="140"/>
        <w:spacing w:after="0" w:line="251" w:lineRule="auto"/>
        <w:rPr>
          <w:sz w:val="20"/>
          <w:szCs w:val="20"/>
          <w:color w:val="auto"/>
        </w:rPr>
      </w:pPr>
      <w:r>
        <w:rPr>
          <w:rFonts w:ascii="Arial" w:cs="Arial" w:eastAsia="Arial" w:hAnsi="Arial"/>
          <w:sz w:val="17"/>
          <w:szCs w:val="17"/>
          <w:color w:val="auto"/>
        </w:rPr>
        <w:t>Additionally, we have entered into agreements with third-party contract manufacturers for the manufacture and processing of certain of our product candidates for preclinical testing purposes, and we have entered and will enter into other contracts in the normal course of business with contract research organizations for clinical trials and other vendors for other services and products for operating purposes. These agreements generally provide for termination or cancellation, other than for costs already incurred.</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Off-balance sheet arrangements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Critical accounting policies and significant judgments and estimates</w:t>
      </w:r>
    </w:p>
    <w:p>
      <w:pPr>
        <w:spacing w:after="0" w:line="141" w:lineRule="exact"/>
        <w:rPr>
          <w:sz w:val="20"/>
          <w:szCs w:val="20"/>
          <w:color w:val="auto"/>
        </w:rPr>
      </w:pPr>
    </w:p>
    <w:p>
      <w:pPr>
        <w:ind w:left="280" w:right="180"/>
        <w:spacing w:after="0" w:line="247"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or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1"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We recognize compensation costs related to share-based awards granted to employees and directors, including stock options and vesting restricted stock, based on the estimated fair value of the awards on the date of grant. We estimate the grant date fair value, and the resulting stock-based compensation, using the Black-Scholes option-pricing model. The grant date fair value of the stock-based awards is recognized on a straight-line basis over the requisite service period, which is generally the vesting period of the respective awards.</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120"/>
          </w:cols>
          <w:pgMar w:left="240" w:top="455"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The Black-Scholes option-pricing model requires the use of subjective assumptions to determine the fair value of stock-based awards. These assumptions include:</w:t>
      </w:r>
    </w:p>
    <w:p>
      <w:pPr>
        <w:spacing w:after="0" w:line="75" w:lineRule="exact"/>
        <w:rPr>
          <w:sz w:val="20"/>
          <w:szCs w:val="20"/>
          <w:color w:val="auto"/>
        </w:rPr>
      </w:pPr>
    </w:p>
    <w:p>
      <w:pPr>
        <w:ind w:left="480" w:right="40" w:hanging="207"/>
        <w:spacing w:after="0" w:line="255" w:lineRule="auto"/>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—Historically, for all periods prior to this initial public offering, the fair value of the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underlying our share-based awards was estimated on each grant date by our board of directors.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or the </w:t>
      </w:r>
      <w:r>
        <w:rPr>
          <w:rFonts w:ascii="Arial" w:cs="Arial" w:eastAsia="Arial" w:hAnsi="Arial"/>
          <w:sz w:val="17"/>
          <w:szCs w:val="17"/>
          <w:i w:val="1"/>
          <w:iCs w:val="1"/>
          <w:color w:val="auto"/>
        </w:rPr>
        <w:t>Practice Aid</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480" w:right="100" w:hanging="207"/>
        <w:spacing w:after="0" w:line="264" w:lineRule="auto"/>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represents the period that stock-based awards are expected to be outstanding. The expected term for</w:t>
      </w:r>
      <w:r>
        <w:rPr>
          <w:rFonts w:ascii="Arial" w:cs="Arial" w:eastAsia="Arial" w:hAnsi="Arial"/>
          <w:sz w:val="17"/>
          <w:szCs w:val="17"/>
          <w:i w:val="1"/>
          <w:iCs w:val="1"/>
          <w:color w:val="auto"/>
        </w:rPr>
        <w:t xml:space="preserve"> </w:t>
      </w:r>
      <w:r>
        <w:rPr>
          <w:rFonts w:ascii="Arial" w:cs="Arial" w:eastAsia="Arial" w:hAnsi="Arial"/>
          <w:sz w:val="17"/>
          <w:szCs w:val="17"/>
          <w:color w:val="auto"/>
        </w:rPr>
        <w:t>option grants is determined using the simplified method. The simplified method deems the expected term to be the midpoint between the vesting date and the contractual life of the stock-based awards.</w:t>
      </w:r>
    </w:p>
    <w:p>
      <w:pPr>
        <w:spacing w:after="0" w:line="75" w:lineRule="exact"/>
        <w:rPr>
          <w:rFonts w:ascii="Arial" w:cs="Arial" w:eastAsia="Arial" w:hAnsi="Arial"/>
          <w:sz w:val="17"/>
          <w:szCs w:val="17"/>
          <w:color w:val="auto"/>
        </w:rPr>
      </w:pPr>
    </w:p>
    <w:p>
      <w:pPr>
        <w:ind w:left="480" w:right="20" w:hanging="207"/>
        <w:spacing w:after="0" w:line="255" w:lineRule="auto"/>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we have been a privately held company and do not have any trading history for our common stock,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is estimated based on the average volatility for comparable publicly traded biotechnology companies over a period equal to the expected term of the stock option grants. The comparable companies were chosen based on their similar size, stage in the life cycle or area of specialty. We will continue to apply this process until a sufficient amount of historical information regarding the volatility of our own stock price becomes available.</w:t>
      </w:r>
    </w:p>
    <w:p>
      <w:pPr>
        <w:spacing w:after="0" w:line="81" w:lineRule="exact"/>
        <w:rPr>
          <w:rFonts w:ascii="Arial" w:cs="Arial" w:eastAsia="Arial" w:hAnsi="Arial"/>
          <w:sz w:val="17"/>
          <w:szCs w:val="17"/>
          <w:color w:val="auto"/>
        </w:rPr>
      </w:pPr>
    </w:p>
    <w:p>
      <w:pPr>
        <w:ind w:left="480" w:right="20" w:hanging="207"/>
        <w:spacing w:after="0" w:line="284" w:lineRule="auto"/>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zero coupon issues in effect at the time of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option.</w:t>
      </w:r>
    </w:p>
    <w:p>
      <w:pPr>
        <w:spacing w:after="0" w:line="57" w:lineRule="exact"/>
        <w:rPr>
          <w:rFonts w:ascii="Arial" w:cs="Arial" w:eastAsia="Arial" w:hAnsi="Arial"/>
          <w:sz w:val="17"/>
          <w:szCs w:val="17"/>
          <w:color w:val="auto"/>
        </w:rPr>
      </w:pPr>
    </w:p>
    <w:p>
      <w:pPr>
        <w:ind w:left="480" w:right="540" w:hanging="207"/>
        <w:spacing w:after="0" w:line="284" w:lineRule="auto"/>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have never paid dividends on our common stock and have no plans to pay dividends on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Therefore, we used an expected dividend yield of zero.</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the weighted-average assumptions used to estimate the fair value of share-based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5640" w:type="dxa"/>
            <w:vAlign w:val="bottom"/>
          </w:tcPr>
          <w:p>
            <w:pPr>
              <w:spacing w:after="0"/>
              <w:rPr>
                <w:sz w:val="17"/>
                <w:szCs w:val="17"/>
                <w:color w:val="auto"/>
              </w:rPr>
            </w:pPr>
          </w:p>
        </w:tc>
        <w:tc>
          <w:tcPr>
            <w:tcW w:w="21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Three months ended</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5640" w:type="dxa"/>
            <w:vAlign w:val="bottom"/>
          </w:tcPr>
          <w:p>
            <w:pPr>
              <w:spacing w:after="0"/>
              <w:rPr>
                <w:sz w:val="19"/>
                <w:szCs w:val="19"/>
                <w:color w:val="auto"/>
              </w:rPr>
            </w:pPr>
          </w:p>
        </w:tc>
        <w:tc>
          <w:tcPr>
            <w:tcW w:w="21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March 31,</w:t>
            </w:r>
          </w:p>
        </w:tc>
        <w:tc>
          <w:tcPr>
            <w:tcW w:w="312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r>
      <w:tr>
        <w:trPr>
          <w:trHeight w:val="20"/>
        </w:trPr>
        <w:tc>
          <w:tcPr>
            <w:tcW w:w="56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5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2019</w:t>
            </w: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rPr>
              <w:t>2018</w:t>
            </w:r>
          </w:p>
        </w:tc>
        <w:tc>
          <w:tcPr>
            <w:tcW w:w="15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2018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3"/>
        </w:trPr>
        <w:tc>
          <w:tcPr>
            <w:tcW w:w="5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1300" w:type="dxa"/>
            <w:vAlign w:val="bottom"/>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2.32-2.81%</w:t>
            </w:r>
          </w:p>
        </w:tc>
        <w:tc>
          <w:tcPr>
            <w:tcW w:w="8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2.67-2.84%</w:t>
            </w:r>
          </w:p>
        </w:tc>
        <w:tc>
          <w:tcPr>
            <w:tcW w:w="1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2.27%</w:t>
            </w:r>
          </w:p>
        </w:tc>
        <w:tc>
          <w:tcPr>
            <w:tcW w:w="80" w:type="dxa"/>
            <w:vAlign w:val="bottom"/>
            <w:shd w:val="clear" w:color="auto" w:fill="CCEEFF"/>
          </w:tcPr>
          <w:p>
            <w:pPr>
              <w:spacing w:after="0"/>
              <w:rPr>
                <w:sz w:val="16"/>
                <w:szCs w:val="16"/>
                <w:color w:val="auto"/>
              </w:rPr>
            </w:pPr>
          </w:p>
        </w:tc>
      </w:tr>
      <w:tr>
        <w:trPr>
          <w:trHeight w:val="200"/>
        </w:trPr>
        <w:tc>
          <w:tcPr>
            <w:tcW w:w="56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300" w:type="dxa"/>
            <w:vAlign w:val="bottom"/>
          </w:tcPr>
          <w:p>
            <w:pPr>
              <w:jc w:val="right"/>
              <w:ind w:right="93"/>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93"/>
              <w:spacing w:after="0"/>
              <w:rPr>
                <w:sz w:val="20"/>
                <w:szCs w:val="20"/>
                <w:color w:val="auto"/>
              </w:rPr>
            </w:pPr>
            <w:r>
              <w:rPr>
                <w:rFonts w:ascii="Arial" w:cs="Arial" w:eastAsia="Arial" w:hAnsi="Arial"/>
                <w:sz w:val="17"/>
                <w:szCs w:val="17"/>
                <w:color w:val="auto"/>
              </w:rPr>
              <w:t>0%</w:t>
            </w:r>
          </w:p>
        </w:tc>
        <w:tc>
          <w:tcPr>
            <w:tcW w:w="146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r>
      <w:tr>
        <w:trPr>
          <w:trHeight w:val="200"/>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Expected life</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6.375 years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6.25-6.375 years</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6.25-6.375 years</w:t>
            </w:r>
          </w:p>
        </w:tc>
      </w:tr>
      <w:tr>
        <w:trPr>
          <w:trHeight w:val="213"/>
        </w:trPr>
        <w:tc>
          <w:tcPr>
            <w:tcW w:w="5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57-61%</w:t>
            </w: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57-60%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8"/>
                <w:szCs w:val="18"/>
                <w:color w:val="auto"/>
              </w:rPr>
            </w:pPr>
          </w:p>
        </w:tc>
      </w:tr>
    </w:tbl>
    <w:p>
      <w:pPr>
        <w:spacing w:after="0" w:line="110" w:lineRule="exact"/>
        <w:rPr>
          <w:sz w:val="20"/>
          <w:szCs w:val="20"/>
          <w:color w:val="auto"/>
        </w:rPr>
      </w:pPr>
    </w:p>
    <w:p>
      <w:pPr>
        <w:ind w:left="280" w:right="220"/>
        <w:spacing w:after="0" w:line="253" w:lineRule="auto"/>
        <w:rPr>
          <w:sz w:val="20"/>
          <w:szCs w:val="20"/>
          <w:color w:val="auto"/>
        </w:rPr>
      </w:pPr>
      <w:r>
        <w:rPr>
          <w:rFonts w:ascii="Arial" w:cs="Arial" w:eastAsia="Arial" w:hAnsi="Arial"/>
          <w:sz w:val="17"/>
          <w:szCs w:val="17"/>
          <w:color w:val="auto"/>
        </w:rPr>
        <w:t>We will continue to use judgment in evaluating the assumptions utilized for our share-based compensation expense calculations on a prospective basis. In addition to the assumptions used in the Black-Scholes option-pricing model, the amount of stock-based compensation expense we recognize in our consolidated financial statements includes actual stock option forfeitures.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Determination of the fair value of common stock</w:t>
      </w:r>
    </w:p>
    <w:p>
      <w:pPr>
        <w:spacing w:after="0" w:line="131" w:lineRule="exact"/>
        <w:rPr>
          <w:sz w:val="20"/>
          <w:szCs w:val="20"/>
          <w:color w:val="auto"/>
        </w:rPr>
      </w:pPr>
    </w:p>
    <w:p>
      <w:pPr>
        <w:jc w:val="both"/>
        <w:ind w:left="280" w:right="620"/>
        <w:spacing w:after="0" w:line="251" w:lineRule="auto"/>
        <w:rPr>
          <w:sz w:val="20"/>
          <w:szCs w:val="20"/>
          <w:color w:val="auto"/>
        </w:rPr>
      </w:pPr>
      <w:r>
        <w:rPr>
          <w:rFonts w:ascii="Arial" w:cs="Arial" w:eastAsia="Arial" w:hAnsi="Arial"/>
          <w:sz w:val="17"/>
          <w:szCs w:val="17"/>
          <w:color w:val="auto"/>
        </w:rPr>
        <w:t>Historically, for all periods prior to this offering, the fair values of the shares of common stock underlying our share-based awards were estimated on each grant date by our board of directors. In order to determine the fair value of our common stock our board of directors considered, among other things, contemporaneous valuations of our common stock prepared by an independent third-party valuation specialist in accordance with the guidance provide by the Practice Aid.</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160"/>
          </w:cols>
          <w:pgMar w:left="240" w:top="455"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Given the absence of a public trading market for our common stock, our board of directors exercised their judgment and considered a number of objective and subjective factors to determine the best estimate of the fair value of our common stock, including contemporaneous valuations performed by an independent third party, our stage of development, important developments in our operations, the prices at which we sold shares of our preferred stock, the rights, preferences and privileges of our preferred stock relative to those of our common stock, actual operating results and financial performance, the conditions in the biotechnology industry and the economy in general, the stock price performance and volatility of comparable public companies, and the lack of liquidity of our common stock, among other factors. After the closing of this offering, our board of directors will determine the fair value of each share of underlying common stock based on the closing price of our common stock as reported on the date of the grant. Our board of directors intended all options granted to be exercisable at a price per share not less than the per share fair value of our common stock underlying those options on the grant date.</w:t>
      </w:r>
    </w:p>
    <w:p>
      <w:pPr>
        <w:spacing w:after="0" w:line="96"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We performed common stock valuations, with the assistance of an independent third-party valuation specialist, as of August 2016, January 2018, October 2018 and February 2019 which resulted in a valuation of our common stock of $0.40, $0.60, $2.19 and $4.48, respectively. In conducting the valuations, the independent third-party valuation specialist considered all objective and subjective factors that it believed to be relevant for each valuation conducted in accordance with the Practice Aid, including our best estimate of our business condition, prospects and operating performance at each valuation date. Other significant factors included:</w:t>
      </w:r>
    </w:p>
    <w:p>
      <w:pPr>
        <w:spacing w:after="0" w:line="106" w:lineRule="exact"/>
        <w:rPr>
          <w:sz w:val="20"/>
          <w:szCs w:val="20"/>
          <w:color w:val="auto"/>
        </w:rPr>
      </w:pPr>
    </w:p>
    <w:p>
      <w:pPr>
        <w:ind w:left="480" w:right="400" w:hanging="207"/>
        <w:spacing w:after="0" w:line="262" w:lineRule="auto"/>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prices of our preferred stock sold to outside investors in arm’s length transactions, and the rights, preferences and privileges of our preferred stock as compared to those of our common stock, including the liquidation preferences of our preferred stock;</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124" w:lineRule="exact"/>
        <w:rPr>
          <w:rFonts w:ascii="Arial" w:cs="Arial" w:eastAsia="Arial" w:hAnsi="Arial"/>
          <w:sz w:val="17"/>
          <w:szCs w:val="17"/>
          <w:color w:val="auto"/>
        </w:rPr>
      </w:pPr>
    </w:p>
    <w:p>
      <w:pPr>
        <w:ind w:left="480" w:right="540" w:hanging="207"/>
        <w:spacing w:after="0" w:line="262" w:lineRule="auto"/>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valuation of publicly traded companies in the life sciences and biotechnology sectors, as well as recently completed mergers and acquisitions of guideline companies;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results of operations and financial position;</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composition of, and changes to, our management team and board of directors;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lack of liquidity of our common stock;</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external market conditions affecting the life sciences and biotechnology industry sectors;</w:t>
      </w:r>
    </w:p>
    <w:p>
      <w:pPr>
        <w:spacing w:after="0" w:line="124" w:lineRule="exact"/>
        <w:rPr>
          <w:rFonts w:ascii="Arial" w:cs="Arial" w:eastAsia="Arial" w:hAnsi="Arial"/>
          <w:sz w:val="17"/>
          <w:szCs w:val="17"/>
          <w:color w:val="auto"/>
        </w:rPr>
      </w:pPr>
    </w:p>
    <w:p>
      <w:pPr>
        <w:ind w:left="480" w:right="80" w:hanging="207"/>
        <w:spacing w:after="0" w:line="262" w:lineRule="auto"/>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holders of our common stock and stock options, such as an initial public offering, or IPO, or a sale of our company, given prevailing market conditions; and</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state of the IPO market for similarly situated privately held life sciences companies.</w:t>
      </w:r>
    </w:p>
    <w:p>
      <w:pPr>
        <w:spacing w:after="0" w:line="111" w:lineRule="exact"/>
        <w:rPr>
          <w:sz w:val="20"/>
          <w:szCs w:val="20"/>
          <w:color w:val="auto"/>
        </w:rPr>
      </w:pPr>
    </w:p>
    <w:p>
      <w:pPr>
        <w:ind w:left="280" w:right="200"/>
        <w:spacing w:after="0" w:line="247" w:lineRule="auto"/>
        <w:rPr>
          <w:sz w:val="20"/>
          <w:szCs w:val="20"/>
          <w:color w:val="auto"/>
        </w:rPr>
      </w:pPr>
      <w:r>
        <w:rPr>
          <w:rFonts w:ascii="Arial" w:cs="Arial" w:eastAsia="Arial" w:hAnsi="Arial"/>
          <w:sz w:val="17"/>
          <w:szCs w:val="17"/>
          <w:color w:val="auto"/>
        </w:rPr>
        <w:t>For the August 2016 valuation, we employed an option pricing method, or OPM, framework and utilized a guideline transactions market approach for inferring the equity value implied by a selection of guideline transactions. This method was selected as there was no recent arm’s-length financing transaction and, as of the valuation date, we were at an early stage of development and future liquidity events were difficult to forecast. Application of OPM involves making assumptions for the expected time to liquidity, volatility and risk-free rate and then solving for the value of equity such that value for the most recent financing equals the amount paid. For the August 2016 valuation we assumed a weighted average cost of capital of 40% and a 3.25-year term to a liquidity event to estimate total equity value and, for purposes of the OPM allocation of total equity value, a 65% volatility rate and a 1.38-year estimated term. We then reflected a probability weighted average discount for lack of marketability of 35% to arrive at a $0.40 per share valuation of our common stock.</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160"/>
          </w:cols>
          <w:pgMar w:left="240" w:top="455"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For the January 2018 valuation, we employed an OPM framework and utilized the back-solve method for inferring and allocating the equity value predicated on the capital raise that transpired just prior to the valuation date. This method was selected as management concluded that the recent financing transaction was an arm’s-length transaction. Furthermore, as of the valuation date we were at an early stage of development and future liquidity events were difficult to forecast. Application of the OPM back-solve method involves making assumptions for the expected time to liquidity, volatility and risk-free rate and then solving for the value of equity such that value for the most recent financing equals the amount paid. For the January 2018 valuation and for purposes of the OPM allocation of total equity value determined with reference to a recent financing transaction, we assumed a 57% volatility rate and a 1.5-year estimated term. We then reflected a probability weighted average discount for lack of marketability of 35% to arrive at a $0.60 per share valuation of our common stock.</w:t>
      </w:r>
    </w:p>
    <w:p>
      <w:pPr>
        <w:spacing w:after="0" w:line="97" w:lineRule="exact"/>
        <w:rPr>
          <w:sz w:val="20"/>
          <w:szCs w:val="20"/>
          <w:color w:val="auto"/>
        </w:rPr>
      </w:pPr>
    </w:p>
    <w:p>
      <w:pPr>
        <w:ind w:left="280" w:right="100"/>
        <w:spacing w:after="0" w:line="247" w:lineRule="auto"/>
        <w:rPr>
          <w:sz w:val="20"/>
          <w:szCs w:val="20"/>
          <w:color w:val="auto"/>
        </w:rPr>
      </w:pPr>
      <w:r>
        <w:rPr>
          <w:rFonts w:ascii="Arial" w:cs="Arial" w:eastAsia="Arial" w:hAnsi="Arial"/>
          <w:sz w:val="17"/>
          <w:szCs w:val="17"/>
          <w:color w:val="auto"/>
        </w:rPr>
        <w:t>For the October 2018 valuation, the independent third-party valuation specialist used a hybrid method of two potential liquidity outcomes: a trade-sale scenario predicated on the arm’s length capital raise that transpired just prior to the valuation date and an IPO scenario with reference to recent IPO transactions in the biotechnology and pharmaceutical industry and considering our preclinical stage of development. Under the hybrid method, the per share value calculated under the two scenarios are weighted based on expected exit outcomes and the quality of the information specific to each allocation methodology to arrive at a final estimated fair value per share value of the common stock before a discount for lack of marketability is applied. For the October 2018 valuation we (i) assigned a 90% probability of occurrence to the trade-sale scenario, with a 60% volatility rate and a 2-year estimated term applied within the OPM, then reflected a probability weighted average discount for lack of marketability of 35%; and (ii) we assigned a 10% probability of occurrence to the IPO scenario, with a 30% weighted average cost of capital and a 0.88-year estimated term to an IPO event, then reflected a probability weighted average discount for lack of marketability of 15%.</w:t>
      </w:r>
    </w:p>
    <w:p>
      <w:pPr>
        <w:spacing w:after="0" w:line="95"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For the February 2019 valuation, the independent third-party valuation specialist used a hybrid method of two potential liquidity outcomes: a trade-sale scenario predicated on the arm’s length capital raise that transpired prior to the valuation date and an IPO scenario with reference to recent IPO transactions in the biotechnology and pharmaceutical industry and considering our preclinical stage of development. Under the hybrid method, the per share values calculated under the two scenarios are weighted based on expected exit outcomes and the quality of the information specific to each allocation methodology to arrive at a final estimated fair value per share value of the common stock before a discount for lack of marketability is applied. For the February 2019 valuation, we (i) assigned a 65% probability of occurrence to the trade-sale scenario, with a 61% volatility rate and a 1.75-year estimated term applied within the OPM, then reflected a probability weighted average discount for lack of marketability of 30%; and (ii) we assigned a 35% probability of occurrence to the IPO scenario, with a 25% weighted average cost of capital and a 0.38-year estimated term to an IPO event, then reflected a probability weighted average discount for lack of marketability of 12.5%.</w:t>
      </w:r>
    </w:p>
    <w:p>
      <w:pPr>
        <w:spacing w:after="0" w:line="95"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For the April 2019 valuation, the independent third-party valuation specialist again used a hybrid method of two potential liquidity outcomes: a trade-sale scenario predicated on the Series B Financing and an IPO scenario with reference to recent IPO transactions in the biotechnology and pharmaceutical industry and considering the Company’s preclinical stage of development. Under the hybrid method, the per share values calculated under the two scenarios were weighted based on expected exit outcomes and the quality of the information specific to each allocation methodology to arrive at a final estimated fair value per share value of the Company’s common stock before a DLOM is applied. For the April 2019 valuation, the Company (i) assigned a 40% probability of occurrence to the trade-sale scenario, with a 61% volatility rate and a 1.75-year estimated term applied within the OPM, then reflected a probability weighted average DLOM of 25%; and (ii) the Company assigned a 60% probability of occurrence to the IPO scenario, with a 25% weighted average cost of capital and a 0.25-year estimated term to an IPO event, then reflected a probability weighted average DLOM of 7.5%.</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140"/>
          </w:cols>
          <w:pgMar w:left="240" w:top="455"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The estimates of fair value of our common stock are highly complex and subjective. There are significant judgments and estimates inherent in the determination of the fair value of our common stock. These judgments and estimates include assumptions regarding our future operating performance, the time to completing an IPO or other liquidity event, the related valuations associated with these events, and the determinations of the appropriate valuation methods at each valuation date. The assumptions underlying these valuations represent management’s best estimates, which involve inherent uncertainties and the application of management judgment. If we had made different assumptions, our stock-based compensation expense, net loss and net loss per share applicable to common stockholders could have been materially different.</w:t>
      </w:r>
    </w:p>
    <w:p>
      <w:pPr>
        <w:spacing w:after="0" w:line="295" w:lineRule="exact"/>
        <w:rPr>
          <w:sz w:val="20"/>
          <w:szCs w:val="20"/>
          <w:color w:val="auto"/>
        </w:rPr>
      </w:pPr>
    </w:p>
    <w:p>
      <w:pPr>
        <w:ind w:left="280" w:right="320"/>
        <w:spacing w:after="0" w:line="262" w:lineRule="auto"/>
        <w:rPr>
          <w:sz w:val="20"/>
          <w:szCs w:val="20"/>
          <w:color w:val="auto"/>
        </w:rPr>
      </w:pPr>
      <w:r>
        <w:rPr>
          <w:rFonts w:ascii="Arial" w:cs="Arial" w:eastAsia="Arial" w:hAnsi="Arial"/>
          <w:sz w:val="17"/>
          <w:szCs w:val="17"/>
          <w:color w:val="auto"/>
        </w:rPr>
        <w:t>For valuations after the completion of this offering, our board of directors will determine the fair value of each share of underlying common stock based on the closing price of our common stock as reported on the date of grant.</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Determination of estimated offering price</w:t>
      </w:r>
    </w:p>
    <w:p>
      <w:pPr>
        <w:spacing w:after="0" w:line="141" w:lineRule="exact"/>
        <w:rPr>
          <w:sz w:val="20"/>
          <w:szCs w:val="20"/>
          <w:color w:val="auto"/>
        </w:rPr>
      </w:pPr>
    </w:p>
    <w:p>
      <w:pPr>
        <w:jc w:val="both"/>
        <w:ind w:left="280" w:right="20"/>
        <w:spacing w:after="0" w:line="253" w:lineRule="auto"/>
        <w:rPr>
          <w:sz w:val="20"/>
          <w:szCs w:val="20"/>
          <w:color w:val="auto"/>
        </w:rPr>
      </w:pPr>
      <w:r>
        <w:rPr>
          <w:rFonts w:ascii="Arial" w:cs="Arial" w:eastAsia="Arial" w:hAnsi="Arial"/>
          <w:sz w:val="17"/>
          <w:szCs w:val="17"/>
          <w:color w:val="auto"/>
        </w:rPr>
        <w:t>We and our underwriters determined the estimated price range set forth on the cover of this preliminary prospectus, which is $14.00 to $16.00 per share. In comparison, our estimate of the fair value of our common stock was $6.83 per share at April 16, 2019, which was determined by our board of directors with the assistance of an independent third-party valuation of our common shares.</w:t>
      </w:r>
    </w:p>
    <w:p>
      <w:pPr>
        <w:spacing w:after="0" w:line="89"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We note that, as is typical in initial public offerings, the estimated price range for this offering was not derived using a formal determination of fair value but was determined based upon discussions between us and the underwriters. Among the factors considered in setting the estimated range were prevailing market conditions, estimates of our business potential, progress in our clinical trials and developments in our business, the general condition of the securities market and the market prices of, and demand for, publicly-traded common stock of generally comparable companies.</w:t>
      </w:r>
    </w:p>
    <w:p>
      <w:pPr>
        <w:spacing w:after="0" w:line="93" w:lineRule="exact"/>
        <w:rPr>
          <w:sz w:val="20"/>
          <w:szCs w:val="20"/>
          <w:color w:val="auto"/>
        </w:rPr>
      </w:pPr>
    </w:p>
    <w:p>
      <w:pPr>
        <w:ind w:left="280" w:right="520"/>
        <w:spacing w:after="0" w:line="262" w:lineRule="auto"/>
        <w:rPr>
          <w:sz w:val="20"/>
          <w:szCs w:val="20"/>
          <w:color w:val="auto"/>
        </w:rPr>
      </w:pPr>
      <w:r>
        <w:rPr>
          <w:rFonts w:ascii="Arial" w:cs="Arial" w:eastAsia="Arial" w:hAnsi="Arial"/>
          <w:sz w:val="17"/>
          <w:szCs w:val="17"/>
          <w:color w:val="auto"/>
        </w:rPr>
        <w:t>The intrinsic value of all outstanding options as of March 31, 2019 was $53.9 million based on an assumed initial public offering price of $15.00 per share, the midpoint of the price range set forth on the cover of this prospectus.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Emerging growth company and smaller reporting company status</w:t>
      </w:r>
    </w:p>
    <w:p>
      <w:pPr>
        <w:spacing w:after="0" w:line="141"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89" w:lineRule="exact"/>
        <w:rPr>
          <w:sz w:val="20"/>
          <w:szCs w:val="20"/>
          <w:color w:val="auto"/>
        </w:rPr>
      </w:pPr>
    </w:p>
    <w:p>
      <w:pPr>
        <w:jc w:val="both"/>
        <w:ind w:left="280" w:right="220"/>
        <w:spacing w:after="0" w:line="253" w:lineRule="auto"/>
        <w:rPr>
          <w:sz w:val="20"/>
          <w:szCs w:val="20"/>
          <w:color w:val="auto"/>
        </w:rPr>
      </w:pPr>
      <w:r>
        <w:rPr>
          <w:rFonts w:ascii="Arial" w:cs="Arial" w:eastAsia="Arial" w:hAnsi="Arial"/>
          <w:sz w:val="17"/>
          <w:szCs w:val="17"/>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89" w:lineRule="exact"/>
        <w:rPr>
          <w:sz w:val="20"/>
          <w:szCs w:val="20"/>
          <w:color w:val="auto"/>
        </w:rPr>
      </w:pPr>
    </w:p>
    <w:p>
      <w:pPr>
        <w:ind w:left="280" w:right="800"/>
        <w:spacing w:after="0" w:line="262" w:lineRule="auto"/>
        <w:rPr>
          <w:sz w:val="20"/>
          <w:szCs w:val="20"/>
          <w:color w:val="auto"/>
        </w:rPr>
      </w:pPr>
      <w:r>
        <w:rPr>
          <w:rFonts w:ascii="Arial" w:cs="Arial" w:eastAsia="Arial" w:hAnsi="Arial"/>
          <w:sz w:val="17"/>
          <w:szCs w:val="17"/>
          <w:color w:val="auto"/>
        </w:rPr>
        <w:t>As a result, our consolidated financial statements may not be comparable to companies that comply with new or revised accounting pronouncements as of public company effective dates.</w:t>
      </w:r>
    </w:p>
    <w:p>
      <w:pPr>
        <w:spacing w:after="0" w:line="80"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We will remain an emerging growth company until the earliest of (i) the last day of our first fiscal year (a) following the fifth anniversary of the completion of this offering, (b) in which we have total annual gross revenues of at least $1.07 billion, or (c) when we are deemed to be a large accelerated filer, which means the market value of our common stock that is held by non-affiliates exceeds $700 million as of the prior June 30</w:t>
      </w:r>
      <w:r>
        <w:rPr>
          <w:rFonts w:ascii="Arial" w:cs="Arial" w:eastAsia="Arial" w:hAnsi="Arial"/>
          <w:sz w:val="11"/>
          <w:szCs w:val="11"/>
          <w:color w:val="auto"/>
        </w:rPr>
        <w:t>th</w:t>
      </w:r>
      <w:r>
        <w:rPr>
          <w:rFonts w:ascii="Arial" w:cs="Arial" w:eastAsia="Arial" w:hAnsi="Arial"/>
          <w:sz w:val="17"/>
          <w:szCs w:val="17"/>
          <w:color w:val="auto"/>
        </w:rPr>
        <w:t xml:space="preserve"> and (ii) the date on which we have issued more than $1.0 billion in non-convertible debt securities during the prior three-year period.</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140"/>
          </w:cols>
          <w:pgMar w:left="240" w:top="455"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Recently adopted accounting pronouncements</w:t>
      </w:r>
    </w:p>
    <w:p>
      <w:pPr>
        <w:spacing w:after="0" w:line="123" w:lineRule="exact"/>
        <w:rPr>
          <w:sz w:val="20"/>
          <w:szCs w:val="20"/>
          <w:color w:val="auto"/>
        </w:rPr>
      </w:pPr>
    </w:p>
    <w:p>
      <w:pPr>
        <w:ind w:left="280" w:right="20"/>
        <w:spacing w:after="0" w:line="255"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which provides guidance about which changes to the terms or conditions of a share-based payment award require an entity to apply modification accounting in Topic 718. The amendments in this ASU should be applied prospectively to an award modified on or after the adoption date. We adopted ASU 2017-09 effective January 1, 2018, and the adoption of ASU 2017-09 did not impact our consolidated financial statements or financial statement disclosures.</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Recently issued accounting pronouncements</w:t>
      </w:r>
    </w:p>
    <w:p>
      <w:pPr>
        <w:spacing w:after="0" w:line="123"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with guidance regarding the accounting for and disclosure of leases. The update requires lessees to recognize all leases, including operating leases, with a term greater than 12 months on the balance sheet. This update also requires lessees and lessors to disclose key information about their leasing transactions. This guidance will be effective for public companies for annual and interim periods beginning after December 15, 2018. For all other companies, this standard is effective for annual reporting periods beginning after December 15, 2019, and interim periods within annual periods beginning after December 15, 2020. We will adopt this standard on January 1, 2020. While we expect the implementation of ASU 2016-02 to result in the recognition of right-of-use assets and lease liabilities for leased facilities, we are still evaluating the impact that the adoption of ASU 2016-02 will have on our consolidated financial statements.</w:t>
      </w:r>
    </w:p>
    <w:p>
      <w:pPr>
        <w:spacing w:after="0" w:line="71"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Distinguishing Liabilities from Equity (Topic 480) and Derivatives and Hedging (Topic 815): I. </w:t>
      </w:r>
      <w:r>
        <w:rPr>
          <w:rFonts w:ascii="Arial" w:cs="Arial" w:eastAsia="Arial" w:hAnsi="Arial"/>
          <w:sz w:val="17"/>
          <w:szCs w:val="17"/>
          <w:i w:val="1"/>
          <w:iCs w:val="1"/>
          <w:color w:val="auto"/>
        </w:rPr>
        <w:t>Accounting for Certain Financial Instruments with Down Round Features; II. Replacement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Part I of this update addresses the complexity of accounting for certain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For public business entities, the amendments in Part I of ASU 2017-11 are effective for fiscal</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160"/>
          </w:cols>
          <w:pgMar w:left="240" w:top="455"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years and interim periods within those years beginning after December 15, 2018. For all other entities, the amendments in Part I of this update are effective for fiscal years beginning after December 15, 2019, and interim periods within fiscal years beginning after December 15, 2020. We intend to adopt Part I of this update on January 1, 2020. Early adoption is permitted for all entities, including adoption in an interim period. We are currently assessing the potential impact of adopting ASU 2017-11 on our consolidated financial statements and financial statement disclosures.</w:t>
      </w:r>
    </w:p>
    <w:p>
      <w:pPr>
        <w:spacing w:after="0" w:line="75"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This ASU removed the following disclosure requirements: (i) the amount of and reasons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between Level 1 and Level 2 of the fair value hierarchy; (ii) the policy for timing of transfers between levels; and (i) the valuation processes for Level 3 fair value measurements. Additionally, this update added the following disclosure requirements: (i) the changes in unrealized gains and losses for the period included in other comprehensive income and loss for recurring Level 3 fair value measurements held at the end of the reporting period; and (ii)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will be effective for all entities, for fiscal years beginning after December 15, 2019 with early adoption permitted. We intend to adopt this standard on January 1, 2020 and does not expect that the adoption of the update will have a material impact on our consolidated financial statements.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Quantitative and qualitative disclosures about market risk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31"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We held cash, cash equivalents and restricted cash of $105.6 million as of December 31, 2018 and $98.9 million as of March 31, 2019. We generally hold our cash in interest-bearing money market accounts. Our primary exposure to market risk is interest rate sensitivity, which is affected by changes in the general level of U.S. interest rates. An immediate 100 basis point change in interest rates would affect the fair market value of our cash equivalents by approximately $1.1 million.</w:t>
      </w:r>
    </w:p>
    <w:p>
      <w:pPr>
        <w:spacing w:after="0" w:line="13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100"/>
          </w:cols>
          <w:pgMar w:left="240" w:top="455" w:right="5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Business</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Overview</w:t>
      </w:r>
    </w:p>
    <w:p>
      <w:pPr>
        <w:spacing w:after="0" w:line="14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are pioneering a new way to treat the underlying causes of severe genetic diseases by precisely upregulating protein expression. We are developing novel antisense oligonucleotide, or ASO, medicines that target ribonucleic acid, or RNA, and modulate precursor-messenger RNA, or pre-mRNA, splicing to upregulate protein expression where needed and with appropriate specificity to near normal levels. We utilize our proprietary technology platform, Targeted Augmentation of Nuclear Gene Output, or TANGO, to design ASOs to upregulate the expression of protein by individual genes in a patient. Our approach is designed to allow us to deliver in a highly precise, durable and controlled manner disease-modifying therapies to a wide range of relevant tissues, including the central nervous system, or CNS, eye, kidney and liver. We designed our lead product candidate, STK-001, to treat Dravet syndrome, a severe and progressive genetic epilepsy. With a well-defined patient population based on routine genetic testing and learnings from recently approved drugs for the treatment of Dravet syndrome to inform the clinical and regulatory pathways for STK-001, we anticipate an efficient clinical program for STK-001. We plan to submit an investigational new drug application, or IND, for STK-001 by early 2020 and expect to initiate a Phase 1/2 clinical trial in the first half of 2020. We intend to nominate a second candidate to treat an additional genetic disease for preclinical development by the first half of 2020.</w:t>
      </w:r>
    </w:p>
    <w:p>
      <w:pPr>
        <w:spacing w:after="0" w:line="94"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Our proprietary technology platform is based on the pioneering work conducted on pre-mRNA splicing and ASOs in the laboratory of one of our co-founders, Adrian R. Krainer, Ph.D., of Cold Spring Harbor Laboratory in New York. Inspired by the clinical success of SPINRAZA, an ASO medicine for the treatment of spinal muscular atrophy that was co-invented by Professor Krainer, our company was founded to develop a general antisense approach to upregulate protein expression. TANGO exploits unique, patented mechanisms for antisense-mediated modulation of splicing to prevent the synthesis of naturally occurring non-productive messenger RNA, or mRNA, and to increase the synthesis of productive mRNA to increase production of functional protein. Our technology is amenable to a large number of mutations and can thereby potentially provide a single-drug approach for diseases that are caused by many loss-of-function mutations in a single gene. We have identified approximately 2,900 monogenic, or single gene, diseases which we believe are amenable to TANGO. We have an intellectual property estate that includes multi-national allowed and pending claims for the TANGO mechanisms, as well as multi-national pending claims relating to compositions of matter of oligonucleotides designed to target specific TANGO elements in genes for more than 140 genetic diseases that we believe are amenable to upregulation of target protein expression using TANGO.</w:t>
      </w:r>
    </w:p>
    <w:p>
      <w:pPr>
        <w:spacing w:after="0" w:line="94" w:lineRule="exact"/>
        <w:rPr>
          <w:sz w:val="20"/>
          <w:szCs w:val="20"/>
          <w:color w:val="auto"/>
        </w:rPr>
      </w:pPr>
    </w:p>
    <w:p>
      <w:pPr>
        <w:ind w:left="280" w:right="300"/>
        <w:spacing w:after="0" w:line="248" w:lineRule="auto"/>
        <w:rPr>
          <w:sz w:val="20"/>
          <w:szCs w:val="20"/>
          <w:color w:val="auto"/>
        </w:rPr>
      </w:pPr>
      <w:r>
        <w:rPr>
          <w:rFonts w:ascii="Arial" w:cs="Arial" w:eastAsia="Arial" w:hAnsi="Arial"/>
          <w:sz w:val="17"/>
          <w:szCs w:val="17"/>
          <w:color w:val="auto"/>
        </w:rPr>
        <w:t>We are initially focused on applying the transformative potential of our platform to develop precision medicines for autosomal dominant haploinsufficiency diseases. There are more than 660 known monogenic diseases that are categorized as haploinsufficiencies. These diseases are ones in which only one copy, or allele, of the gene needs to be mutated for the disease or trait to develop, and that mutated allele generates a protein that is severely deficient in amount or activity, resulting in approximately 50% of normal protein expression in the patient. We believe TANGO is well-suited to treat haploinsufficiencies by increasing expression of the healthy, or wild-type, allele, thereby restoring the target protein to near normal levels.</w:t>
      </w:r>
    </w:p>
    <w:p>
      <w:pPr>
        <w:spacing w:after="0" w:line="95" w:lineRule="exact"/>
        <w:rPr>
          <w:sz w:val="20"/>
          <w:szCs w:val="20"/>
          <w:color w:val="auto"/>
        </w:rPr>
      </w:pPr>
    </w:p>
    <w:p>
      <w:pPr>
        <w:ind w:left="280" w:right="120"/>
        <w:spacing w:after="0" w:line="248" w:lineRule="auto"/>
        <w:rPr>
          <w:sz w:val="20"/>
          <w:szCs w:val="20"/>
          <w:color w:val="auto"/>
        </w:rPr>
      </w:pPr>
      <w:r>
        <w:rPr>
          <w:rFonts w:ascii="Arial" w:cs="Arial" w:eastAsia="Arial" w:hAnsi="Arial"/>
          <w:sz w:val="17"/>
          <w:szCs w:val="17"/>
          <w:color w:val="auto"/>
        </w:rPr>
        <w:t>We are developing TANGO as potentially the first precision medicine platform for a category of severe genetic diseases known as autosomal dominant haploinsufficiencies. Existing precision medicine platforms, including gene therapy, gene editing, modified mRNA, protein-based drugs, small molecules and oligonucleotides, have fundamental limitations that make them poorly suited to address haploinsufficiencies. Numerous technical challenges preclude effective application of these modalities to haploinsufficiencies, including: (i) the inability to control level and tissue distribution of target protein expression, (ii) potential irreversible on- and off-target effects, (iii) target gene size limitations, (iv) incompatibility with diseases caused by many mutations, (v) drug</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160"/>
          </w:cols>
          <w:pgMar w:left="240" w:top="455"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0"/>
        <w:spacing w:after="0" w:line="262" w:lineRule="auto"/>
        <w:rPr>
          <w:sz w:val="20"/>
          <w:szCs w:val="20"/>
          <w:color w:val="auto"/>
        </w:rPr>
      </w:pPr>
      <w:r>
        <w:rPr>
          <w:rFonts w:ascii="Arial" w:cs="Arial" w:eastAsia="Arial" w:hAnsi="Arial"/>
          <w:sz w:val="17"/>
          <w:szCs w:val="17"/>
          <w:color w:val="auto"/>
        </w:rPr>
        <w:t>manufacturing and (vi) delivery hurdles. There is a need for novel therapeutics that can restore protein expression and address the underlying genetic causes of haploinsufficiencies.</w:t>
      </w:r>
    </w:p>
    <w:p>
      <w:pPr>
        <w:spacing w:after="0" w:line="80"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 xml:space="preserve">Within haploinsufficiency diseases, we are initially prioritizing the development of ASOs for the treatment of genetic epilepsies. According to a 2010 publication in </w:t>
      </w:r>
      <w:r>
        <w:rPr>
          <w:rFonts w:ascii="Arial" w:cs="Arial" w:eastAsia="Arial" w:hAnsi="Arial"/>
          <w:sz w:val="17"/>
          <w:szCs w:val="17"/>
          <w:i w:val="1"/>
          <w:iCs w:val="1"/>
          <w:color w:val="auto"/>
        </w:rPr>
        <w:t>Nature Reviews Neurology</w:t>
      </w:r>
      <w:r>
        <w:rPr>
          <w:rFonts w:ascii="Arial" w:cs="Arial" w:eastAsia="Arial" w:hAnsi="Arial"/>
          <w:sz w:val="17"/>
          <w:szCs w:val="17"/>
          <w:color w:val="auto"/>
        </w:rPr>
        <w:t xml:space="preserve"> and a 2018 publication in </w:t>
      </w:r>
      <w:r>
        <w:rPr>
          <w:rFonts w:ascii="Arial" w:cs="Arial" w:eastAsia="Arial" w:hAnsi="Arial"/>
          <w:sz w:val="17"/>
          <w:szCs w:val="17"/>
          <w:i w:val="1"/>
          <w:iCs w:val="1"/>
          <w:color w:val="auto"/>
        </w:rPr>
        <w:t>JAMA Neurology</w:t>
      </w:r>
      <w:r>
        <w:rPr>
          <w:rFonts w:ascii="Arial" w:cs="Arial" w:eastAsia="Arial" w:hAnsi="Arial"/>
          <w:sz w:val="17"/>
          <w:szCs w:val="17"/>
          <w:color w:val="auto"/>
        </w:rPr>
        <w:t xml:space="preserve">, more than 50% of epilepsies are now recognized as having a genetic basis and more than 30% of patients are refractory to existing therapies, especially those with a genetic epilepsy. Our most advanced program is the potentially first disease-modifying therapy for Dravet syndrome, a severe and progressive genetic epilepsy. Dravet syndrome is caused by loss-of-function mutations in one allele of the </w:t>
      </w:r>
      <w:r>
        <w:rPr>
          <w:rFonts w:ascii="Arial" w:cs="Arial" w:eastAsia="Arial" w:hAnsi="Arial"/>
          <w:sz w:val="17"/>
          <w:szCs w:val="17"/>
          <w:i w:val="1"/>
          <w:iCs w:val="1"/>
          <w:color w:val="auto"/>
        </w:rPr>
        <w:t>SCN1A</w:t>
      </w:r>
      <w:r>
        <w:rPr>
          <w:rFonts w:ascii="Arial" w:cs="Arial" w:eastAsia="Arial" w:hAnsi="Arial"/>
          <w:sz w:val="17"/>
          <w:szCs w:val="17"/>
          <w:color w:val="auto"/>
        </w:rPr>
        <w:t xml:space="preserve"> gene and is characterized by frequent and prolonged seizures beginning in the first year of life, severe intellectual and developmental disabilities and other serious health problems, including, notably, sudden premature death in approximately 20% of patients with Dravet syndrome. Current treatments for Dravet syndrome only address the occurrence of seizures, not the underlying cause of disease. According to a 2017 study as published in the </w:t>
      </w:r>
      <w:r>
        <w:rPr>
          <w:rFonts w:ascii="Arial" w:cs="Arial" w:eastAsia="Arial" w:hAnsi="Arial"/>
          <w:sz w:val="17"/>
          <w:szCs w:val="17"/>
          <w:i w:val="1"/>
          <w:iCs w:val="1"/>
          <w:color w:val="auto"/>
        </w:rPr>
        <w:t>Developmental</w:t>
      </w:r>
      <w:r>
        <w:rPr>
          <w:rFonts w:ascii="Arial" w:cs="Arial" w:eastAsia="Arial" w:hAnsi="Arial"/>
          <w:sz w:val="17"/>
          <w:szCs w:val="17"/>
          <w:color w:val="auto"/>
        </w:rPr>
        <w:t xml:space="preserve"> </w:t>
      </w:r>
      <w:r>
        <w:rPr>
          <w:rFonts w:ascii="Arial" w:cs="Arial" w:eastAsia="Arial" w:hAnsi="Arial"/>
          <w:sz w:val="17"/>
          <w:szCs w:val="17"/>
          <w:i w:val="1"/>
          <w:iCs w:val="1"/>
          <w:color w:val="auto"/>
        </w:rPr>
        <w:t>Medicine &amp; Child Neurology Journal</w:t>
      </w:r>
      <w:r>
        <w:rPr>
          <w:rFonts w:ascii="Arial" w:cs="Arial" w:eastAsia="Arial" w:hAnsi="Arial"/>
          <w:sz w:val="17"/>
          <w:szCs w:val="17"/>
          <w:color w:val="auto"/>
        </w:rPr>
        <w:t>, more than 90% of Dravet syndrome patients still report suffering from incomplete seizure control with</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antiepileptic regimens.</w:t>
      </w:r>
    </w:p>
    <w:p>
      <w:pPr>
        <w:spacing w:after="0" w:line="296"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have generated preclinical data demonstrating proof-of-mechanism for STK-001 and intend to submit an IND application by early 2020. With a well-defined patient population based on routine genetic testing and learnings from recently approved drugs for the treatment of Dravet syndrome to inform the clinical and regulatory pathways for STK-001, we anticipate an efficient clinical program for STK-001. We are leveraging similar ASO chemistry as the approved drug SPINRAZA, which minimizes potential safety and biodistribution risks in the CNS. We expect to initiate a Phase 1/2 clinical trial in children and adolescents with Dravet syndrome in the first half of 2020 and anticipate clinical data, including preliminary efficacy data, in 2021. Beyond STK-001, we are building a pipeline of novel precision medicines for genetic epilepsies and other haploinsufficiencies, and we intend to nominate our second candidate to treat an additional genetic disease for preclinical development by the first half of 2020.</w:t>
      </w:r>
    </w:p>
    <w:p>
      <w:pPr>
        <w:spacing w:after="0" w:line="97" w:lineRule="exact"/>
        <w:rPr>
          <w:sz w:val="20"/>
          <w:szCs w:val="20"/>
          <w:color w:val="auto"/>
        </w:rPr>
      </w:pPr>
    </w:p>
    <w:p>
      <w:pPr>
        <w:ind w:left="280" w:right="120"/>
        <w:spacing w:after="0" w:line="247" w:lineRule="auto"/>
        <w:rPr>
          <w:sz w:val="20"/>
          <w:szCs w:val="20"/>
          <w:color w:val="auto"/>
        </w:rPr>
      </w:pPr>
      <w:r>
        <w:rPr>
          <w:rFonts w:ascii="Arial" w:cs="Arial" w:eastAsia="Arial" w:hAnsi="Arial"/>
          <w:sz w:val="17"/>
          <w:szCs w:val="17"/>
          <w:color w:val="auto"/>
        </w:rPr>
        <w:t>Our executive management team has extensive collective expertise in human genetics and modulation of RNA processes using ASOs, as well as a track record of success in rare disease drug development. Our executive team and co-founders have been previously involved with other companies in the discovery, development and commercialization of many treatments for rare diseases, including Sarepta’s Exondys 51 and Biogen’s SPINRAZA. Our scientific and clinical advisory boards are comprised of leading experts in the fields of human genetics, pre-mRNA splicing and ASOs, and neurodevelopmental and neurodegenerative diseases. Their involvement in both academic research and clinical practice allows us to gain proprietary and early insight into emerging biology and clinical practice that informs our business strategy. As of March 31, 2019, we have raised over $130 million in funding from two financing rounds, including investments from Apple Tree Partners, RTW Investments, RA Capital Management, Cormorant Asset Management, Perceptive Advisors and funds managed by Janus Henderson Investors, Redmile Group, Sphera Funds Management and Alexandria Venture Investments.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Our strategy</w:t>
      </w:r>
    </w:p>
    <w:p>
      <w:pPr>
        <w:spacing w:after="0" w:line="141" w:lineRule="exact"/>
        <w:rPr>
          <w:sz w:val="20"/>
          <w:szCs w:val="20"/>
          <w:color w:val="auto"/>
        </w:rPr>
      </w:pPr>
    </w:p>
    <w:p>
      <w:pPr>
        <w:ind w:left="280" w:right="900"/>
        <w:spacing w:after="0" w:line="262" w:lineRule="auto"/>
        <w:rPr>
          <w:sz w:val="20"/>
          <w:szCs w:val="20"/>
          <w:color w:val="auto"/>
        </w:rPr>
      </w:pPr>
      <w:r>
        <w:rPr>
          <w:rFonts w:ascii="Arial" w:cs="Arial" w:eastAsia="Arial" w:hAnsi="Arial"/>
          <w:sz w:val="17"/>
          <w:szCs w:val="17"/>
          <w:color w:val="auto"/>
        </w:rPr>
        <w:t>We are using our proprietary TANGO technology platform to create ASOs for the treatment of severe genetic diseases. The critical components of our strategy include:</w:t>
      </w:r>
    </w:p>
    <w:p>
      <w:pPr>
        <w:spacing w:after="0" w:line="75" w:lineRule="exact"/>
        <w:rPr>
          <w:sz w:val="20"/>
          <w:szCs w:val="20"/>
          <w:color w:val="auto"/>
        </w:rPr>
      </w:pPr>
    </w:p>
    <w:p>
      <w:pPr>
        <w:ind w:left="480" w:right="220" w:hanging="207"/>
        <w:spacing w:after="0" w:line="258" w:lineRule="auto"/>
        <w:tabs>
          <w:tab w:leader="none" w:pos="4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Rapidly advance our lead program, STK-001, to clinical proof-of-concept, approval and commercialization. </w:t>
      </w:r>
      <w:r>
        <w:rPr>
          <w:rFonts w:ascii="Arial" w:cs="Arial" w:eastAsia="Arial" w:hAnsi="Arial"/>
          <w:sz w:val="17"/>
          <w:szCs w:val="17"/>
          <w:color w:val="auto"/>
        </w:rPr>
        <w:t>We intend to advance our</w:t>
      </w:r>
      <w:r>
        <w:rPr>
          <w:rFonts w:ascii="Arial" w:cs="Arial" w:eastAsia="Arial" w:hAnsi="Arial"/>
          <w:sz w:val="17"/>
          <w:szCs w:val="17"/>
          <w:i w:val="1"/>
          <w:iCs w:val="1"/>
          <w:color w:val="auto"/>
        </w:rPr>
        <w:t xml:space="preserve"> </w:t>
      </w:r>
      <w:r>
        <w:rPr>
          <w:rFonts w:ascii="Arial" w:cs="Arial" w:eastAsia="Arial" w:hAnsi="Arial"/>
          <w:sz w:val="17"/>
          <w:szCs w:val="17"/>
          <w:color w:val="auto"/>
        </w:rPr>
        <w:t>lead product candidate, STK-001, into a Phase 1/2 clinical trial in children and adolescents with Dravet syndrome in the first half of 2020. We are leveraging previously-validated ASO chemistry, a modality that has been successfully utilized for other diseases, a well-defined patient population based on routine genetic testing and learnings from recently approved drugs for the</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160"/>
          </w:cols>
          <w:pgMar w:left="240" w:top="455"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40"/>
        <w:spacing w:after="0" w:line="249" w:lineRule="auto"/>
        <w:rPr>
          <w:sz w:val="20"/>
          <w:szCs w:val="20"/>
          <w:color w:val="auto"/>
        </w:rPr>
      </w:pPr>
      <w:r>
        <w:rPr>
          <w:rFonts w:ascii="Arial" w:cs="Arial" w:eastAsia="Arial" w:hAnsi="Arial"/>
          <w:sz w:val="17"/>
          <w:szCs w:val="17"/>
          <w:color w:val="auto"/>
        </w:rPr>
        <w:t>treatment of Dravet syndrome to inform the clinical and regulatory pathways for STK-001 and minimize potential safety concerns and development risk. We believe STK-001 has the potential to significantly reduce both the occurrence of seizures and significant non-seizure comorbidities. If we see evidence of efficacy following clinical data, then we would plan to meet with regulatory authorities to discuss expedited regulatory pathways. If approved, we intend to leverage a lean, targeted internal commercial organization to bring STK-001 to patients globally.</w:t>
      </w:r>
    </w:p>
    <w:p>
      <w:pPr>
        <w:spacing w:after="0" w:line="88" w:lineRule="exact"/>
        <w:rPr>
          <w:sz w:val="20"/>
          <w:szCs w:val="20"/>
          <w:color w:val="auto"/>
        </w:rPr>
      </w:pPr>
    </w:p>
    <w:p>
      <w:pPr>
        <w:ind w:left="480" w:hanging="207"/>
        <w:spacing w:after="0" w:line="255" w:lineRule="auto"/>
        <w:tabs>
          <w:tab w:leader="none" w:pos="4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Prioritize genetic epilepsies for near-term development efforts. </w:t>
      </w:r>
      <w:r>
        <w:rPr>
          <w:rFonts w:ascii="Arial" w:cs="Arial" w:eastAsia="Arial" w:hAnsi="Arial"/>
          <w:sz w:val="17"/>
          <w:szCs w:val="17"/>
          <w:color w:val="auto"/>
        </w:rPr>
        <w:t>We believe that no other haploinsufficiency disease area holds as much</w:t>
      </w:r>
      <w:r>
        <w:rPr>
          <w:rFonts w:ascii="Arial" w:cs="Arial" w:eastAsia="Arial" w:hAnsi="Arial"/>
          <w:sz w:val="17"/>
          <w:szCs w:val="17"/>
          <w:i w:val="1"/>
          <w:iCs w:val="1"/>
          <w:color w:val="auto"/>
        </w:rPr>
        <w:t xml:space="preserve"> </w:t>
      </w:r>
      <w:r>
        <w:rPr>
          <w:rFonts w:ascii="Arial" w:cs="Arial" w:eastAsia="Arial" w:hAnsi="Arial"/>
          <w:sz w:val="17"/>
          <w:szCs w:val="17"/>
          <w:color w:val="auto"/>
        </w:rPr>
        <w:t>clear need or as much promise for near-term medical breakthrough as genetic epilepsies. Leveraging our proprietary database, we have identified over 100 genes that are commonly mutated amongst epilepsy patients and that may be amenable to TANGO. We believe that the learnings from our lead Dravet syndrome program will significantly reduce the developmental risk of subsequent programs in our pipeline, particularly those targeting the CNS.</w:t>
      </w:r>
    </w:p>
    <w:p>
      <w:pPr>
        <w:spacing w:after="0" w:line="81" w:lineRule="exact"/>
        <w:rPr>
          <w:rFonts w:ascii="Arial" w:cs="Arial" w:eastAsia="Arial" w:hAnsi="Arial"/>
          <w:sz w:val="17"/>
          <w:szCs w:val="17"/>
          <w:color w:val="auto"/>
        </w:rPr>
      </w:pPr>
    </w:p>
    <w:p>
      <w:pPr>
        <w:ind w:left="480" w:hanging="207"/>
        <w:spacing w:after="0" w:line="252" w:lineRule="auto"/>
        <w:tabs>
          <w:tab w:leader="none" w:pos="4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Expand our pipeline into other disease areas to fully exploit the potential of our proprietary platform. </w:t>
      </w:r>
      <w:r>
        <w:rPr>
          <w:rFonts w:ascii="Arial" w:cs="Arial" w:eastAsia="Arial" w:hAnsi="Arial"/>
          <w:sz w:val="17"/>
          <w:szCs w:val="17"/>
          <w:color w:val="auto"/>
        </w:rPr>
        <w:t>We have built a target discovery</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utilizing proprietary bioinformatics algorithms and extensive in-house expertise in whole transcriptome RNA sequencing to rapidly and systematically identify diseases that we believe can be addressed using our platform. We are advancing several early programs focused on multiple targets, including haploinsufficiency diseases of the CNS, eye, kidney and liver. Indications beyond genetic epilepsies for which our technology may be applicable include autosomal dominant optic atrophy and autosomal dominant polycystic kidney disease. Longer-term, we believe that our ASOs may have the potential to upregulate non-mutated genes in biological pathways to treat diseases or conditions that are caused by multiple genes or are multifactorial, such as autoimmune diseases, aging and cancer.</w:t>
      </w:r>
    </w:p>
    <w:p>
      <w:pPr>
        <w:spacing w:after="0" w:line="83" w:lineRule="exact"/>
        <w:rPr>
          <w:rFonts w:ascii="Arial" w:cs="Arial" w:eastAsia="Arial" w:hAnsi="Arial"/>
          <w:sz w:val="17"/>
          <w:szCs w:val="17"/>
          <w:color w:val="auto"/>
        </w:rPr>
      </w:pPr>
    </w:p>
    <w:p>
      <w:pPr>
        <w:ind w:left="480" w:right="180" w:hanging="207"/>
        <w:spacing w:after="0" w:line="253" w:lineRule="auto"/>
        <w:tabs>
          <w:tab w:leader="none" w:pos="4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Maintain broad commercial rights to our product candidates. </w:t>
      </w:r>
      <w:r>
        <w:rPr>
          <w:rFonts w:ascii="Arial" w:cs="Arial" w:eastAsia="Arial" w:hAnsi="Arial"/>
          <w:sz w:val="17"/>
          <w:szCs w:val="17"/>
          <w:color w:val="auto"/>
        </w:rPr>
        <w:t>We own commercial rights to our technologies and clinical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our lead product candidate, STK-001. We intend to build a fully integrated global biotechnology company and independently pursue the development and commercialization of our key product candidates. As we continue to advance our programs, we may pursue strategic collaborations to share risk and upside in disease areas with higher inherent biology risk, larger clinical trial sizes and longer or more complex clinical and regulatory paths. We plan to opportunistically evaluate potential collaboration arrangements and may elect to enter into an arrangement with a pharmaceutical or biotechnology company as early as this year.</w:t>
      </w:r>
    </w:p>
    <w:p>
      <w:pPr>
        <w:spacing w:after="0" w:line="83" w:lineRule="exact"/>
        <w:rPr>
          <w:rFonts w:ascii="Arial" w:cs="Arial" w:eastAsia="Arial" w:hAnsi="Arial"/>
          <w:sz w:val="17"/>
          <w:szCs w:val="17"/>
          <w:color w:val="auto"/>
        </w:rPr>
      </w:pPr>
    </w:p>
    <w:p>
      <w:pPr>
        <w:ind w:left="480" w:right="100" w:hanging="207"/>
        <w:spacing w:after="0" w:line="253" w:lineRule="auto"/>
        <w:tabs>
          <w:tab w:leader="none" w:pos="4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Continue to strengthen and expand our intellectual property portfolio. </w:t>
      </w:r>
      <w:r>
        <w:rPr>
          <w:rFonts w:ascii="Arial" w:cs="Arial" w:eastAsia="Arial" w:hAnsi="Arial"/>
          <w:sz w:val="17"/>
          <w:szCs w:val="17"/>
          <w:color w:val="auto"/>
        </w:rPr>
        <w:t>We have an intellectual property estate that includes multi-national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allowed and pending claims for the TANGO mechanisms, as well as multi-national pending claims relating to compositions of matter of oligonucleotides designed to target specific TANGO elements in genes for more than 140 genetic diseases that we believe are amenable to upregulation of target protein expression using TANGO. Our proprietary position is reinforced by additional technical know-how and trade secrets. We continually assess and refine our intellectual property strategy as we identify new targets amenable to TANGO, and we will file additional patent applications as appropriate.</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Genetic diseases and precision medicines</w:t>
      </w:r>
    </w:p>
    <w:p>
      <w:pPr>
        <w:spacing w:after="0" w:line="14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Each person’s genetic material, or genome, consists of deoxyribonucleic acid, or DNA, in sequences of genetic code called genes. There are two copies, or alleles, of each gene, which act as instructions to produce specific proteins. When a cell needs to produce a protein, the instructions to make that protein are transcribed from DNA to mRNA for each allele. The initial transcript is called pre-mRNA and contains both protein coding and non-coding elements. During transcription, the non-protein coding elements, such as introns or non-coding exons, are removed in a process called pre-mRNA splicing. Splicing serves to stitch together the coding</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140"/>
          </w:cols>
          <w:pgMar w:left="240" w:top="455"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80"/>
        <w:spacing w:after="0" w:line="262" w:lineRule="auto"/>
        <w:rPr>
          <w:sz w:val="20"/>
          <w:szCs w:val="20"/>
          <w:color w:val="auto"/>
        </w:rPr>
      </w:pPr>
      <w:r>
        <w:rPr>
          <w:rFonts w:ascii="Arial" w:cs="Arial" w:eastAsia="Arial" w:hAnsi="Arial"/>
          <w:sz w:val="17"/>
          <w:szCs w:val="17"/>
          <w:color w:val="auto"/>
        </w:rPr>
        <w:t>elements, or exons, to generate mRNA. The mRNA then serves as the instructions to produce protein. Proteins are required for the structure, function, and regulation of the body’s tissues and organs. The key steps for protein synthesis are exemplified in the schematic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57150</wp:posOffset>
            </wp:positionV>
            <wp:extent cx="5131435" cy="2049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3143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The DNA in the human genome contains approximately three billion nucleotide base pairs, and small changes, or mutations, routinely occur in the base pairs. A mutation in the gene can alter the amount or activity of the protein. Currently, there are estimated to be over 10,000 diseases caused by a genetic abnormality in a single gene. These are also known as monogenic diseases. Monogenic diseases can be categorized as either autosomal recessive or autosomal dominant diseases.</w:t>
      </w:r>
    </w:p>
    <w:p>
      <w:pPr>
        <w:spacing w:after="0" w:line="89"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For diseases that are autosomal recessive, both alleles of a gene must be mutated for the disease or trait to develop. The protein that is generated is severely deficient in amount or activity and typically results in less than 10-25% of normal protein expression in the patient. Conversely, autosomal dominant diseases are those in which only one allele of the gene needs to be mutated for the disease or trait to develop. Autosomal dominant diseases can be broken down into two categories: autosomal dominant gain-of-function or dominant negative and autosomal dominant haploinsufficiency, or loss-of-function. In dominant gain-of-function (dominant negative) diseases, the mutant protein possesses a new deleterious or increased function and acts therefore as a toxic protein. In our focus area of haploinsufficiency diseases, the mutated allele generates a protein that is severely deficient in amount or activity and results in approximately 50% of normal protein expression. Haploinsufficiencies include both rare conditions as well as more common disorders. Severe haploinsufficiencies typically arise from spontaneous mutation, and thus the incidence of these diseases is not reduced by pre-conception genetic screening.</w:t>
      </w:r>
    </w:p>
    <w:p>
      <w:pPr>
        <w:spacing w:after="0" w:line="96" w:lineRule="exact"/>
        <w:rPr>
          <w:sz w:val="20"/>
          <w:szCs w:val="20"/>
          <w:color w:val="auto"/>
        </w:rPr>
      </w:pPr>
    </w:p>
    <w:p>
      <w:pPr>
        <w:ind w:left="280" w:right="180"/>
        <w:spacing w:after="0" w:line="249" w:lineRule="auto"/>
        <w:rPr>
          <w:sz w:val="20"/>
          <w:szCs w:val="20"/>
          <w:color w:val="auto"/>
        </w:rPr>
      </w:pPr>
      <w:r>
        <w:rPr>
          <w:rFonts w:ascii="Arial" w:cs="Arial" w:eastAsia="Arial" w:hAnsi="Arial"/>
          <w:sz w:val="17"/>
          <w:szCs w:val="17"/>
          <w:color w:val="auto"/>
        </w:rPr>
        <w:t>Multiple therapeutic modalities, including gene therapy, gene editing, modified mRNA, protein-based drugs, small molecules and oligonucleotides are approved or are being developed to address all types of monogenic diseases. However, most of these therapeutic approaches are focused on autosomal recessive or autosomal dominant gain-of-function (dominant negative) diseases. The nature and fundamental limitations of these modalities make them poorly suited to address the underlying genetic cause of haploinsufficiency diseases. Consequently, there has been little focus on drug development for these diseases despite a significant unmet medical need.</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160"/>
          </w:cols>
          <w:pgMar w:left="240" w:top="455"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20"/>
        <w:spacing w:after="0" w:line="262" w:lineRule="auto"/>
        <w:rPr>
          <w:sz w:val="20"/>
          <w:szCs w:val="20"/>
          <w:color w:val="auto"/>
        </w:rPr>
      </w:pPr>
      <w:r>
        <w:rPr>
          <w:rFonts w:ascii="Arial" w:cs="Arial" w:eastAsia="Arial" w:hAnsi="Arial"/>
          <w:sz w:val="17"/>
          <w:szCs w:val="17"/>
          <w:color w:val="auto"/>
        </w:rPr>
        <w:t>The table below summarizes the major categories of genetic diseases and the various precision medicine approaches that are actively being used or explored to address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107950</wp:posOffset>
            </wp:positionV>
            <wp:extent cx="69094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b w:val="1"/>
                <w:bCs w:val="1"/>
                <w:color w:val="auto"/>
              </w:rPr>
              <w:t>Autosomal dominant</w:t>
            </w: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0"/>
        </w:trPr>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b w:val="1"/>
                <w:bCs w:val="1"/>
                <w:color w:val="auto"/>
              </w:rPr>
              <w:t>gain-of-function /</w:t>
            </w:r>
          </w:p>
        </w:tc>
        <w:tc>
          <w:tcPr>
            <w:tcW w:w="2520" w:type="dxa"/>
            <w:vAlign w:val="bottom"/>
            <w:gridSpan w:val="2"/>
          </w:tcPr>
          <w:p>
            <w:pPr>
              <w:ind w:left="120"/>
              <w:spacing w:after="0"/>
              <w:rPr>
                <w:sz w:val="20"/>
                <w:szCs w:val="20"/>
                <w:color w:val="auto"/>
              </w:rPr>
            </w:pPr>
            <w:r>
              <w:rPr>
                <w:rFonts w:ascii="Arial" w:cs="Arial" w:eastAsia="Arial" w:hAnsi="Arial"/>
                <w:sz w:val="17"/>
                <w:szCs w:val="17"/>
                <w:b w:val="1"/>
                <w:bCs w:val="1"/>
                <w:color w:val="auto"/>
              </w:rPr>
              <w:t>Autosomal dominant</w:t>
            </w:r>
          </w:p>
        </w:tc>
      </w:tr>
      <w:tr>
        <w:trPr>
          <w:trHeight w:val="219"/>
        </w:trPr>
        <w:tc>
          <w:tcPr>
            <w:tcW w:w="27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Category</w:t>
            </w:r>
          </w:p>
        </w:tc>
        <w:tc>
          <w:tcPr>
            <w:tcW w:w="29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Autosomal recessive</w:t>
            </w:r>
          </w:p>
        </w:tc>
        <w:tc>
          <w:tcPr>
            <w:tcW w:w="2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dominant negative</w:t>
            </w:r>
          </w:p>
        </w:tc>
        <w:tc>
          <w:tcPr>
            <w:tcW w:w="25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haploinsufficiency</w:t>
            </w:r>
          </w:p>
        </w:tc>
      </w:tr>
      <w:tr>
        <w:trPr>
          <w:trHeight w:val="196"/>
        </w:trPr>
        <w:tc>
          <w:tcPr>
            <w:tcW w:w="2740" w:type="dxa"/>
            <w:vAlign w:val="bottom"/>
          </w:tcPr>
          <w:p>
            <w:pPr>
              <w:spacing w:after="0"/>
              <w:rPr>
                <w:sz w:val="20"/>
                <w:szCs w:val="20"/>
                <w:color w:val="auto"/>
              </w:rPr>
            </w:pPr>
            <w:r>
              <w:rPr>
                <w:rFonts w:ascii="Arial" w:cs="Arial" w:eastAsia="Arial" w:hAnsi="Arial"/>
                <w:sz w:val="17"/>
                <w:szCs w:val="17"/>
                <w:color w:val="auto"/>
              </w:rPr>
              <w:t>Genetic mutation</w:t>
            </w:r>
          </w:p>
        </w:tc>
        <w:tc>
          <w:tcPr>
            <w:tcW w:w="2940" w:type="dxa"/>
            <w:vAlign w:val="bottom"/>
            <w:gridSpan w:val="2"/>
          </w:tcPr>
          <w:p>
            <w:pPr>
              <w:ind w:left="320"/>
              <w:spacing w:after="0"/>
              <w:rPr>
                <w:sz w:val="20"/>
                <w:szCs w:val="20"/>
                <w:color w:val="auto"/>
              </w:rPr>
            </w:pPr>
            <w:r>
              <w:rPr>
                <w:rFonts w:ascii="Arial" w:cs="Arial" w:eastAsia="Arial" w:hAnsi="Arial"/>
                <w:sz w:val="17"/>
                <w:szCs w:val="17"/>
                <w:color w:val="auto"/>
              </w:rPr>
              <w:t>Loss-of-function mutations in</w:t>
            </w: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Gain-of-function or dominant</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Loss-of-function mutation in</w:t>
            </w:r>
          </w:p>
        </w:tc>
      </w:tr>
      <w:tr>
        <w:trPr>
          <w:trHeight w:val="200"/>
        </w:trPr>
        <w:tc>
          <w:tcPr>
            <w:tcW w:w="2740" w:type="dxa"/>
            <w:vAlign w:val="bottom"/>
          </w:tcPr>
          <w:p>
            <w:pPr>
              <w:spacing w:after="0"/>
              <w:rPr>
                <w:sz w:val="17"/>
                <w:szCs w:val="17"/>
                <w:color w:val="auto"/>
              </w:rPr>
            </w:pPr>
          </w:p>
        </w:tc>
        <w:tc>
          <w:tcPr>
            <w:tcW w:w="2940" w:type="dxa"/>
            <w:vAlign w:val="bottom"/>
            <w:gridSpan w:val="2"/>
          </w:tcPr>
          <w:p>
            <w:pPr>
              <w:ind w:left="320"/>
              <w:spacing w:after="0"/>
              <w:rPr>
                <w:sz w:val="20"/>
                <w:szCs w:val="20"/>
                <w:color w:val="auto"/>
              </w:rPr>
            </w:pPr>
            <w:r>
              <w:rPr>
                <w:rFonts w:ascii="Arial" w:cs="Arial" w:eastAsia="Arial" w:hAnsi="Arial"/>
                <w:sz w:val="17"/>
                <w:szCs w:val="17"/>
                <w:color w:val="auto"/>
              </w:rPr>
              <w:t>both gene alleles</w:t>
            </w: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negative mutation in one gene</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one gene allele</w:t>
            </w:r>
          </w:p>
        </w:tc>
      </w:tr>
      <w:tr>
        <w:trPr>
          <w:trHeight w:val="209"/>
        </w:trPr>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allele (toxic protein)</w:t>
            </w: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48"/>
        </w:trPr>
        <w:tc>
          <w:tcPr>
            <w:tcW w:w="274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tcPr>
          <w:p>
            <w:pPr>
              <w:spacing w:after="0"/>
              <w:rPr>
                <w:sz w:val="12"/>
                <w:szCs w:val="12"/>
                <w:color w:val="auto"/>
              </w:rPr>
            </w:pPr>
          </w:p>
        </w:tc>
        <w:tc>
          <w:tcPr>
            <w:tcW w:w="2680" w:type="dxa"/>
            <w:vAlign w:val="bottom"/>
            <w:tcBorders>
              <w:bottom w:val="single" w:sz="8" w:color="auto"/>
            </w:tcBorders>
            <w:gridSpan w:val="2"/>
          </w:tcPr>
          <w:p>
            <w:pPr>
              <w:spacing w:after="0"/>
              <w:rPr>
                <w:sz w:val="12"/>
                <w:szCs w:val="12"/>
                <w:color w:val="auto"/>
              </w:rPr>
            </w:pPr>
          </w:p>
        </w:tc>
        <w:tc>
          <w:tcPr>
            <w:tcW w:w="2520" w:type="dxa"/>
            <w:vAlign w:val="bottom"/>
            <w:tcBorders>
              <w:bottom w:val="single" w:sz="8" w:color="auto"/>
            </w:tcBorders>
            <w:gridSpan w:val="2"/>
          </w:tcPr>
          <w:p>
            <w:pPr>
              <w:spacing w:after="0"/>
              <w:rPr>
                <w:sz w:val="12"/>
                <w:szCs w:val="12"/>
                <w:color w:val="auto"/>
              </w:rPr>
            </w:pPr>
          </w:p>
        </w:tc>
      </w:tr>
      <w:tr>
        <w:trPr>
          <w:trHeight w:val="250"/>
        </w:trPr>
        <w:tc>
          <w:tcPr>
            <w:tcW w:w="2740" w:type="dxa"/>
            <w:vAlign w:val="bottom"/>
          </w:tcPr>
          <w:p>
            <w:pPr>
              <w:spacing w:after="0"/>
              <w:rPr>
                <w:sz w:val="20"/>
                <w:szCs w:val="20"/>
                <w:color w:val="auto"/>
              </w:rPr>
            </w:pPr>
            <w:r>
              <w:rPr>
                <w:rFonts w:ascii="Arial" w:cs="Arial" w:eastAsia="Arial" w:hAnsi="Arial"/>
                <w:sz w:val="17"/>
                <w:szCs w:val="17"/>
                <w:color w:val="auto"/>
              </w:rPr>
              <w:t>Result</w:t>
            </w:r>
          </w:p>
        </w:tc>
        <w:tc>
          <w:tcPr>
            <w:tcW w:w="2940" w:type="dxa"/>
            <w:vAlign w:val="bottom"/>
            <w:gridSpan w:val="2"/>
          </w:tcPr>
          <w:p>
            <w:pPr>
              <w:ind w:left="320"/>
              <w:spacing w:after="0"/>
              <w:rPr>
                <w:sz w:val="20"/>
                <w:szCs w:val="20"/>
                <w:color w:val="auto"/>
              </w:rPr>
            </w:pPr>
            <w:r>
              <w:rPr>
                <w:rFonts w:ascii="Arial" w:cs="Arial" w:eastAsia="Arial" w:hAnsi="Arial"/>
                <w:sz w:val="17"/>
                <w:szCs w:val="17"/>
                <w:color w:val="auto"/>
              </w:rPr>
              <w:t>Less than 10-25% of</w:t>
            </w: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Deleterious or increased protein</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Approximately 50% of normal</w:t>
            </w:r>
          </w:p>
        </w:tc>
      </w:tr>
      <w:tr>
        <w:trPr>
          <w:trHeight w:val="209"/>
        </w:trPr>
        <w:tc>
          <w:tcPr>
            <w:tcW w:w="274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Arial" w:cs="Arial" w:eastAsia="Arial" w:hAnsi="Arial"/>
                <w:sz w:val="17"/>
                <w:szCs w:val="17"/>
                <w:color w:val="auto"/>
              </w:rPr>
              <w:t>normal protein expression</w:t>
            </w: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expression</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protein expression</w:t>
            </w:r>
          </w:p>
        </w:tc>
      </w:tr>
      <w:tr>
        <w:trPr>
          <w:trHeight w:val="148"/>
        </w:trPr>
        <w:tc>
          <w:tcPr>
            <w:tcW w:w="2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r>
        <w:trPr>
          <w:trHeight w:val="250"/>
        </w:trPr>
        <w:tc>
          <w:tcPr>
            <w:tcW w:w="2740" w:type="dxa"/>
            <w:vAlign w:val="bottom"/>
          </w:tcPr>
          <w:p>
            <w:pPr>
              <w:spacing w:after="0"/>
              <w:rPr>
                <w:sz w:val="20"/>
                <w:szCs w:val="20"/>
                <w:color w:val="auto"/>
              </w:rPr>
            </w:pPr>
            <w:r>
              <w:rPr>
                <w:rFonts w:ascii="Arial" w:cs="Arial" w:eastAsia="Arial" w:hAnsi="Arial"/>
                <w:sz w:val="17"/>
                <w:szCs w:val="17"/>
                <w:color w:val="auto"/>
              </w:rPr>
              <w:t>Disease examples</w:t>
            </w: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Phenylketonuria</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2460" w:type="dxa"/>
            <w:vAlign w:val="bottom"/>
          </w:tcPr>
          <w:p>
            <w:pPr>
              <w:ind w:left="40"/>
              <w:spacing w:after="0"/>
              <w:rPr>
                <w:sz w:val="20"/>
                <w:szCs w:val="20"/>
                <w:color w:val="auto"/>
              </w:rPr>
            </w:pPr>
            <w:r>
              <w:rPr>
                <w:rFonts w:ascii="Arial" w:cs="Arial" w:eastAsia="Arial" w:hAnsi="Arial"/>
                <w:sz w:val="17"/>
                <w:szCs w:val="17"/>
                <w:color w:val="auto"/>
              </w:rPr>
              <w:t>Huntington’s disease</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2280" w:type="dxa"/>
            <w:vAlign w:val="bottom"/>
          </w:tcPr>
          <w:p>
            <w:pPr>
              <w:ind w:left="40"/>
              <w:spacing w:after="0"/>
              <w:rPr>
                <w:sz w:val="20"/>
                <w:szCs w:val="20"/>
                <w:color w:val="auto"/>
              </w:rPr>
            </w:pPr>
            <w:r>
              <w:rPr>
                <w:rFonts w:ascii="Arial" w:cs="Arial" w:eastAsia="Arial" w:hAnsi="Arial"/>
                <w:sz w:val="17"/>
                <w:szCs w:val="17"/>
                <w:color w:val="auto"/>
              </w:rPr>
              <w:t>Dravet syndrome</w:t>
            </w:r>
          </w:p>
        </w:tc>
      </w:tr>
      <w:tr>
        <w:trPr>
          <w:trHeight w:val="200"/>
        </w:trPr>
        <w:tc>
          <w:tcPr>
            <w:tcW w:w="2740" w:type="dxa"/>
            <w:vAlign w:val="bottom"/>
          </w:tcPr>
          <w:p>
            <w:pPr>
              <w:spacing w:after="0"/>
              <w:rPr>
                <w:sz w:val="17"/>
                <w:szCs w:val="17"/>
                <w:color w:val="auto"/>
              </w:rPr>
            </w:pP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Lysosomal storage disorders</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2460" w:type="dxa"/>
            <w:vAlign w:val="bottom"/>
          </w:tcPr>
          <w:p>
            <w:pPr>
              <w:ind w:left="40"/>
              <w:spacing w:after="0"/>
              <w:rPr>
                <w:sz w:val="20"/>
                <w:szCs w:val="20"/>
                <w:color w:val="auto"/>
              </w:rPr>
            </w:pPr>
            <w:r>
              <w:rPr>
                <w:rFonts w:ascii="Arial" w:cs="Arial" w:eastAsia="Arial" w:hAnsi="Arial"/>
                <w:sz w:val="17"/>
                <w:szCs w:val="17"/>
                <w:color w:val="auto"/>
              </w:rPr>
              <w:t>Parkinson’s disease</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2280" w:type="dxa"/>
            <w:vAlign w:val="bottom"/>
          </w:tcPr>
          <w:p>
            <w:pPr>
              <w:ind w:left="40"/>
              <w:spacing w:after="0"/>
              <w:rPr>
                <w:sz w:val="20"/>
                <w:szCs w:val="20"/>
                <w:color w:val="auto"/>
              </w:rPr>
            </w:pPr>
            <w:r>
              <w:rPr>
                <w:rFonts w:ascii="Arial" w:cs="Arial" w:eastAsia="Arial" w:hAnsi="Arial"/>
                <w:sz w:val="17"/>
                <w:szCs w:val="17"/>
                <w:color w:val="auto"/>
              </w:rPr>
              <w:t>Optic atrophy</w:t>
            </w:r>
          </w:p>
        </w:tc>
      </w:tr>
      <w:tr>
        <w:trPr>
          <w:trHeight w:val="200"/>
        </w:trPr>
        <w:tc>
          <w:tcPr>
            <w:tcW w:w="2740" w:type="dxa"/>
            <w:vAlign w:val="bottom"/>
          </w:tcPr>
          <w:p>
            <w:pPr>
              <w:spacing w:after="0"/>
              <w:rPr>
                <w:sz w:val="17"/>
                <w:szCs w:val="17"/>
                <w:color w:val="auto"/>
              </w:rPr>
            </w:pP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Beta-thalassemia</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2460" w:type="dxa"/>
            <w:vAlign w:val="bottom"/>
          </w:tcPr>
          <w:p>
            <w:pPr>
              <w:ind w:left="40"/>
              <w:spacing w:after="0"/>
              <w:rPr>
                <w:sz w:val="20"/>
                <w:szCs w:val="20"/>
                <w:color w:val="auto"/>
              </w:rPr>
            </w:pPr>
            <w:r>
              <w:rPr>
                <w:rFonts w:ascii="Arial" w:cs="Arial" w:eastAsia="Arial" w:hAnsi="Arial"/>
                <w:sz w:val="17"/>
                <w:szCs w:val="17"/>
                <w:color w:val="auto"/>
              </w:rPr>
              <w:t>Spinocerebellar ataxia</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2280" w:type="dxa"/>
            <w:vAlign w:val="bottom"/>
          </w:tcPr>
          <w:p>
            <w:pPr>
              <w:ind w:left="40"/>
              <w:spacing w:after="0"/>
              <w:rPr>
                <w:sz w:val="20"/>
                <w:szCs w:val="20"/>
                <w:color w:val="auto"/>
              </w:rPr>
            </w:pPr>
            <w:r>
              <w:rPr>
                <w:rFonts w:ascii="Arial" w:cs="Arial" w:eastAsia="Arial" w:hAnsi="Arial"/>
                <w:sz w:val="17"/>
                <w:szCs w:val="17"/>
                <w:color w:val="auto"/>
              </w:rPr>
              <w:t>Tuberous sclerosis</w:t>
            </w:r>
          </w:p>
        </w:tc>
      </w:tr>
      <w:tr>
        <w:trPr>
          <w:trHeight w:val="209"/>
        </w:trPr>
        <w:tc>
          <w:tcPr>
            <w:tcW w:w="274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Cystic fibrosis</w:t>
            </w: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 AD hypocalcemia</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2280" w:type="dxa"/>
            <w:vAlign w:val="bottom"/>
          </w:tcPr>
          <w:p>
            <w:pPr>
              <w:ind w:left="40"/>
              <w:spacing w:after="0"/>
              <w:rPr>
                <w:sz w:val="20"/>
                <w:szCs w:val="20"/>
                <w:color w:val="auto"/>
              </w:rPr>
            </w:pPr>
            <w:r>
              <w:rPr>
                <w:rFonts w:ascii="Arial" w:cs="Arial" w:eastAsia="Arial" w:hAnsi="Arial"/>
                <w:sz w:val="17"/>
                <w:szCs w:val="17"/>
                <w:color w:val="auto"/>
              </w:rPr>
              <w:t>Polycystic kidney disease</w:t>
            </w:r>
          </w:p>
        </w:tc>
      </w:tr>
      <w:tr>
        <w:trPr>
          <w:trHeight w:val="148"/>
        </w:trPr>
        <w:tc>
          <w:tcPr>
            <w:tcW w:w="2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2"/>
          </w:tcPr>
          <w:p>
            <w:pPr>
              <w:spacing w:after="0"/>
              <w:rPr>
                <w:sz w:val="12"/>
                <w:szCs w:val="12"/>
                <w:color w:val="auto"/>
              </w:rPr>
            </w:pPr>
          </w:p>
        </w:tc>
      </w:tr>
      <w:tr>
        <w:trPr>
          <w:trHeight w:val="250"/>
        </w:trPr>
        <w:tc>
          <w:tcPr>
            <w:tcW w:w="2740" w:type="dxa"/>
            <w:vAlign w:val="bottom"/>
          </w:tcPr>
          <w:p>
            <w:pPr>
              <w:spacing w:after="0"/>
              <w:rPr>
                <w:sz w:val="20"/>
                <w:szCs w:val="20"/>
                <w:color w:val="auto"/>
              </w:rPr>
            </w:pPr>
            <w:r>
              <w:rPr>
                <w:rFonts w:ascii="Arial" w:cs="Arial" w:eastAsia="Arial" w:hAnsi="Arial"/>
                <w:sz w:val="17"/>
                <w:szCs w:val="17"/>
                <w:color w:val="auto"/>
              </w:rPr>
              <w:t>Current and emerging precision</w:t>
            </w: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Gene therapy</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2460" w:type="dxa"/>
            <w:vAlign w:val="bottom"/>
          </w:tcPr>
          <w:p>
            <w:pPr>
              <w:ind w:left="40"/>
              <w:spacing w:after="0"/>
              <w:rPr>
                <w:sz w:val="20"/>
                <w:szCs w:val="20"/>
                <w:color w:val="auto"/>
              </w:rPr>
            </w:pPr>
            <w:r>
              <w:rPr>
                <w:rFonts w:ascii="Arial" w:cs="Arial" w:eastAsia="Arial" w:hAnsi="Arial"/>
                <w:sz w:val="17"/>
                <w:szCs w:val="17"/>
                <w:color w:val="auto"/>
              </w:rPr>
              <w:t>Gene therapy</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 Our TANGO technology</w:t>
            </w:r>
            <w:r>
              <w:rPr>
                <w:rFonts w:ascii="Arial" w:cs="Arial" w:eastAsia="Arial" w:hAnsi="Arial"/>
                <w:sz w:val="11"/>
                <w:szCs w:val="11"/>
                <w:color w:val="auto"/>
              </w:rPr>
              <w:t>(1)</w:t>
            </w:r>
          </w:p>
        </w:tc>
      </w:tr>
      <w:tr>
        <w:trPr>
          <w:trHeight w:val="200"/>
        </w:trPr>
        <w:tc>
          <w:tcPr>
            <w:tcW w:w="2740" w:type="dxa"/>
            <w:vAlign w:val="bottom"/>
          </w:tcPr>
          <w:p>
            <w:pPr>
              <w:spacing w:after="0"/>
              <w:rPr>
                <w:sz w:val="20"/>
                <w:szCs w:val="20"/>
                <w:color w:val="auto"/>
              </w:rPr>
            </w:pPr>
            <w:r>
              <w:rPr>
                <w:rFonts w:ascii="Arial" w:cs="Arial" w:eastAsia="Arial" w:hAnsi="Arial"/>
                <w:sz w:val="17"/>
                <w:szCs w:val="17"/>
                <w:color w:val="auto"/>
              </w:rPr>
              <w:t>medicines</w:t>
            </w: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Gene editing</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2460" w:type="dxa"/>
            <w:vAlign w:val="bottom"/>
          </w:tcPr>
          <w:p>
            <w:pPr>
              <w:ind w:left="40"/>
              <w:spacing w:after="0"/>
              <w:rPr>
                <w:sz w:val="20"/>
                <w:szCs w:val="20"/>
                <w:color w:val="auto"/>
              </w:rPr>
            </w:pPr>
            <w:r>
              <w:rPr>
                <w:rFonts w:ascii="Arial" w:cs="Arial" w:eastAsia="Arial" w:hAnsi="Arial"/>
                <w:sz w:val="17"/>
                <w:szCs w:val="17"/>
                <w:color w:val="auto"/>
              </w:rPr>
              <w:t>Gene editing</w:t>
            </w: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0"/>
        </w:trPr>
        <w:tc>
          <w:tcPr>
            <w:tcW w:w="2740" w:type="dxa"/>
            <w:vAlign w:val="bottom"/>
          </w:tcPr>
          <w:p>
            <w:pPr>
              <w:spacing w:after="0"/>
              <w:rPr>
                <w:sz w:val="17"/>
                <w:szCs w:val="17"/>
                <w:color w:val="auto"/>
              </w:rPr>
            </w:pP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Modified mRNA</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2460" w:type="dxa"/>
            <w:vAlign w:val="bottom"/>
          </w:tcPr>
          <w:p>
            <w:pPr>
              <w:ind w:left="40"/>
              <w:spacing w:after="0"/>
              <w:rPr>
                <w:sz w:val="20"/>
                <w:szCs w:val="20"/>
                <w:color w:val="auto"/>
              </w:rPr>
            </w:pPr>
            <w:r>
              <w:rPr>
                <w:rFonts w:ascii="Arial" w:cs="Arial" w:eastAsia="Arial" w:hAnsi="Arial"/>
                <w:sz w:val="17"/>
                <w:szCs w:val="17"/>
                <w:color w:val="auto"/>
              </w:rPr>
              <w:t>Protein-based drugs</w:t>
            </w: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0"/>
        </w:trPr>
        <w:tc>
          <w:tcPr>
            <w:tcW w:w="2740" w:type="dxa"/>
            <w:vAlign w:val="bottom"/>
          </w:tcPr>
          <w:p>
            <w:pPr>
              <w:spacing w:after="0"/>
              <w:rPr>
                <w:sz w:val="17"/>
                <w:szCs w:val="17"/>
                <w:color w:val="auto"/>
              </w:rPr>
            </w:pP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Protein-based drugs</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2460" w:type="dxa"/>
            <w:vAlign w:val="bottom"/>
          </w:tcPr>
          <w:p>
            <w:pPr>
              <w:ind w:left="40"/>
              <w:spacing w:after="0"/>
              <w:rPr>
                <w:sz w:val="20"/>
                <w:szCs w:val="20"/>
                <w:color w:val="auto"/>
              </w:rPr>
            </w:pPr>
            <w:r>
              <w:rPr>
                <w:rFonts w:ascii="Arial" w:cs="Arial" w:eastAsia="Arial" w:hAnsi="Arial"/>
                <w:sz w:val="17"/>
                <w:szCs w:val="17"/>
                <w:color w:val="auto"/>
              </w:rPr>
              <w:t>Small molecules</w:t>
            </w: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9"/>
        </w:trPr>
        <w:tc>
          <w:tcPr>
            <w:tcW w:w="274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7"/>
                <w:szCs w:val="17"/>
                <w:color w:val="auto"/>
              </w:rPr>
              <w:t>•</w:t>
            </w:r>
          </w:p>
        </w:tc>
        <w:tc>
          <w:tcPr>
            <w:tcW w:w="2520" w:type="dxa"/>
            <w:vAlign w:val="bottom"/>
          </w:tcPr>
          <w:p>
            <w:pPr>
              <w:ind w:left="60"/>
              <w:spacing w:after="0"/>
              <w:rPr>
                <w:sz w:val="20"/>
                <w:szCs w:val="20"/>
                <w:color w:val="auto"/>
              </w:rPr>
            </w:pPr>
            <w:r>
              <w:rPr>
                <w:rFonts w:ascii="Arial" w:cs="Arial" w:eastAsia="Arial" w:hAnsi="Arial"/>
                <w:sz w:val="17"/>
                <w:szCs w:val="17"/>
                <w:color w:val="auto"/>
              </w:rPr>
              <w:t>Small molecules</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2460" w:type="dxa"/>
            <w:vAlign w:val="bottom"/>
          </w:tcPr>
          <w:p>
            <w:pPr>
              <w:ind w:left="40"/>
              <w:spacing w:after="0"/>
              <w:rPr>
                <w:sz w:val="20"/>
                <w:szCs w:val="20"/>
                <w:color w:val="auto"/>
              </w:rPr>
            </w:pPr>
            <w:r>
              <w:rPr>
                <w:rFonts w:ascii="Arial" w:cs="Arial" w:eastAsia="Arial" w:hAnsi="Arial"/>
                <w:sz w:val="17"/>
                <w:szCs w:val="17"/>
                <w:color w:val="auto"/>
              </w:rPr>
              <w:t>Oligonucleotides</w:t>
            </w: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48"/>
        </w:trPr>
        <w:tc>
          <w:tcPr>
            <w:tcW w:w="274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tcPr>
          <w:p>
            <w:pPr>
              <w:spacing w:after="0"/>
              <w:rPr>
                <w:sz w:val="12"/>
                <w:szCs w:val="12"/>
                <w:color w:val="auto"/>
              </w:rPr>
            </w:pPr>
          </w:p>
        </w:tc>
        <w:tc>
          <w:tcPr>
            <w:tcW w:w="2680" w:type="dxa"/>
            <w:vAlign w:val="bottom"/>
            <w:tcBorders>
              <w:bottom w:val="single" w:sz="8" w:color="auto"/>
            </w:tcBorders>
            <w:gridSpan w:val="2"/>
          </w:tcPr>
          <w:p>
            <w:pPr>
              <w:spacing w:after="0"/>
              <w:rPr>
                <w:sz w:val="12"/>
                <w:szCs w:val="12"/>
                <w:color w:val="auto"/>
              </w:rPr>
            </w:pPr>
          </w:p>
        </w:tc>
        <w:tc>
          <w:tcPr>
            <w:tcW w:w="2520" w:type="dxa"/>
            <w:vAlign w:val="bottom"/>
            <w:tcBorders>
              <w:bottom w:val="single" w:sz="8" w:color="auto"/>
            </w:tcBorders>
            <w:gridSpan w:val="2"/>
          </w:tcPr>
          <w:p>
            <w:pPr>
              <w:spacing w:after="0"/>
              <w:rPr>
                <w:sz w:val="12"/>
                <w:szCs w:val="12"/>
                <w:color w:val="auto"/>
              </w:rPr>
            </w:pPr>
          </w:p>
        </w:tc>
      </w:tr>
      <w:tr>
        <w:trPr>
          <w:trHeight w:val="250"/>
        </w:trPr>
        <w:tc>
          <w:tcPr>
            <w:tcW w:w="2740" w:type="dxa"/>
            <w:vAlign w:val="bottom"/>
          </w:tcPr>
          <w:p>
            <w:pPr>
              <w:spacing w:after="0"/>
              <w:rPr>
                <w:sz w:val="20"/>
                <w:szCs w:val="20"/>
                <w:color w:val="auto"/>
              </w:rPr>
            </w:pPr>
            <w:r>
              <w:rPr>
                <w:rFonts w:ascii="Arial" w:cs="Arial" w:eastAsia="Arial" w:hAnsi="Arial"/>
                <w:sz w:val="17"/>
                <w:szCs w:val="17"/>
                <w:color w:val="auto"/>
              </w:rPr>
              <w:t>Therapeutic goal</w:t>
            </w:r>
          </w:p>
        </w:tc>
        <w:tc>
          <w:tcPr>
            <w:tcW w:w="2940" w:type="dxa"/>
            <w:vAlign w:val="bottom"/>
            <w:gridSpan w:val="2"/>
          </w:tcPr>
          <w:p>
            <w:pPr>
              <w:ind w:left="320"/>
              <w:spacing w:after="0"/>
              <w:rPr>
                <w:sz w:val="20"/>
                <w:szCs w:val="20"/>
                <w:color w:val="auto"/>
              </w:rPr>
            </w:pPr>
            <w:r>
              <w:rPr>
                <w:rFonts w:ascii="Arial" w:cs="Arial" w:eastAsia="Arial" w:hAnsi="Arial"/>
                <w:sz w:val="17"/>
                <w:szCs w:val="17"/>
                <w:color w:val="auto"/>
              </w:rPr>
              <w:t>Upregulate protein expression to</w:t>
            </w: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Downregulate protein</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Upregulate protein expression</w:t>
            </w:r>
          </w:p>
        </w:tc>
      </w:tr>
      <w:tr>
        <w:trPr>
          <w:trHeight w:val="200"/>
        </w:trPr>
        <w:tc>
          <w:tcPr>
            <w:tcW w:w="2740" w:type="dxa"/>
            <w:vAlign w:val="bottom"/>
          </w:tcPr>
          <w:p>
            <w:pPr>
              <w:spacing w:after="0"/>
              <w:rPr>
                <w:sz w:val="17"/>
                <w:szCs w:val="17"/>
                <w:color w:val="auto"/>
              </w:rPr>
            </w:pPr>
          </w:p>
        </w:tc>
        <w:tc>
          <w:tcPr>
            <w:tcW w:w="2940" w:type="dxa"/>
            <w:vAlign w:val="bottom"/>
            <w:gridSpan w:val="2"/>
          </w:tcPr>
          <w:p>
            <w:pPr>
              <w:ind w:left="320"/>
              <w:spacing w:after="0"/>
              <w:rPr>
                <w:sz w:val="20"/>
                <w:szCs w:val="20"/>
                <w:color w:val="auto"/>
              </w:rPr>
            </w:pPr>
            <w:r>
              <w:rPr>
                <w:rFonts w:ascii="Arial" w:cs="Arial" w:eastAsia="Arial" w:hAnsi="Arial"/>
                <w:sz w:val="17"/>
                <w:szCs w:val="17"/>
                <w:color w:val="auto"/>
              </w:rPr>
              <w:t>greater than 10-25% of normal</w:t>
            </w:r>
          </w:p>
        </w:tc>
        <w:tc>
          <w:tcPr>
            <w:tcW w:w="2680" w:type="dxa"/>
            <w:vAlign w:val="bottom"/>
            <w:gridSpan w:val="2"/>
          </w:tcPr>
          <w:p>
            <w:pPr>
              <w:ind w:left="100"/>
              <w:spacing w:after="0"/>
              <w:rPr>
                <w:sz w:val="20"/>
                <w:szCs w:val="20"/>
                <w:color w:val="auto"/>
              </w:rPr>
            </w:pPr>
            <w:r>
              <w:rPr>
                <w:rFonts w:ascii="Arial" w:cs="Arial" w:eastAsia="Arial" w:hAnsi="Arial"/>
                <w:sz w:val="17"/>
                <w:szCs w:val="17"/>
                <w:color w:val="auto"/>
              </w:rPr>
              <w:t>expression / inhibit protein</w:t>
            </w:r>
          </w:p>
        </w:tc>
        <w:tc>
          <w:tcPr>
            <w:tcW w:w="2520" w:type="dxa"/>
            <w:vAlign w:val="bottom"/>
            <w:gridSpan w:val="2"/>
          </w:tcPr>
          <w:p>
            <w:pPr>
              <w:ind w:left="120"/>
              <w:spacing w:after="0"/>
              <w:rPr>
                <w:sz w:val="20"/>
                <w:szCs w:val="20"/>
                <w:color w:val="auto"/>
              </w:rPr>
            </w:pPr>
            <w:r>
              <w:rPr>
                <w:rFonts w:ascii="Arial" w:cs="Arial" w:eastAsia="Arial" w:hAnsi="Arial"/>
                <w:sz w:val="17"/>
                <w:szCs w:val="17"/>
                <w:color w:val="auto"/>
              </w:rPr>
              <w:t>to near normal</w:t>
            </w:r>
          </w:p>
        </w:tc>
      </w:tr>
      <w:tr>
        <w:trPr>
          <w:trHeight w:val="210"/>
        </w:trPr>
        <w:tc>
          <w:tcPr>
            <w:tcW w:w="2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function</w:t>
            </w: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5702935</wp:posOffset>
            </wp:positionH>
            <wp:positionV relativeFrom="paragraph">
              <wp:posOffset>-973455</wp:posOffset>
            </wp:positionV>
            <wp:extent cx="575945" cy="271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945" cy="271145"/>
                    </a:xfrm>
                    <a:prstGeom prst="rect">
                      <a:avLst/>
                    </a:prstGeom>
                    <a:noFill/>
                  </pic:spPr>
                </pic:pic>
              </a:graphicData>
            </a:graphic>
          </wp:anchor>
        </w:drawing>
      </w:r>
    </w:p>
    <w:p>
      <w:pPr>
        <w:spacing w:after="0" w:line="46" w:lineRule="exact"/>
        <w:rPr>
          <w:sz w:val="20"/>
          <w:szCs w:val="20"/>
          <w:color w:val="auto"/>
        </w:rPr>
      </w:pPr>
    </w:p>
    <w:p>
      <w:pPr>
        <w:ind w:left="600" w:hanging="327"/>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We have neither applied for, nor received, FDA approval for any of our product candidates to date.</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Current and emerging precision medicines and their limitations</w:t>
      </w:r>
    </w:p>
    <w:p>
      <w:pPr>
        <w:spacing w:after="0" w:line="131"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While current and emerging precision medicine approaches have already made and will likely continue to make significant advancements, we believe they currently possess fundamental limitations which must be overcome before they will become a practical approach to treating genetic diseases, especially autosomal dominant haploinsufficiencies.</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Gene therapy</w:t>
      </w:r>
    </w:p>
    <w:p>
      <w:pPr>
        <w:spacing w:after="0" w:line="129" w:lineRule="exact"/>
        <w:rPr>
          <w:sz w:val="20"/>
          <w:szCs w:val="20"/>
          <w:color w:val="auto"/>
        </w:rPr>
      </w:pPr>
    </w:p>
    <w:p>
      <w:pPr>
        <w:ind w:left="280" w:right="80"/>
        <w:spacing w:after="0" w:line="262" w:lineRule="auto"/>
        <w:rPr>
          <w:sz w:val="20"/>
          <w:szCs w:val="20"/>
          <w:color w:val="auto"/>
        </w:rPr>
      </w:pPr>
      <w:r>
        <w:rPr>
          <w:rFonts w:ascii="Arial" w:cs="Arial" w:eastAsia="Arial" w:hAnsi="Arial"/>
          <w:sz w:val="17"/>
          <w:szCs w:val="17"/>
          <w:color w:val="auto"/>
        </w:rPr>
        <w:t>Gene therapy is designed to introduce a functional copy of a defective gene or gene sequence into a patient’s cell. This therapeutic approach provides the potential to replace the defective genes that lead to disease.</w:t>
      </w:r>
    </w:p>
    <w:p>
      <w:pPr>
        <w:spacing w:after="0" w:line="80" w:lineRule="exact"/>
        <w:rPr>
          <w:sz w:val="20"/>
          <w:szCs w:val="20"/>
          <w:color w:val="auto"/>
        </w:rPr>
      </w:pPr>
    </w:p>
    <w:p>
      <w:pPr>
        <w:ind w:left="280" w:right="40"/>
        <w:spacing w:after="0" w:line="245" w:lineRule="auto"/>
        <w:rPr>
          <w:sz w:val="20"/>
          <w:szCs w:val="20"/>
          <w:color w:val="auto"/>
        </w:rPr>
      </w:pPr>
      <w:r>
        <w:rPr>
          <w:rFonts w:ascii="Arial" w:cs="Arial" w:eastAsia="Arial" w:hAnsi="Arial"/>
          <w:sz w:val="17"/>
          <w:szCs w:val="17"/>
          <w:color w:val="auto"/>
        </w:rPr>
        <w:t>Today, gene therapy is subject to several technical challenges. Single stranded adeno-associated virus (ssAAV) gene therapy approaches are unable to efficiently package more than 4.4 kilobases of coding DNA and the more efficient self-complementary AAV (scAAV) are limited to</w:t>
      </w:r>
    </w:p>
    <w:p>
      <w:pPr>
        <w:spacing w:after="0" w:line="1"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2.1 kilobases of coding DNA; thereby restricting their utility to smaller gene targets. In addition, the inability of current approaches to establish tunable control of the level of protein expression and tissue specificity raises concerns of possible unintended DNA changes and unwanted on- and off-target effects. Further, gene therapy vectors are complex delivery systems, which significantly increase the cost of manufacturing and the difficulty of maintaining reliable quality among product lots.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160"/>
          </w:cols>
          <w:pgMar w:left="240" w:top="455"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Gene editing</w:t>
      </w:r>
    </w:p>
    <w:p>
      <w:pPr>
        <w:spacing w:after="0" w:line="129"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A more recent approach is gene editing, which is the process of replacing, deleting or repairing defective DNA in its native genomic location. The current focus of gene editing is knocking out a diseased gene or correcting an individual mutation within a gene that is frequent within the disease population. The approach faces many similar challenges to gene therapy and has yet to achieve clinical proof-of-concept.</w:t>
      </w:r>
    </w:p>
    <w:p>
      <w:pPr>
        <w:spacing w:after="0" w:line="89"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Gene editing currently suffers from numerous limitations, including the inability to control level and duration of protein expression, a potential for irreversible unintended DNA changes and unwanted on- and off-target effects, and a complex delivery and manufacturing process. In addition, gene editing repairs one mutation at a time, and thus is not well-suited for the treatment of diseases caused by many mutations in a single gene, as is the case for many haploinsufficiencies, which typically result from multiple spontaneous mutations.</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Modified mRNA</w:t>
      </w:r>
    </w:p>
    <w:p>
      <w:pPr>
        <w:spacing w:after="0" w:line="129" w:lineRule="exact"/>
        <w:rPr>
          <w:sz w:val="20"/>
          <w:szCs w:val="20"/>
          <w:color w:val="auto"/>
        </w:rPr>
      </w:pPr>
    </w:p>
    <w:p>
      <w:pPr>
        <w:ind w:left="280" w:right="40"/>
        <w:spacing w:after="0" w:line="262" w:lineRule="auto"/>
        <w:rPr>
          <w:sz w:val="20"/>
          <w:szCs w:val="20"/>
          <w:color w:val="auto"/>
        </w:rPr>
      </w:pPr>
      <w:r>
        <w:rPr>
          <w:rFonts w:ascii="Arial" w:cs="Arial" w:eastAsia="Arial" w:hAnsi="Arial"/>
          <w:sz w:val="17"/>
          <w:szCs w:val="17"/>
          <w:color w:val="auto"/>
        </w:rPr>
        <w:t>Over the past several years, there has been significant investment and progress in the field of modified mRNA. These therapies are designed to increase mRNA levels by exogenous delivery of modified mRNA.</w:t>
      </w:r>
    </w:p>
    <w:p>
      <w:pPr>
        <w:spacing w:after="0" w:line="80" w:lineRule="exact"/>
        <w:rPr>
          <w:sz w:val="20"/>
          <w:szCs w:val="20"/>
          <w:color w:val="auto"/>
        </w:rPr>
      </w:pPr>
    </w:p>
    <w:p>
      <w:pPr>
        <w:ind w:left="280" w:right="220"/>
        <w:spacing w:after="0" w:line="251" w:lineRule="auto"/>
        <w:rPr>
          <w:sz w:val="20"/>
          <w:szCs w:val="20"/>
          <w:color w:val="auto"/>
        </w:rPr>
      </w:pPr>
      <w:r>
        <w:rPr>
          <w:rFonts w:ascii="Arial" w:cs="Arial" w:eastAsia="Arial" w:hAnsi="Arial"/>
          <w:sz w:val="17"/>
          <w:szCs w:val="17"/>
          <w:color w:val="auto"/>
        </w:rPr>
        <w:t>However, modified mRNA is characterized by significant drug delivery hurdles and its clinical application has largely been limited to novel vaccines. This therapeutic modality also does not permit precise targeting of tissue and requires complex manufacturing processes that are unproven at commercial scale. In addition, modified mRNA requires frequent administration given its short duration and safe repeat dosing has yet to be achieved clinically. Finally, the ability to package large genes is also unproven and may limit utility to smaller gene targets.</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Protein-based drugs</w:t>
      </w:r>
    </w:p>
    <w:p>
      <w:pPr>
        <w:spacing w:after="0" w:line="129"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Protein-based drugs are manufactured in living cells and can bind with high specificity to a variety of extracellular or cell surface targets or can be used to replace mutated or missing extracellular proteins. Protein-based drugs can also bind to a very narrow spectrum of intracellular proteins (lysosomal storage proteins). Antibodies (and antibody-like proteins) have become the most common type of biologic because of the specificity and long duration of action of this type of molecule. Monoclonal antibody drugs typically act by inhibiting target proteins through competitive binding (antagonists).</w:t>
      </w:r>
    </w:p>
    <w:p>
      <w:pPr>
        <w:spacing w:after="0" w:line="93" w:lineRule="exact"/>
        <w:rPr>
          <w:sz w:val="20"/>
          <w:szCs w:val="20"/>
          <w:color w:val="auto"/>
        </w:rPr>
      </w:pPr>
    </w:p>
    <w:p>
      <w:pPr>
        <w:jc w:val="both"/>
        <w:ind w:left="280" w:right="180"/>
        <w:spacing w:after="0" w:line="253" w:lineRule="auto"/>
        <w:rPr>
          <w:sz w:val="20"/>
          <w:szCs w:val="20"/>
          <w:color w:val="auto"/>
        </w:rPr>
      </w:pPr>
      <w:r>
        <w:rPr>
          <w:rFonts w:ascii="Arial" w:cs="Arial" w:eastAsia="Arial" w:hAnsi="Arial"/>
          <w:sz w:val="17"/>
          <w:szCs w:val="17"/>
          <w:color w:val="auto"/>
        </w:rPr>
        <w:t>Currently, protein-based drugs are unable to address most diseases caused by deficient activity of intracellular or transmembrane proteins, such as ion channels involved in genetic epilepsies. Additionally, complex manufacturing and short duration after administration can prevent maintaining therapeutic levels of the protein in the body.</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Small molecules</w:t>
      </w:r>
    </w:p>
    <w:p>
      <w:pPr>
        <w:spacing w:after="0" w:line="129"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Small molecules consist predominantly of hydrophobic organic compounds under 500 daltons in molecular weight and are manufactured through chemical synthesis. These drugs typically act by deactivating or inhibiting target proteins through competitive binding (antagonists). In much rarer instances, small molecule agonists can sometimes be identified that increase the activity of a target protein through binding to a regulatory site.</w:t>
      </w:r>
    </w:p>
    <w:p>
      <w:pPr>
        <w:spacing w:after="0" w:line="89"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Small molecules are artificial agonists which act through non-natural mechanisms, and therefore do not fully compensate for the loss of a protein that functions in a regulated fashion or as part of a multi-protein complex. Applications for small molecules are also very limited, and proteins that possess small molecule-binding pockets have been estimated to account for only 2-5% of the human proteome. Small molecules also lack selectivity and specificity, creating the potential for off-target toxicity. Finally, these therapeutics typically do not address the underlying cause of genetic diseases and consequently may have limited impact on patient quality of life or life expectancy.</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140"/>
          </w:cols>
          <w:pgMar w:left="240" w:top="455"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Oligonucleotides</w:t>
      </w:r>
    </w:p>
    <w:p>
      <w:pPr>
        <w:spacing w:after="0" w:line="129" w:lineRule="exact"/>
        <w:rPr>
          <w:sz w:val="20"/>
          <w:szCs w:val="20"/>
          <w:color w:val="auto"/>
        </w:rPr>
      </w:pPr>
    </w:p>
    <w:p>
      <w:pPr>
        <w:ind w:left="280" w:right="560"/>
        <w:spacing w:after="0" w:line="253" w:lineRule="auto"/>
        <w:rPr>
          <w:sz w:val="20"/>
          <w:szCs w:val="20"/>
          <w:color w:val="auto"/>
        </w:rPr>
      </w:pPr>
      <w:r>
        <w:rPr>
          <w:rFonts w:ascii="Arial" w:cs="Arial" w:eastAsia="Arial" w:hAnsi="Arial"/>
          <w:sz w:val="17"/>
          <w:szCs w:val="17"/>
          <w:color w:val="auto"/>
        </w:rPr>
        <w:t>Oligonucleotides are short strands of modified RNA or DNA, usually 12-30 nucleotides in length, that are manufactured by chemical synthesis. Single-stranded oligonucleotides that bind to mRNA are called ASOs, which have been developed primarily to downregulate protein expression by RNase H-mediated cleavage of target mRNA.</w:t>
      </w:r>
    </w:p>
    <w:p>
      <w:pPr>
        <w:spacing w:after="0" w:line="89"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 xml:space="preserve">Over the past few years, there has been very limited success in developing clinical ASOs to upregulate protein expression due to a focus on indirect and weakly validated mechanisms of action such as targeting microRNAs or long non-coding RNAs that are associated with a gene transcript. The only exceptions are SPINRAZA, which corrects a unique splicing mutation in </w:t>
      </w:r>
      <w:r>
        <w:rPr>
          <w:rFonts w:ascii="Arial" w:cs="Arial" w:eastAsia="Arial" w:hAnsi="Arial"/>
          <w:sz w:val="17"/>
          <w:szCs w:val="17"/>
          <w:i w:val="1"/>
          <w:iCs w:val="1"/>
          <w:color w:val="auto"/>
        </w:rPr>
        <w:t>SMN2</w:t>
      </w:r>
      <w:r>
        <w:rPr>
          <w:rFonts w:ascii="Arial" w:cs="Arial" w:eastAsia="Arial" w:hAnsi="Arial"/>
          <w:sz w:val="17"/>
          <w:szCs w:val="17"/>
          <w:color w:val="auto"/>
        </w:rPr>
        <w:t>, and Exondys-51, which generates an internally-truncated form of dystrophin after removing or ‘skipping’ out a mutated exon to restore the reading frame. Neither drug represents a generalizable strategy to upregulate the expression of protein. Similarly, double-stranded oligonucleotides have been developed primarily to downregulate protein expression by RNA interference mediated cleavage of target mRNA. To date, there has been very limited success in developing clinical double-stranded oligonucleotides to upregulate protein expression.</w:t>
      </w:r>
    </w:p>
    <w:p>
      <w:pPr>
        <w:spacing w:after="0" w:line="93"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Given these fundamental limitations of existing modalities, most genetic diseases, particularly autosomal dominant haploinsufficiencies, are dramatically underserved by current therapeutic options. Within rare diseases, only 5% of conditions have an approved drug treatment, and most approved drugs only manage symptoms with little impact on outcomes and life expectancy. We believe there is a clear need for our novel ASOs, which precisely upregulate target protein expression and have the potential to provide disease-modifying therapies to treat many diseases beyond the reach of current approaches.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Our precision medicine platform</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Treatment of autosomal dominant haploinsufficiency diseases with TANGO</w:t>
      </w:r>
    </w:p>
    <w:p>
      <w:pPr>
        <w:spacing w:after="0" w:line="131"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We are developing our proprietary technology platform, TANGO, as potentially the first precision medicine platform for a category of severe genetic diseases known as autosomal dominant haploinsufficiencies. We utilize TANGO to design ASOs to increase the expression of protein by individual genes in a patient. TANGO exploits unique mechanisms for modulation of splicing to prevent the synthesis of naturally occurring non-productive mRNA and increase the synthesis of productive mRNA, resulting in increased production of functional protein.</w:t>
      </w:r>
    </w:p>
    <w:p>
      <w:pPr>
        <w:spacing w:after="0" w:line="89"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TANGO leverages non-productive mRNA, which is the result of non-productive splicing that leads to either transcript degradation due to non-coding exon inclusion or nuclear retention of transcripts due to intron retention. In some cases, these non-productive splicing events are a part of normal gene regulation, and in all cases the non-productive splicing events are part of the wild-type or normal sequence of the gene. Non-productive mRNA can be produced by both wild-type and mutant alleles and is not translated into protein.</w:t>
      </w:r>
    </w:p>
    <w:p>
      <w:pPr>
        <w:spacing w:after="0" w:line="89" w:lineRule="exact"/>
        <w:rPr>
          <w:sz w:val="20"/>
          <w:szCs w:val="20"/>
          <w:color w:val="auto"/>
        </w:rPr>
      </w:pPr>
    </w:p>
    <w:p>
      <w:pPr>
        <w:ind w:left="280" w:right="120"/>
        <w:spacing w:after="0" w:line="251" w:lineRule="auto"/>
        <w:rPr>
          <w:sz w:val="20"/>
          <w:szCs w:val="20"/>
          <w:color w:val="auto"/>
        </w:rPr>
      </w:pPr>
      <w:r>
        <w:rPr>
          <w:rFonts w:ascii="Arial" w:cs="Arial" w:eastAsia="Arial" w:hAnsi="Arial"/>
          <w:sz w:val="17"/>
          <w:szCs w:val="17"/>
          <w:color w:val="auto"/>
        </w:rPr>
        <w:t>We are initially focused on applying the transformative potential of our platform to developing precision medicines for haploinsufficiencies, or disorders in which only one allele of a gene is mutated, resulting in approximately 50% of normal protein expression. We believe our TANGO technology is well-suited to provide a gene-specific increase in expression of the healthy, or wild-type, allele, thereby restoring the target protein to near normal levels.</w:t>
      </w:r>
    </w:p>
    <w:p>
      <w:pPr>
        <w:spacing w:after="0" w:line="89" w:lineRule="exact"/>
        <w:rPr>
          <w:sz w:val="20"/>
          <w:szCs w:val="20"/>
          <w:color w:val="auto"/>
        </w:rPr>
      </w:pPr>
    </w:p>
    <w:p>
      <w:pPr>
        <w:jc w:val="both"/>
        <w:ind w:left="280" w:right="60"/>
        <w:spacing w:after="0" w:line="251" w:lineRule="auto"/>
        <w:rPr>
          <w:sz w:val="20"/>
          <w:szCs w:val="20"/>
          <w:color w:val="auto"/>
        </w:rPr>
      </w:pPr>
      <w:r>
        <w:rPr>
          <w:rFonts w:ascii="Arial" w:cs="Arial" w:eastAsia="Arial" w:hAnsi="Arial"/>
          <w:sz w:val="17"/>
          <w:szCs w:val="17"/>
          <w:color w:val="auto"/>
        </w:rPr>
        <w:t>The figures below illustrate the TANGO mechanism for increasing protein synthesis in a prospective patient with a haploinsufficiency. To date, we have demonstrated this TANGO mechanism in preclinical models of haploinsufficiencies. The left panel illustrates the prospective patient with a haploinsufficiency possessing one wild-type allele and one mutant allele. The mutant allele is translated into non-functional protein and results in</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160"/>
          </w:cols>
          <w:pgMar w:left="240" w:top="455"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approximately 50% of normal protein expression. In the right panel, treatment with our ASO would prevent the synthesis of naturally occurring non-productive mRNA and would increase the synthesis of productive mRNA, thereby restoring the target protein to near normal levels. Our preclinical studies show that any increase in mutant mRNA would have no effect on the net protein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62865</wp:posOffset>
            </wp:positionV>
            <wp:extent cx="5123180" cy="20237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2318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TANGO mechanisms of action</w:t>
      </w:r>
    </w:p>
    <w:p>
      <w:pPr>
        <w:spacing w:after="0" w:line="131"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Our ASOs are specifically designed to bind to a desired RNA sequence inside the nuclei of patients’ cells to prevent the occurrence of non-productive splicing. By doing so, our ASOs decrease the amount of non-productive mRNA and increase the level of productive mRNA, leading to the generation of more protein. TANGO operates in a mutation-independent manner, given it utilizes one wild-type allele, and does not alter protein coding splicing isoforms. The net effect is increased expression of functional protein from the wild-type allele. The two categories of non-productive splicing events amenable to TANGO are retained introns and nonsense-mediated mRNA decay of the resulting mRNA. While we benefit from leveraging previously-validated ASO chemistries, both of these TANGO mechanisms are novel.</w:t>
      </w:r>
    </w:p>
    <w:p>
      <w:pPr>
        <w:spacing w:after="0" w:line="95"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 first category of non-productive splicing events amenable to TANGO is retained introns. Retained introns are found in approximately 60% of gene transcripts and are part of the wild-type sequence of the gene. In some cases, retained introns are part of normal gene regulation. The non-productive mRNA, which contains these retained introns, remain in the nucleus of the cell and are not translated into protein, and offer a reservoir of non-productive mRNA that can be converted into productive mRNA. Our ASOs bind to the pre-mRNA and redirect the splicing machinery to remove the retained intron. This splice-switching decreases non-productive mRNA and increases productive mRNA, which is translated into increased protein expression from the wild-type allele. This is shown in the figures below, with the left panel illustrating non-productive mRNA, which includes retained introns, and the right panel illustrating our ASOs binding to the pre-mRNA and redirecting the splicing machinery.</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120"/>
          </w:cols>
          <w:pgMar w:left="240" w:top="455"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201930</wp:posOffset>
            </wp:positionV>
            <wp:extent cx="5123180" cy="20237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2318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 second category of non-productive splicing events amenable to TANGO is alternative splicing that leads to nonsense-mediated mRNA decay, or NMD, of the resulting mRNA. An example of a NMD event is a NMD exon, which is found in over 25% of gene transcripts. Like retained introns, NMD exons are part of the wild-type sequence of the genes. In some cases, NMD exons are part of normal gene regulation. Non-productive mRNA, which includes these NMD exons, is degraded in the cytoplasm of the cell by nonsense-mediated mRNA decay and is not translated into protein. Our ASOs bind to the pre-mRNA and redirect the splicing machinery to prevent inclusion of the NMD exon. As with retained introns, this splice-switching decreases non-productive mRNA and increases productive mRNA, which is translated into increased protein expression from the wild-type allele. In contrast to current exon skipping therapies, which remove a coding exon and result in a truncated protein, our TANGO mechanism skips out a non-coding NMD exon and yields a full-length functional protein. Our lead product candidate, STK-001, targets an NMD exon and the general mechanism is shown in the figure below, with the left panel showing the non-productive mRNA failing to be translated into protein and the right panel showing our ASOs binding to the pre-mRNA and redirecting the splicing machinery. Although STK-001 is currently our only current product candidate and is still in preclinical testing, we would expect, based on our preclinical studies, for future product candidates targeting a NMD exon to operate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65405</wp:posOffset>
            </wp:positionV>
            <wp:extent cx="5123180" cy="20237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2318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140"/>
          </w:cols>
          <w:pgMar w:left="240" w:top="455"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Advantages of TANGO</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believe TANGO may have several key advantages, including:</w:t>
      </w:r>
    </w:p>
    <w:p>
      <w:pPr>
        <w:spacing w:after="0" w:line="107" w:lineRule="exact"/>
        <w:rPr>
          <w:sz w:val="20"/>
          <w:szCs w:val="20"/>
          <w:color w:val="auto"/>
        </w:rPr>
      </w:pPr>
    </w:p>
    <w:p>
      <w:pPr>
        <w:ind w:left="480" w:right="680" w:hanging="207"/>
        <w:spacing w:after="0" w:line="284"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Ability to address the underlying genetic cause of the disease. </w:t>
      </w:r>
      <w:r>
        <w:rPr>
          <w:rFonts w:ascii="Arial" w:cs="Arial" w:eastAsia="Arial" w:hAnsi="Arial"/>
          <w:sz w:val="17"/>
          <w:szCs w:val="17"/>
          <w:color w:val="auto"/>
        </w:rPr>
        <w:t>We utilize TANGO to design ASOs to precisely upregulate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expression, thereby addressing the underlying cause of the disease rather than the symptoms of the disease.</w:t>
      </w:r>
    </w:p>
    <w:p>
      <w:pPr>
        <w:spacing w:after="0" w:line="57" w:lineRule="exact"/>
        <w:rPr>
          <w:rFonts w:ascii="Arial" w:cs="Arial" w:eastAsia="Arial" w:hAnsi="Arial"/>
          <w:sz w:val="17"/>
          <w:szCs w:val="17"/>
          <w:color w:val="auto"/>
        </w:rPr>
      </w:pPr>
    </w:p>
    <w:p>
      <w:pPr>
        <w:ind w:left="480" w:right="40" w:hanging="207"/>
        <w:spacing w:after="0" w:line="258"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Applicability is mutation-independent. </w:t>
      </w:r>
      <w:r>
        <w:rPr>
          <w:rFonts w:ascii="Arial" w:cs="Arial" w:eastAsia="Arial" w:hAnsi="Arial"/>
          <w:sz w:val="17"/>
          <w:szCs w:val="17"/>
          <w:color w:val="auto"/>
        </w:rPr>
        <w:t>Our ASOs upregulate expression of the wild-type allele, meaning the TANGO mechanism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rely on targeting a specific mutation. Given this, we believe our therapies are well-suited for diseases caused by multiple mutations in a single gene, such as many haploinsufficiencies, and provide a single-drug approach that can address the full spectrum of loss-of-function mutations.</w:t>
      </w:r>
    </w:p>
    <w:p>
      <w:pPr>
        <w:spacing w:after="0" w:line="79" w:lineRule="exact"/>
        <w:rPr>
          <w:rFonts w:ascii="Arial" w:cs="Arial" w:eastAsia="Arial" w:hAnsi="Arial"/>
          <w:sz w:val="17"/>
          <w:szCs w:val="17"/>
          <w:color w:val="auto"/>
        </w:rPr>
      </w:pPr>
    </w:p>
    <w:p>
      <w:pPr>
        <w:ind w:left="480" w:hanging="207"/>
        <w:spacing w:after="0" w:line="264"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Utility across small and large gene targets encoding intracellular and extracellular proteins. </w:t>
      </w:r>
      <w:r>
        <w:rPr>
          <w:rFonts w:ascii="Arial" w:cs="Arial" w:eastAsia="Arial" w:hAnsi="Arial"/>
          <w:sz w:val="17"/>
          <w:szCs w:val="17"/>
          <w:color w:val="auto"/>
        </w:rPr>
        <w:t>Our ASOs upregulate protein expression</w:t>
      </w:r>
      <w:r>
        <w:rPr>
          <w:rFonts w:ascii="Arial" w:cs="Arial" w:eastAsia="Arial" w:hAnsi="Arial"/>
          <w:sz w:val="17"/>
          <w:szCs w:val="17"/>
          <w:i w:val="1"/>
          <w:iCs w:val="1"/>
          <w:color w:val="auto"/>
        </w:rPr>
        <w:t xml:space="preserve"> </w:t>
      </w:r>
      <w:r>
        <w:rPr>
          <w:rFonts w:ascii="Arial" w:cs="Arial" w:eastAsia="Arial" w:hAnsi="Arial"/>
          <w:sz w:val="17"/>
          <w:szCs w:val="17"/>
          <w:color w:val="auto"/>
        </w:rPr>
        <w:t>regardless of gene size and are not constrained to smaller gene targets. We believe our therapies also have the flexibility to address genes encoding intracellular as well as extracellular proteins.</w:t>
      </w:r>
    </w:p>
    <w:p>
      <w:pPr>
        <w:spacing w:after="0" w:line="75" w:lineRule="exact"/>
        <w:rPr>
          <w:rFonts w:ascii="Arial" w:cs="Arial" w:eastAsia="Arial" w:hAnsi="Arial"/>
          <w:sz w:val="17"/>
          <w:szCs w:val="17"/>
          <w:color w:val="auto"/>
        </w:rPr>
      </w:pPr>
    </w:p>
    <w:p>
      <w:pPr>
        <w:ind w:left="480" w:right="40" w:hanging="207"/>
        <w:spacing w:after="0" w:line="264"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No observed unwanted off-target effects. </w:t>
      </w:r>
      <w:r>
        <w:rPr>
          <w:rFonts w:ascii="Arial" w:cs="Arial" w:eastAsia="Arial" w:hAnsi="Arial"/>
          <w:sz w:val="17"/>
          <w:szCs w:val="17"/>
          <w:color w:val="auto"/>
        </w:rPr>
        <w:t>Our ASOs do not create detectable changes at the DNA level and make no detectable</w:t>
      </w:r>
      <w:r>
        <w:rPr>
          <w:rFonts w:ascii="Arial" w:cs="Arial" w:eastAsia="Arial" w:hAnsi="Arial"/>
          <w:sz w:val="17"/>
          <w:szCs w:val="17"/>
          <w:i w:val="1"/>
          <w:iCs w:val="1"/>
          <w:color w:val="auto"/>
        </w:rPr>
        <w:t xml:space="preserve"> </w:t>
      </w:r>
      <w:r>
        <w:rPr>
          <w:rFonts w:ascii="Arial" w:cs="Arial" w:eastAsia="Arial" w:hAnsi="Arial"/>
          <w:sz w:val="17"/>
          <w:szCs w:val="17"/>
          <w:color w:val="auto"/>
        </w:rPr>
        <w:t>irreversible modifications to a patient’s genome. The activities of our ASOs are inherently tissue-specific. TANGO-mediated upregulation of protein expression only occurs where the gene is being naturally transcribed, limiting the likelihood of expression in non-native tissues.</w:t>
      </w:r>
    </w:p>
    <w:p>
      <w:pPr>
        <w:spacing w:after="0" w:line="75" w:lineRule="exact"/>
        <w:rPr>
          <w:rFonts w:ascii="Arial" w:cs="Arial" w:eastAsia="Arial" w:hAnsi="Arial"/>
          <w:sz w:val="17"/>
          <w:szCs w:val="17"/>
          <w:color w:val="auto"/>
        </w:rPr>
      </w:pPr>
    </w:p>
    <w:p>
      <w:pPr>
        <w:ind w:left="480" w:right="140" w:hanging="207"/>
        <w:spacing w:after="0" w:line="264"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Ability to control dose level and duration. </w:t>
      </w:r>
      <w:r>
        <w:rPr>
          <w:rFonts w:ascii="Arial" w:cs="Arial" w:eastAsia="Arial" w:hAnsi="Arial"/>
          <w:sz w:val="17"/>
          <w:szCs w:val="17"/>
          <w:color w:val="auto"/>
        </w:rPr>
        <w:t>Our ASOs provide the ability for dose titration, thereby allowing for dose-dependent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reversible control of level and duration of protein expression. The ability to titrate dosage provides us with flexibility to address a variety of tissue types, and potentially enables us to deliver the right dose, at the right location, for each indication.</w:t>
      </w:r>
    </w:p>
    <w:p>
      <w:pPr>
        <w:spacing w:after="0" w:line="75" w:lineRule="exact"/>
        <w:rPr>
          <w:rFonts w:ascii="Arial" w:cs="Arial" w:eastAsia="Arial" w:hAnsi="Arial"/>
          <w:sz w:val="17"/>
          <w:szCs w:val="17"/>
          <w:color w:val="auto"/>
        </w:rPr>
      </w:pPr>
    </w:p>
    <w:p>
      <w:pPr>
        <w:jc w:val="both"/>
        <w:ind w:left="480" w:right="20" w:hanging="207"/>
        <w:spacing w:after="0" w:line="264"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Utility across wide array of diseases and tissue types. </w:t>
      </w:r>
      <w:r>
        <w:rPr>
          <w:rFonts w:ascii="Arial" w:cs="Arial" w:eastAsia="Arial" w:hAnsi="Arial"/>
          <w:sz w:val="17"/>
          <w:szCs w:val="17"/>
          <w:color w:val="auto"/>
        </w:rPr>
        <w:t>We believe that ASO delivery to the CNS, eye, kidney and liver is well-established,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us the potential to address a broad range of genetic diseases. Additionally, although FDA approval for any of our current or future product candidates is not assured, we believe that ASO delivery to the CNS is particularly well-precedented.</w:t>
      </w:r>
    </w:p>
    <w:p>
      <w:pPr>
        <w:spacing w:after="0" w:line="75" w:lineRule="exact"/>
        <w:rPr>
          <w:rFonts w:ascii="Arial" w:cs="Arial" w:eastAsia="Arial" w:hAnsi="Arial"/>
          <w:sz w:val="17"/>
          <w:szCs w:val="17"/>
          <w:color w:val="auto"/>
        </w:rPr>
      </w:pPr>
    </w:p>
    <w:p>
      <w:pPr>
        <w:ind w:left="480" w:right="120" w:hanging="207"/>
        <w:spacing w:after="0" w:line="258"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Fixed dose, rather than weight-based dosing</w:t>
      </w:r>
      <w:r>
        <w:rPr>
          <w:rFonts w:ascii="Arial" w:cs="Arial" w:eastAsia="Arial" w:hAnsi="Arial"/>
          <w:sz w:val="17"/>
          <w:szCs w:val="17"/>
          <w:color w:val="auto"/>
        </w:rPr>
        <w:t>. We have observed that while the quantity of non-productive mRNA can vary across tissue</w:t>
      </w:r>
      <w:r>
        <w:rPr>
          <w:rFonts w:ascii="Arial" w:cs="Arial" w:eastAsia="Arial" w:hAnsi="Arial"/>
          <w:sz w:val="17"/>
          <w:szCs w:val="17"/>
          <w:i w:val="1"/>
          <w:iCs w:val="1"/>
          <w:color w:val="auto"/>
        </w:rPr>
        <w:t xml:space="preserve"> </w:t>
      </w:r>
      <w:r>
        <w:rPr>
          <w:rFonts w:ascii="Arial" w:cs="Arial" w:eastAsia="Arial" w:hAnsi="Arial"/>
          <w:sz w:val="17"/>
          <w:szCs w:val="17"/>
          <w:color w:val="auto"/>
        </w:rPr>
        <w:t>types for a gene, it remains constant across individuals. As a result, for CNS and eye targets, the dose of our ASOs should not require adjustment between patients to be effective. We believe that a fixed dose across all ages in these targets will lessen reimbursement hurdles associated with a weight-adjusted dose pricing model.</w:t>
      </w:r>
    </w:p>
    <w:p>
      <w:pPr>
        <w:spacing w:after="0" w:line="79" w:lineRule="exact"/>
        <w:rPr>
          <w:rFonts w:ascii="Arial" w:cs="Arial" w:eastAsia="Arial" w:hAnsi="Arial"/>
          <w:sz w:val="17"/>
          <w:szCs w:val="17"/>
          <w:color w:val="auto"/>
        </w:rPr>
      </w:pPr>
    </w:p>
    <w:p>
      <w:pPr>
        <w:ind w:left="480" w:right="40" w:hanging="207"/>
        <w:spacing w:after="0" w:line="264"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Favorable dosing regimen. </w:t>
      </w:r>
      <w:r>
        <w:rPr>
          <w:rFonts w:ascii="Arial" w:cs="Arial" w:eastAsia="Arial" w:hAnsi="Arial"/>
          <w:sz w:val="17"/>
          <w:szCs w:val="17"/>
          <w:color w:val="auto"/>
        </w:rPr>
        <w:t>We believe our ASOs may require as few as two to three administrations per year for the CNS or the eye and</w:t>
      </w:r>
      <w:r>
        <w:rPr>
          <w:rFonts w:ascii="Arial" w:cs="Arial" w:eastAsia="Arial" w:hAnsi="Arial"/>
          <w:sz w:val="17"/>
          <w:szCs w:val="17"/>
          <w:i w:val="1"/>
          <w:iCs w:val="1"/>
          <w:color w:val="auto"/>
        </w:rPr>
        <w:t xml:space="preserve"> </w:t>
      </w:r>
      <w:r>
        <w:rPr>
          <w:rFonts w:ascii="Arial" w:cs="Arial" w:eastAsia="Arial" w:hAnsi="Arial"/>
          <w:sz w:val="17"/>
          <w:szCs w:val="17"/>
          <w:color w:val="auto"/>
        </w:rPr>
        <w:t>will generally involve relatively low doses, which would translate to simplified use, an improved safety profile from reduced systemic exposure and lower cost of goods.</w:t>
      </w:r>
    </w:p>
    <w:p>
      <w:pPr>
        <w:spacing w:after="0" w:line="75" w:lineRule="exact"/>
        <w:rPr>
          <w:rFonts w:ascii="Arial" w:cs="Arial" w:eastAsia="Arial" w:hAnsi="Arial"/>
          <w:sz w:val="17"/>
          <w:szCs w:val="17"/>
          <w:color w:val="auto"/>
        </w:rPr>
      </w:pPr>
    </w:p>
    <w:p>
      <w:pPr>
        <w:ind w:left="480" w:right="420" w:hanging="207"/>
        <w:spacing w:after="0" w:line="264" w:lineRule="auto"/>
        <w:tabs>
          <w:tab w:leader="none" w:pos="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Simple and scalable manufacturing</w:t>
      </w:r>
      <w:r>
        <w:rPr>
          <w:rFonts w:ascii="Arial" w:cs="Arial" w:eastAsia="Arial" w:hAnsi="Arial"/>
          <w:sz w:val="17"/>
          <w:szCs w:val="17"/>
          <w:color w:val="auto"/>
        </w:rPr>
        <w:t>. Our novel ASOs are synthesized by highly scalable, solid-phase chemical synthesis and we</w:t>
      </w:r>
      <w:r>
        <w:rPr>
          <w:rFonts w:ascii="Arial" w:cs="Arial" w:eastAsia="Arial" w:hAnsi="Arial"/>
          <w:sz w:val="17"/>
          <w:szCs w:val="17"/>
          <w:i w:val="1"/>
          <w:iCs w:val="1"/>
          <w:color w:val="auto"/>
        </w:rPr>
        <w:t xml:space="preserve"> </w:t>
      </w:r>
      <w:r>
        <w:rPr>
          <w:rFonts w:ascii="Arial" w:cs="Arial" w:eastAsia="Arial" w:hAnsi="Arial"/>
          <w:sz w:val="17"/>
          <w:szCs w:val="17"/>
          <w:color w:val="auto"/>
        </w:rPr>
        <w:t>leverage a well-established contract manufacturing base. We believe the manufacturing requirements for our ASOs are much simpler, more scalable and more cost-effective than gene therapy and gene editing.</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Our approach</w:t>
      </w:r>
    </w:p>
    <w:p>
      <w:pPr>
        <w:spacing w:after="0" w:line="141"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We employ a systematic and capital-efficient approach to develop ASOs for genetically defined patient populations. We rely on our proprietary database to identify novel drug targets and corroborate these findings with existing knowledge to improve our probability of success in the clinic. We believe that leveraging our proprietary database and focusing on our core competencies of target identification and clinical and regulatory execution will allow us to reduce the time, cost and risks of drug development.</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140"/>
          </w:cols>
          <w:pgMar w:left="240" w:top="455"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Target identification</w:t>
      </w:r>
    </w:p>
    <w:p>
      <w:pPr>
        <w:spacing w:after="0" w:line="129" w:lineRule="exact"/>
        <w:rPr>
          <w:sz w:val="20"/>
          <w:szCs w:val="20"/>
          <w:color w:val="auto"/>
        </w:rPr>
      </w:pPr>
    </w:p>
    <w:p>
      <w:pPr>
        <w:ind w:left="280" w:right="300"/>
        <w:spacing w:after="0" w:line="249" w:lineRule="auto"/>
        <w:rPr>
          <w:sz w:val="20"/>
          <w:szCs w:val="20"/>
          <w:color w:val="auto"/>
        </w:rPr>
      </w:pPr>
      <w:r>
        <w:rPr>
          <w:rFonts w:ascii="Arial" w:cs="Arial" w:eastAsia="Arial" w:hAnsi="Arial"/>
          <w:sz w:val="17"/>
          <w:szCs w:val="17"/>
          <w:color w:val="auto"/>
        </w:rPr>
        <w:t>We continue to make significant investments in our infrastructure to accelerate the pace and scale of target identification. We have built a significant bioinformatics capability, which includes proprietary bioinformatics algorithms and extensive in-house expertise in whole transcriptome RNA sequencing, also referred to as RNAseq. RNAseq uses next-generation sequencing to determine the quantity and sequences of RNA in a sample. We leverage large internal datasets of RNAseq from key tissues known to be addressable with antisense, such as the CNS, eye, liver and kidney, that are purpose-built to enhance the capture of non-productive events.</w:t>
      </w:r>
    </w:p>
    <w:p>
      <w:pPr>
        <w:spacing w:after="0" w:line="93"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We employ machine learning to iteratively refine our search and scoring criteria for the most addressable non-productive mRNA elements based on internal target validation and Hit identification data. To date, we have identified and assembled a proprietary database of approximately 85,000 non-productive events in the human transcriptome. Using this large internal data set, in combination with publicly available genetic disease databases, we have identified approximately 2,900 monogenic disease-associated genes with one or more non-productive events which we believe are amenable to our TANGO technology. We believe our approach is highly predictive and enables rapid and systematic identification of those targets that are most likely to have clinical relevance, thereby increasing the probability for clinical success and accelerating the expansion of our emerging pipeline.</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Hit identification</w:t>
      </w:r>
    </w:p>
    <w:p>
      <w:pPr>
        <w:spacing w:after="0" w:line="129"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 xml:space="preserve">Once a TANGO target is validated in cells and tissue that are relevant to the disease, we employ highly-efficient cell lines to rapidly screen for Hit ASOs that can increase the target protein expression by specifically preventing the occurrence of the non-productive event in the target mRNA. ASO arrays are typically 25-50 compounds per non-productive event and utilize clinically translatable previously-validated ASO chemistries, such as 2’ methoxyethyl phosphorothioate and PMO. Hit compounds are evaluated in wild-type animal models to identify Lead ASOs that possess suitable efficacy and safety to merit preclinical development. Lead ASOs are subsequently evaluated in animal disease models or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disease model systems.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Lead evaluation and prioritization</w:t>
      </w:r>
    </w:p>
    <w:p>
      <w:pPr>
        <w:spacing w:after="0" w:line="129" w:lineRule="exact"/>
        <w:rPr>
          <w:sz w:val="20"/>
          <w:szCs w:val="20"/>
          <w:color w:val="auto"/>
        </w:rPr>
      </w:pPr>
    </w:p>
    <w:p>
      <w:pPr>
        <w:ind w:left="280" w:right="140"/>
        <w:spacing w:after="0" w:line="248" w:lineRule="auto"/>
        <w:rPr>
          <w:sz w:val="20"/>
          <w:szCs w:val="20"/>
          <w:color w:val="auto"/>
        </w:rPr>
      </w:pPr>
      <w:r>
        <w:rPr>
          <w:rFonts w:ascii="Arial" w:cs="Arial" w:eastAsia="Arial" w:hAnsi="Arial"/>
          <w:sz w:val="17"/>
          <w:szCs w:val="17"/>
          <w:color w:val="auto"/>
        </w:rPr>
        <w:t>After we have identified lead compounds, we evaluate and prioritize the advancement of new development candidates based on both program-specific and portfolio-wide considerations. Program-specific criteria include, among other relevant factors, the severity of the unmet medical need, the likelihood of therapeutic utility, the feasibility of clinical development, the costs of development and the commercial opportunity. Portfolio-wide considerations include the ability to demonstrate technical success for our platform, thereby increasing the probability of success and learnings for subsequent programs. We believe that the learnings from our lead Dravet syndrome program will significantly reduce the uncertainty of development of subsequent programs in our pipeline, particularly those targeting the CNS.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Clinical trial and regulatory execution</w:t>
      </w:r>
    </w:p>
    <w:p>
      <w:pPr>
        <w:spacing w:after="0" w:line="12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We employ a multi-pronged approach to bring new treatments forward as rapidly as possible. Our approach leverages previously-validated ASO chemistry and a modality that has been successfully utilized for other diseases, to minimize potential safety concerns and development risk. We are also initially targeting diseases with established clinical and regulatory pathways. As an example, we intend to undertake a Phase 1/2 clinical trial for our lead program in Dravet syndrome with a design and endpoints common to other recently approved antiepileptic drugs. Additionally, we plan to begin clinical dosing in patients at a dose anticipated to have biological effect to allow for early insight into the therapeutic potential of a product candidate and the possibility for rapid clinical development and expedited regulatory pathways, in addition to Fast Track Designation and Breakthrough Therapy Designation.</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Commercialization</w:t>
      </w:r>
    </w:p>
    <w:p>
      <w:pPr>
        <w:spacing w:after="0" w:line="129" w:lineRule="exact"/>
        <w:rPr>
          <w:sz w:val="20"/>
          <w:szCs w:val="20"/>
          <w:color w:val="auto"/>
        </w:rPr>
      </w:pPr>
    </w:p>
    <w:p>
      <w:pPr>
        <w:ind w:left="280" w:right="480"/>
        <w:spacing w:after="0" w:line="262" w:lineRule="auto"/>
        <w:rPr>
          <w:sz w:val="20"/>
          <w:szCs w:val="20"/>
          <w:color w:val="auto"/>
        </w:rPr>
      </w:pPr>
      <w:r>
        <w:rPr>
          <w:rFonts w:ascii="Arial" w:cs="Arial" w:eastAsia="Arial" w:hAnsi="Arial"/>
          <w:sz w:val="17"/>
          <w:szCs w:val="17"/>
          <w:color w:val="auto"/>
        </w:rPr>
        <w:t>We intend to retain broad commercial rights and independently bring our therapies to patients around the world through a lean, targeted internal commercial organization. To do this, we are focused on ensuring that</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140"/>
          </w:cols>
          <w:pgMar w:left="240" w:top="455"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we can effectively identify and access those patients who will benefit from our therapies. We target diseases in which genetic testing is routinely performed, thereby shortening the diagnostic odyssey and enabling rapid identification of patients who harbor the relevant genetic mutations. We have partnered with Invitae, a leading genetic information company, to provide genetic testing at no cost to the patient. Lastly, to maximize patient access, we aim to leverage an established network of academic and tertiary centers with extensive experience with analogous drug administration.</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Therapeutic focus and product candidates</w:t>
      </w:r>
    </w:p>
    <w:p>
      <w:pPr>
        <w:spacing w:after="0" w:line="129"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We believe our ASOs can be applied to treat a wide range of severe genetic diseases, and we have carefully designed and prioritized our pipeline strategy to maximize this opportunity. We are focused on applying the transformative potential of our platform to developing medicines for patients with diseases where the genetic abnormality is known and is found in a single gene. We therefore know for a given disease precisely which gene will need to be upregulated, thus mitigating against the uncertainty of the disease biology. We are currently focused on developing product candidates to treat autosomal dominant haploinsufficiency diseases, or disorders in which one copy of a gene is mutated and results in approximately 50% of normal protein expression. Within haploinsufficiencies, we believe that no other disease area holds as clear a need or as much promise for near-term medical breakthrough as genetic epilepsies, including Dravet syndrome, and therefore we are prioritizing this disease area for our near-term development efforts.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Genetic epilepsies</w:t>
      </w:r>
    </w:p>
    <w:p>
      <w:pPr>
        <w:spacing w:after="0" w:line="131"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 xml:space="preserve">Epilepsy is defined as recurrent, unprovoked seizures due to abnormal, asynchronized neuronal firing in the brain. Epilepsy is the fourth most common neurologic disease and affects more than 50 million people worldwide, according to the World Health Organization as of 2019. Epilepsy is the most frequent serious chronic neurologic condition in childhood, and approximately one out of 150 children are diagnosed with epilepsy during the first 10 years of life, with the highest incidence rate observed during infancy, according to a 2017 publication in </w:t>
      </w:r>
      <w:r>
        <w:rPr>
          <w:rFonts w:ascii="Arial" w:cs="Arial" w:eastAsia="Arial" w:hAnsi="Arial"/>
          <w:sz w:val="17"/>
          <w:szCs w:val="17"/>
          <w:i w:val="1"/>
          <w:iCs w:val="1"/>
          <w:color w:val="auto"/>
        </w:rPr>
        <w:t>Pediatrics</w:t>
      </w:r>
      <w:r>
        <w:rPr>
          <w:rFonts w:ascii="Arial" w:cs="Arial" w:eastAsia="Arial" w:hAnsi="Arial"/>
          <w:sz w:val="17"/>
          <w:szCs w:val="17"/>
          <w:color w:val="auto"/>
        </w:rPr>
        <w:t>.</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 xml:space="preserve">More than 30% of patients with epilepsy are refractory to medical treatment, especially those with a genetic epilepsy, despite the availability of approximately 20 antiepileptic drugs. This is largely because existing antiepileptic drugs primarily address the frequency of seizures and lack the capacity to rectify the underlying neuropathological processes or genetic defect. Refractory epilepsy carries the risks of structural damage to the brain and nervous system and increased risk of premature death (e.g. from sudden unexpected death in epilepsy, or SUDEP, suicide, accidents, pneumonia, or vascular disease), as well as psychological, educational, social and vocational consequences. In addition, up to 50% of patients with epilepsy have significant cognitive delay, according to a 2015 review article in </w:t>
      </w:r>
      <w:r>
        <w:rPr>
          <w:rFonts w:ascii="Arial" w:cs="Arial" w:eastAsia="Arial" w:hAnsi="Arial"/>
          <w:sz w:val="17"/>
          <w:szCs w:val="17"/>
          <w:i w:val="1"/>
          <w:iCs w:val="1"/>
          <w:color w:val="auto"/>
        </w:rPr>
        <w:t>Cold Spring Harbor Perspectives</w:t>
      </w:r>
      <w:r>
        <w:rPr>
          <w:rFonts w:ascii="Arial" w:cs="Arial" w:eastAsia="Arial" w:hAnsi="Arial"/>
          <w:sz w:val="17"/>
          <w:szCs w:val="17"/>
          <w:color w:val="auto"/>
        </w:rPr>
        <w:t xml:space="preserve"> . Cognitive and behavioral comorbidities are especially common in children with refractory epilepsy. Overall outcomes in patients with epilepsy have not improved significantly over the past two decades, and a novel therapeutic approach is desperately needed to modify the development or progression of the disease and improve long-term outcomes.</w:t>
      </w:r>
    </w:p>
    <w:p>
      <w:pPr>
        <w:spacing w:after="0" w:line="78" w:lineRule="exact"/>
        <w:rPr>
          <w:sz w:val="20"/>
          <w:szCs w:val="20"/>
          <w:color w:val="auto"/>
        </w:rPr>
      </w:pPr>
    </w:p>
    <w:p>
      <w:pPr>
        <w:ind w:left="280" w:right="100"/>
        <w:spacing w:after="0" w:line="253" w:lineRule="auto"/>
        <w:rPr>
          <w:sz w:val="20"/>
          <w:szCs w:val="20"/>
          <w:color w:val="auto"/>
        </w:rPr>
      </w:pPr>
      <w:r>
        <w:rPr>
          <w:rFonts w:ascii="Arial" w:cs="Arial" w:eastAsia="Arial" w:hAnsi="Arial"/>
          <w:sz w:val="17"/>
          <w:szCs w:val="17"/>
          <w:color w:val="auto"/>
        </w:rPr>
        <w:t xml:space="preserve">A 2010 publication in </w:t>
      </w:r>
      <w:r>
        <w:rPr>
          <w:rFonts w:ascii="Arial" w:cs="Arial" w:eastAsia="Arial" w:hAnsi="Arial"/>
          <w:sz w:val="17"/>
          <w:szCs w:val="17"/>
          <w:i w:val="1"/>
          <w:iCs w:val="1"/>
          <w:color w:val="auto"/>
        </w:rPr>
        <w:t>Nature Reviews Neurology</w:t>
      </w:r>
      <w:r>
        <w:rPr>
          <w:rFonts w:ascii="Arial" w:cs="Arial" w:eastAsia="Arial" w:hAnsi="Arial"/>
          <w:sz w:val="17"/>
          <w:szCs w:val="17"/>
          <w:color w:val="auto"/>
        </w:rPr>
        <w:t xml:space="preserve"> estimates that more than 50% of epilepsies are now recognized as having a genetic basis, and many of these are haploinsufficiencies. The genetic bases of both rare and common epilepsies are rapidly being elucidated, and neurologists now routinely include genetic testing for more than 180 disease-associated genes in the diagnostic work-up of epilepsy. Beyond diagnostics, a major goal of genetic testing is to enable individualized treatment choices based on the genetic cause of disease. Today, the application of genetic diagnosis for epilepsy patients is largely limited to medical contraindications, such as avoidance or removal of ion channel blockers for an ion channel deficiency, given that there are no genetically-targeted medicines available for genetic epilepsy patients.</w:t>
      </w:r>
    </w:p>
    <w:p>
      <w:pPr>
        <w:spacing w:after="0" w:line="88" w:lineRule="exact"/>
        <w:rPr>
          <w:sz w:val="20"/>
          <w:szCs w:val="20"/>
          <w:color w:val="auto"/>
        </w:rPr>
      </w:pPr>
    </w:p>
    <w:p>
      <w:pPr>
        <w:ind w:left="280" w:right="360"/>
        <w:spacing w:after="0" w:line="262" w:lineRule="auto"/>
        <w:rPr>
          <w:sz w:val="20"/>
          <w:szCs w:val="20"/>
          <w:color w:val="auto"/>
        </w:rPr>
      </w:pPr>
      <w:r>
        <w:rPr>
          <w:rFonts w:ascii="Arial" w:cs="Arial" w:eastAsia="Arial" w:hAnsi="Arial"/>
          <w:sz w:val="17"/>
          <w:szCs w:val="17"/>
          <w:color w:val="auto"/>
        </w:rPr>
        <w:t>Several hundred epilepsy-related genes have been identified to date, including genes encoding neuronal ion channels and receptors and genes involved in cellular signaling. For example, the number of genes included on</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120"/>
          </w:cols>
          <w:pgMar w:left="240" w:top="455" w:right="5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53" w:lineRule="auto"/>
        <w:rPr>
          <w:sz w:val="20"/>
          <w:szCs w:val="20"/>
          <w:color w:val="auto"/>
        </w:rPr>
      </w:pPr>
      <w:r>
        <w:rPr>
          <w:rFonts w:ascii="Arial" w:cs="Arial" w:eastAsia="Arial" w:hAnsi="Arial"/>
          <w:sz w:val="17"/>
          <w:szCs w:val="17"/>
          <w:color w:val="auto"/>
        </w:rPr>
        <w:t>the epilepsy panel of Invitae Corporation, a leading genetic information company, has grown from 103 in 2015 to 187 in 2019. Globally, advances in molecular technology are expected to result in discoveries of additional genetic etiologies of epilepsy, implying a greater role than ever before for genetics in the epilepsy clinic.</w:t>
      </w:r>
    </w:p>
    <w:p>
      <w:pPr>
        <w:spacing w:after="0" w:line="89" w:lineRule="exact"/>
        <w:rPr>
          <w:sz w:val="20"/>
          <w:szCs w:val="20"/>
          <w:color w:val="auto"/>
        </w:rPr>
      </w:pPr>
    </w:p>
    <w:p>
      <w:pPr>
        <w:ind w:left="280" w:right="180"/>
        <w:spacing w:after="0" w:line="253" w:lineRule="auto"/>
        <w:rPr>
          <w:sz w:val="20"/>
          <w:szCs w:val="20"/>
          <w:color w:val="auto"/>
        </w:rPr>
      </w:pPr>
      <w:r>
        <w:rPr>
          <w:rFonts w:ascii="Arial" w:cs="Arial" w:eastAsia="Arial" w:hAnsi="Arial"/>
          <w:sz w:val="17"/>
          <w:szCs w:val="17"/>
          <w:color w:val="auto"/>
        </w:rPr>
        <w:t>The table below lists select genes that are commonly mutated amongst patients with epilepsy and we believe are amenable to TANGO, with current estimates of their prevalence. We are continuing to evaluate these CNS targets and expect to nominate a second genetic disease candidate for preclinical development by the first half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62865</wp:posOffset>
            </wp:positionV>
            <wp:extent cx="69094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Gene</w:t>
            </w:r>
          </w:p>
        </w:tc>
        <w:tc>
          <w:tcPr>
            <w:tcW w:w="450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Disease</w:t>
            </w:r>
          </w:p>
        </w:tc>
        <w:tc>
          <w:tcPr>
            <w:tcW w:w="500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Estimated worldwide prevalence</w:t>
            </w:r>
          </w:p>
        </w:tc>
      </w:tr>
      <w:tr>
        <w:trPr>
          <w:trHeight w:val="47"/>
        </w:trPr>
        <w:tc>
          <w:tcPr>
            <w:tcW w:w="13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0"/>
        </w:trPr>
        <w:tc>
          <w:tcPr>
            <w:tcW w:w="1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SCN1A</w:t>
            </w:r>
          </w:p>
        </w:tc>
        <w:tc>
          <w:tcPr>
            <w:tcW w:w="45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Dravet Syndrome</w:t>
            </w:r>
          </w:p>
        </w:tc>
        <w:tc>
          <w:tcPr>
            <w:tcW w:w="5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5-5.5 in 100,000</w:t>
            </w:r>
          </w:p>
        </w:tc>
      </w:tr>
      <w:tr>
        <w:trPr>
          <w:trHeight w:val="279"/>
        </w:trPr>
        <w:tc>
          <w:tcPr>
            <w:tcW w:w="1380" w:type="dxa"/>
            <w:vAlign w:val="bottom"/>
          </w:tcPr>
          <w:p>
            <w:pPr>
              <w:spacing w:after="0"/>
              <w:rPr>
                <w:sz w:val="20"/>
                <w:szCs w:val="20"/>
                <w:color w:val="auto"/>
              </w:rPr>
            </w:pPr>
            <w:r>
              <w:rPr>
                <w:rFonts w:ascii="Arial" w:cs="Arial" w:eastAsia="Arial" w:hAnsi="Arial"/>
                <w:sz w:val="17"/>
                <w:szCs w:val="17"/>
                <w:i w:val="1"/>
                <w:iCs w:val="1"/>
                <w:color w:val="auto"/>
              </w:rPr>
              <w:t>TSC2</w:t>
            </w:r>
          </w:p>
        </w:tc>
        <w:tc>
          <w:tcPr>
            <w:tcW w:w="4500" w:type="dxa"/>
            <w:vAlign w:val="bottom"/>
          </w:tcPr>
          <w:p>
            <w:pPr>
              <w:ind w:left="580"/>
              <w:spacing w:after="0"/>
              <w:rPr>
                <w:sz w:val="20"/>
                <w:szCs w:val="20"/>
                <w:color w:val="auto"/>
              </w:rPr>
            </w:pPr>
            <w:r>
              <w:rPr>
                <w:rFonts w:ascii="Arial" w:cs="Arial" w:eastAsia="Arial" w:hAnsi="Arial"/>
                <w:sz w:val="17"/>
                <w:szCs w:val="17"/>
                <w:color w:val="auto"/>
              </w:rPr>
              <w:t>Tuberous Sclerosis 2</w:t>
            </w:r>
          </w:p>
        </w:tc>
        <w:tc>
          <w:tcPr>
            <w:tcW w:w="5000" w:type="dxa"/>
            <w:vAlign w:val="bottom"/>
          </w:tcPr>
          <w:p>
            <w:pPr>
              <w:ind w:left="640"/>
              <w:spacing w:after="0"/>
              <w:rPr>
                <w:sz w:val="20"/>
                <w:szCs w:val="20"/>
                <w:color w:val="auto"/>
              </w:rPr>
            </w:pPr>
            <w:r>
              <w:rPr>
                <w:rFonts w:ascii="Arial" w:cs="Arial" w:eastAsia="Arial" w:hAnsi="Arial"/>
                <w:sz w:val="17"/>
                <w:szCs w:val="17"/>
                <w:color w:val="auto"/>
              </w:rPr>
              <w:t>7-8 in 100,000</w:t>
            </w:r>
          </w:p>
        </w:tc>
      </w:tr>
      <w:tr>
        <w:trPr>
          <w:trHeight w:val="55"/>
        </w:trPr>
        <w:tc>
          <w:tcPr>
            <w:tcW w:w="13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0"/>
        </w:trPr>
        <w:tc>
          <w:tcPr>
            <w:tcW w:w="1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MECP2</w:t>
            </w:r>
          </w:p>
        </w:tc>
        <w:tc>
          <w:tcPr>
            <w:tcW w:w="45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Rett Syndrome</w:t>
            </w:r>
          </w:p>
        </w:tc>
        <w:tc>
          <w:tcPr>
            <w:tcW w:w="5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5 in 100,000</w:t>
            </w:r>
          </w:p>
        </w:tc>
      </w:tr>
      <w:tr>
        <w:trPr>
          <w:trHeight w:val="279"/>
        </w:trPr>
        <w:tc>
          <w:tcPr>
            <w:tcW w:w="1380" w:type="dxa"/>
            <w:vAlign w:val="bottom"/>
          </w:tcPr>
          <w:p>
            <w:pPr>
              <w:spacing w:after="0"/>
              <w:rPr>
                <w:sz w:val="20"/>
                <w:szCs w:val="20"/>
                <w:color w:val="auto"/>
              </w:rPr>
            </w:pPr>
            <w:r>
              <w:rPr>
                <w:rFonts w:ascii="Arial" w:cs="Arial" w:eastAsia="Arial" w:hAnsi="Arial"/>
                <w:sz w:val="17"/>
                <w:szCs w:val="17"/>
                <w:i w:val="1"/>
                <w:iCs w:val="1"/>
                <w:color w:val="auto"/>
              </w:rPr>
              <w:t>TSC1</w:t>
            </w:r>
          </w:p>
        </w:tc>
        <w:tc>
          <w:tcPr>
            <w:tcW w:w="4500" w:type="dxa"/>
            <w:vAlign w:val="bottom"/>
          </w:tcPr>
          <w:p>
            <w:pPr>
              <w:ind w:left="580"/>
              <w:spacing w:after="0"/>
              <w:rPr>
                <w:sz w:val="20"/>
                <w:szCs w:val="20"/>
                <w:color w:val="auto"/>
              </w:rPr>
            </w:pPr>
            <w:r>
              <w:rPr>
                <w:rFonts w:ascii="Arial" w:cs="Arial" w:eastAsia="Arial" w:hAnsi="Arial"/>
                <w:sz w:val="17"/>
                <w:szCs w:val="17"/>
                <w:color w:val="auto"/>
              </w:rPr>
              <w:t>Tuberous Sclerosis 1</w:t>
            </w:r>
          </w:p>
        </w:tc>
        <w:tc>
          <w:tcPr>
            <w:tcW w:w="5000" w:type="dxa"/>
            <w:vAlign w:val="bottom"/>
          </w:tcPr>
          <w:p>
            <w:pPr>
              <w:ind w:left="640"/>
              <w:spacing w:after="0"/>
              <w:rPr>
                <w:sz w:val="20"/>
                <w:szCs w:val="20"/>
                <w:color w:val="auto"/>
              </w:rPr>
            </w:pPr>
            <w:r>
              <w:rPr>
                <w:rFonts w:ascii="Arial" w:cs="Arial" w:eastAsia="Arial" w:hAnsi="Arial"/>
                <w:sz w:val="17"/>
                <w:szCs w:val="17"/>
                <w:color w:val="auto"/>
              </w:rPr>
              <w:t>2-3 in 100,000</w:t>
            </w:r>
          </w:p>
        </w:tc>
      </w:tr>
      <w:tr>
        <w:trPr>
          <w:trHeight w:val="55"/>
        </w:trPr>
        <w:tc>
          <w:tcPr>
            <w:tcW w:w="13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0"/>
        </w:trPr>
        <w:tc>
          <w:tcPr>
            <w:tcW w:w="1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SCN2A</w:t>
            </w:r>
          </w:p>
        </w:tc>
        <w:tc>
          <w:tcPr>
            <w:tcW w:w="45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Epileptic Encephalopathy</w:t>
            </w:r>
          </w:p>
        </w:tc>
        <w:tc>
          <w:tcPr>
            <w:tcW w:w="5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1-2 in 100,000</w:t>
            </w:r>
          </w:p>
        </w:tc>
      </w:tr>
      <w:tr>
        <w:trPr>
          <w:trHeight w:val="279"/>
        </w:trPr>
        <w:tc>
          <w:tcPr>
            <w:tcW w:w="1380" w:type="dxa"/>
            <w:vAlign w:val="bottom"/>
          </w:tcPr>
          <w:p>
            <w:pPr>
              <w:spacing w:after="0"/>
              <w:rPr>
                <w:sz w:val="20"/>
                <w:szCs w:val="20"/>
                <w:color w:val="auto"/>
              </w:rPr>
            </w:pPr>
            <w:r>
              <w:rPr>
                <w:rFonts w:ascii="Arial" w:cs="Arial" w:eastAsia="Arial" w:hAnsi="Arial"/>
                <w:sz w:val="17"/>
                <w:szCs w:val="17"/>
                <w:i w:val="1"/>
                <w:iCs w:val="1"/>
                <w:color w:val="auto"/>
              </w:rPr>
              <w:t>CHD2</w:t>
            </w:r>
          </w:p>
        </w:tc>
        <w:tc>
          <w:tcPr>
            <w:tcW w:w="4500" w:type="dxa"/>
            <w:vAlign w:val="bottom"/>
          </w:tcPr>
          <w:p>
            <w:pPr>
              <w:ind w:left="580"/>
              <w:spacing w:after="0"/>
              <w:rPr>
                <w:sz w:val="20"/>
                <w:szCs w:val="20"/>
                <w:color w:val="auto"/>
              </w:rPr>
            </w:pPr>
            <w:r>
              <w:rPr>
                <w:rFonts w:ascii="Arial" w:cs="Arial" w:eastAsia="Arial" w:hAnsi="Arial"/>
                <w:sz w:val="17"/>
                <w:szCs w:val="17"/>
                <w:color w:val="auto"/>
              </w:rPr>
              <w:t>CHD2-Myoclonic Epilepsy</w:t>
            </w:r>
          </w:p>
        </w:tc>
        <w:tc>
          <w:tcPr>
            <w:tcW w:w="5000" w:type="dxa"/>
            <w:vAlign w:val="bottom"/>
          </w:tcPr>
          <w:p>
            <w:pPr>
              <w:ind w:left="640"/>
              <w:spacing w:after="0"/>
              <w:rPr>
                <w:sz w:val="20"/>
                <w:szCs w:val="20"/>
                <w:color w:val="auto"/>
              </w:rPr>
            </w:pPr>
            <w:r>
              <w:rPr>
                <w:rFonts w:ascii="Arial" w:cs="Arial" w:eastAsia="Arial" w:hAnsi="Arial"/>
                <w:sz w:val="17"/>
                <w:szCs w:val="17"/>
                <w:color w:val="auto"/>
              </w:rPr>
              <w:t>1-2 in 100,000</w:t>
            </w:r>
          </w:p>
        </w:tc>
      </w:tr>
      <w:tr>
        <w:trPr>
          <w:trHeight w:val="55"/>
        </w:trPr>
        <w:tc>
          <w:tcPr>
            <w:tcW w:w="13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0"/>
        </w:trPr>
        <w:tc>
          <w:tcPr>
            <w:tcW w:w="1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SYNGAP1</w:t>
            </w:r>
          </w:p>
        </w:tc>
        <w:tc>
          <w:tcPr>
            <w:tcW w:w="45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Autosomal Dominant Mental Retardation 5</w:t>
            </w:r>
          </w:p>
        </w:tc>
        <w:tc>
          <w:tcPr>
            <w:tcW w:w="5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 in 100,000</w:t>
            </w:r>
          </w:p>
        </w:tc>
      </w:tr>
      <w:tr>
        <w:trPr>
          <w:trHeight w:val="279"/>
        </w:trPr>
        <w:tc>
          <w:tcPr>
            <w:tcW w:w="1380" w:type="dxa"/>
            <w:vAlign w:val="bottom"/>
          </w:tcPr>
          <w:p>
            <w:pPr>
              <w:spacing w:after="0"/>
              <w:rPr>
                <w:sz w:val="20"/>
                <w:szCs w:val="20"/>
                <w:color w:val="auto"/>
              </w:rPr>
            </w:pPr>
            <w:r>
              <w:rPr>
                <w:rFonts w:ascii="Arial" w:cs="Arial" w:eastAsia="Arial" w:hAnsi="Arial"/>
                <w:sz w:val="17"/>
                <w:szCs w:val="17"/>
                <w:i w:val="1"/>
                <w:iCs w:val="1"/>
                <w:color w:val="auto"/>
              </w:rPr>
              <w:t>SCL6A1</w:t>
            </w:r>
          </w:p>
        </w:tc>
        <w:tc>
          <w:tcPr>
            <w:tcW w:w="4500" w:type="dxa"/>
            <w:vAlign w:val="bottom"/>
          </w:tcPr>
          <w:p>
            <w:pPr>
              <w:ind w:left="580"/>
              <w:spacing w:after="0"/>
              <w:rPr>
                <w:sz w:val="20"/>
                <w:szCs w:val="20"/>
                <w:color w:val="auto"/>
              </w:rPr>
            </w:pPr>
            <w:r>
              <w:rPr>
                <w:rFonts w:ascii="Arial" w:cs="Arial" w:eastAsia="Arial" w:hAnsi="Arial"/>
                <w:sz w:val="17"/>
                <w:szCs w:val="17"/>
                <w:color w:val="auto"/>
              </w:rPr>
              <w:t>Epileptic Encephalopathy</w:t>
            </w:r>
          </w:p>
        </w:tc>
        <w:tc>
          <w:tcPr>
            <w:tcW w:w="5000" w:type="dxa"/>
            <w:vAlign w:val="bottom"/>
          </w:tcPr>
          <w:p>
            <w:pPr>
              <w:ind w:left="640"/>
              <w:spacing w:after="0"/>
              <w:rPr>
                <w:sz w:val="20"/>
                <w:szCs w:val="20"/>
                <w:color w:val="auto"/>
              </w:rPr>
            </w:pPr>
            <w:r>
              <w:rPr>
                <w:rFonts w:ascii="Arial" w:cs="Arial" w:eastAsia="Arial" w:hAnsi="Arial"/>
                <w:sz w:val="17"/>
                <w:szCs w:val="17"/>
                <w:color w:val="auto"/>
              </w:rPr>
              <w:t>1 in 100,000</w:t>
            </w:r>
          </w:p>
        </w:tc>
      </w:tr>
      <w:tr>
        <w:trPr>
          <w:trHeight w:val="55"/>
        </w:trPr>
        <w:tc>
          <w:tcPr>
            <w:tcW w:w="13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0"/>
        </w:trPr>
        <w:tc>
          <w:tcPr>
            <w:tcW w:w="13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SCN8A</w:t>
            </w:r>
          </w:p>
        </w:tc>
        <w:tc>
          <w:tcPr>
            <w:tcW w:w="45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Epileptic Encephalopathy</w:t>
            </w:r>
          </w:p>
        </w:tc>
        <w:tc>
          <w:tcPr>
            <w:tcW w:w="5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 in 100,000</w:t>
            </w:r>
          </w:p>
        </w:tc>
      </w:tr>
      <w:tr>
        <w:trPr>
          <w:trHeight w:val="279"/>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CACNA1A</w:t>
            </w:r>
          </w:p>
        </w:tc>
        <w:tc>
          <w:tcPr>
            <w:tcW w:w="450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Episodic Ataxia, Type 2</w:t>
            </w:r>
          </w:p>
        </w:tc>
        <w:tc>
          <w:tcPr>
            <w:tcW w:w="50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&lt;1 in 100,000</w:t>
            </w:r>
          </w:p>
        </w:tc>
      </w:tr>
    </w:tbl>
    <w:p>
      <w:pPr>
        <w:spacing w:after="0" w:line="110"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 xml:space="preserve">For some genes, the phenotypic spectrum expands beyond the epilepsies to other neurodevelopmental disorders, including autism and intellectual disability. For example, although most patients with mutations in </w:t>
      </w:r>
      <w:r>
        <w:rPr>
          <w:rFonts w:ascii="Arial" w:cs="Arial" w:eastAsia="Arial" w:hAnsi="Arial"/>
          <w:sz w:val="17"/>
          <w:szCs w:val="17"/>
          <w:i w:val="1"/>
          <w:iCs w:val="1"/>
          <w:color w:val="auto"/>
        </w:rPr>
        <w:t>STXBP1</w:t>
      </w:r>
      <w:r>
        <w:rPr>
          <w:rFonts w:ascii="Arial" w:cs="Arial" w:eastAsia="Arial" w:hAnsi="Arial"/>
          <w:sz w:val="17"/>
          <w:szCs w:val="17"/>
          <w:color w:val="auto"/>
        </w:rPr>
        <w:t xml:space="preserve">, </w:t>
      </w:r>
      <w:r>
        <w:rPr>
          <w:rFonts w:ascii="Arial" w:cs="Arial" w:eastAsia="Arial" w:hAnsi="Arial"/>
          <w:sz w:val="17"/>
          <w:szCs w:val="17"/>
          <w:i w:val="1"/>
          <w:iCs w:val="1"/>
          <w:color w:val="auto"/>
        </w:rPr>
        <w:t>SYNGAP1</w:t>
      </w:r>
      <w:r>
        <w:rPr>
          <w:rFonts w:ascii="Arial" w:cs="Arial" w:eastAsia="Arial" w:hAnsi="Arial"/>
          <w:sz w:val="17"/>
          <w:szCs w:val="17"/>
          <w:color w:val="auto"/>
        </w:rPr>
        <w:t xml:space="preserve"> or </w:t>
      </w:r>
      <w:r>
        <w:rPr>
          <w:rFonts w:ascii="Arial" w:cs="Arial" w:eastAsia="Arial" w:hAnsi="Arial"/>
          <w:sz w:val="17"/>
          <w:szCs w:val="17"/>
          <w:i w:val="1"/>
          <w:iCs w:val="1"/>
          <w:color w:val="auto"/>
        </w:rPr>
        <w:t>CHD2</w:t>
      </w:r>
      <w:r>
        <w:rPr>
          <w:rFonts w:ascii="Arial" w:cs="Arial" w:eastAsia="Arial" w:hAnsi="Arial"/>
          <w:sz w:val="17"/>
          <w:szCs w:val="17"/>
          <w:color w:val="auto"/>
        </w:rPr>
        <w:t xml:space="preserve"> present with seizures, mutations in these genes have also been identified in individuals with intellectual disability or autism spectrum disorder, but without epilepsy. These neurodevelopmental disorders are not addressed with existing antiepileptic drugs.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Dravet syndrome—STK-001</w:t>
      </w:r>
    </w:p>
    <w:p>
      <w:pPr>
        <w:spacing w:after="0" w:line="13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Our most advanced program is a potentially disease-modifying treatment for Dravet syndrome, a severe and progressive genetic epilepsy. STK-001 is a proprietary ASO and utilizes an established delivery mechanism of intrathecal delivery to target the CNS. We applied for Orphan Drug Designation from the FDA in May 2019, and intend to submit an IND by early 2020. We expect to initiate a Phase 1/2 clinical trial in children and adolescents with Dravet syndrome in the first half of 2020 and anticipate clinical data, including preliminary efficacy data, in 2021. If we see evidence of efficacy following clinical data, then we would plan to meet with regulatory authorities to discuss expedited regulatory pathways, in addition to requesting Fast Track Designation and Breakthrough Therapy Designation. To date, the FDA has given no indication to whether our product candidate will receive Orphan Drug Designation or be permitted to use any such expedited pathway.</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Dravet syndrome disease overview</w:t>
      </w:r>
    </w:p>
    <w:p>
      <w:pPr>
        <w:spacing w:after="0" w:line="131" w:lineRule="exact"/>
        <w:rPr>
          <w:sz w:val="20"/>
          <w:szCs w:val="20"/>
          <w:color w:val="auto"/>
        </w:rPr>
      </w:pPr>
    </w:p>
    <w:p>
      <w:pPr>
        <w:ind w:left="280" w:right="20"/>
        <w:spacing w:after="0" w:line="238" w:lineRule="auto"/>
        <w:rPr>
          <w:sz w:val="20"/>
          <w:szCs w:val="20"/>
          <w:color w:val="auto"/>
        </w:rPr>
      </w:pPr>
      <w:r>
        <w:rPr>
          <w:rFonts w:ascii="Arial" w:cs="Arial" w:eastAsia="Arial" w:hAnsi="Arial"/>
          <w:sz w:val="17"/>
          <w:szCs w:val="17"/>
          <w:color w:val="auto"/>
        </w:rPr>
        <w:t xml:space="preserve">Dravet syndrome is one of the most severe genetic epilepsies and affects approximately 6.4 in 100,000 people worldwide, including 5-5.5 in 100,000 people who possess a mutation in the </w:t>
      </w:r>
      <w:r>
        <w:rPr>
          <w:rFonts w:ascii="Arial" w:cs="Arial" w:eastAsia="Arial" w:hAnsi="Arial"/>
          <w:sz w:val="17"/>
          <w:szCs w:val="17"/>
          <w:i w:val="1"/>
          <w:iCs w:val="1"/>
          <w:color w:val="auto"/>
        </w:rPr>
        <w:t>SCN1A</w:t>
      </w:r>
      <w:r>
        <w:rPr>
          <w:rFonts w:ascii="Arial" w:cs="Arial" w:eastAsia="Arial" w:hAnsi="Arial"/>
          <w:sz w:val="17"/>
          <w:szCs w:val="17"/>
          <w:color w:val="auto"/>
        </w:rPr>
        <w:t xml:space="preserve"> gene, according to a 2018 market research report commissioned by us and prepared by Health Advances, LLC, or the Health Advances Report. The disease is caused by a pathogenic mutation or deletion of the </w:t>
      </w:r>
      <w:r>
        <w:rPr>
          <w:rFonts w:ascii="Arial" w:cs="Arial" w:eastAsia="Arial" w:hAnsi="Arial"/>
          <w:sz w:val="17"/>
          <w:szCs w:val="17"/>
          <w:i w:val="1"/>
          <w:iCs w:val="1"/>
          <w:color w:val="auto"/>
        </w:rPr>
        <w:t>SCN1A</w:t>
      </w:r>
      <w:r>
        <w:rPr>
          <w:rFonts w:ascii="Arial" w:cs="Arial" w:eastAsia="Arial" w:hAnsi="Arial"/>
          <w:sz w:val="17"/>
          <w:szCs w:val="17"/>
          <w:color w:val="auto"/>
        </w:rPr>
        <w:t xml:space="preserve"> gene in approximately 85% of patients. At least 1,250 different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mutations in the </w:t>
      </w:r>
      <w:r>
        <w:rPr>
          <w:rFonts w:ascii="Arial" w:cs="Arial" w:eastAsia="Arial" w:hAnsi="Arial"/>
          <w:sz w:val="17"/>
          <w:szCs w:val="17"/>
          <w:i w:val="1"/>
          <w:iCs w:val="1"/>
          <w:color w:val="auto"/>
        </w:rPr>
        <w:t>SCN1A</w:t>
      </w:r>
      <w:r>
        <w:rPr>
          <w:rFonts w:ascii="Arial" w:cs="Arial" w:eastAsia="Arial" w:hAnsi="Arial"/>
          <w:sz w:val="17"/>
          <w:szCs w:val="17"/>
          <w:color w:val="auto"/>
        </w:rPr>
        <w:t xml:space="preserve"> gene have been identified to date in Dravet syndrome patients, including single nucleotide substitutions, small insertions or deletions and even whole gene deletions. </w:t>
      </w:r>
      <w:r>
        <w:rPr>
          <w:rFonts w:ascii="Arial" w:cs="Arial" w:eastAsia="Arial" w:hAnsi="Arial"/>
          <w:sz w:val="17"/>
          <w:szCs w:val="17"/>
          <w:i w:val="1"/>
          <w:iCs w:val="1"/>
          <w:color w:val="auto"/>
        </w:rPr>
        <w:t>SCN1A</w:t>
      </w:r>
      <w:r>
        <w:rPr>
          <w:rFonts w:ascii="Arial" w:cs="Arial" w:eastAsia="Arial" w:hAnsi="Arial"/>
          <w:sz w:val="17"/>
          <w:szCs w:val="17"/>
          <w:color w:val="auto"/>
        </w:rPr>
        <w:t xml:space="preserve"> codes for the alpha subunit of the voltage-gated sodium channel, or Na</w:t>
      </w:r>
      <w:r>
        <w:rPr>
          <w:rFonts w:ascii="Arial" w:cs="Arial" w:eastAsia="Arial" w:hAnsi="Arial"/>
          <w:sz w:val="22"/>
          <w:szCs w:val="22"/>
          <w:color w:val="auto"/>
          <w:vertAlign w:val="subscript"/>
        </w:rPr>
        <w:t>v</w:t>
      </w:r>
      <w:r>
        <w:rPr>
          <w:rFonts w:ascii="Arial" w:cs="Arial" w:eastAsia="Arial" w:hAnsi="Arial"/>
          <w:sz w:val="17"/>
          <w:szCs w:val="17"/>
          <w:color w:val="auto"/>
        </w:rPr>
        <w:t xml:space="preserve">1.1 protein, an ion channel that is essential for the generation and propagation of action potentials. More than 95% of the disease-causing mutations of </w:t>
      </w:r>
      <w:r>
        <w:rPr>
          <w:rFonts w:ascii="Arial" w:cs="Arial" w:eastAsia="Arial" w:hAnsi="Arial"/>
          <w:sz w:val="17"/>
          <w:szCs w:val="17"/>
          <w:i w:val="1"/>
          <w:iCs w:val="1"/>
          <w:color w:val="auto"/>
        </w:rPr>
        <w:t>SCN1A</w:t>
      </w:r>
      <w:r>
        <w:rPr>
          <w:rFonts w:ascii="Arial" w:cs="Arial" w:eastAsia="Arial" w:hAnsi="Arial"/>
          <w:sz w:val="17"/>
          <w:szCs w:val="17"/>
          <w:color w:val="auto"/>
        </w:rPr>
        <w:t xml:space="preserve"> cause loss-of-function, resulting in haploinsufficiency (approximately 50%</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160"/>
          </w:cols>
          <w:pgMar w:left="240" w:top="455"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3" w:lineRule="exact"/>
        <w:rPr>
          <w:sz w:val="20"/>
          <w:szCs w:val="20"/>
          <w:color w:val="auto"/>
        </w:rPr>
      </w:pPr>
    </w:p>
    <w:p>
      <w:pPr>
        <w:ind w:left="280" w:right="340"/>
        <w:spacing w:after="0" w:line="274" w:lineRule="auto"/>
        <w:rPr>
          <w:sz w:val="20"/>
          <w:szCs w:val="20"/>
          <w:color w:val="auto"/>
        </w:rPr>
      </w:pPr>
      <w:r>
        <w:rPr>
          <w:rFonts w:ascii="Arial" w:cs="Arial" w:eastAsia="Arial" w:hAnsi="Arial"/>
          <w:sz w:val="17"/>
          <w:szCs w:val="17"/>
          <w:color w:val="auto"/>
        </w:rPr>
        <w:t>reduction) of the Na</w:t>
      </w:r>
      <w:r>
        <w:rPr>
          <w:rFonts w:ascii="Arial" w:cs="Arial" w:eastAsia="Arial" w:hAnsi="Arial"/>
          <w:sz w:val="22"/>
          <w:szCs w:val="22"/>
          <w:color w:val="auto"/>
          <w:vertAlign w:val="subscript"/>
        </w:rPr>
        <w:t>v</w:t>
      </w:r>
      <w:r>
        <w:rPr>
          <w:rFonts w:ascii="Arial" w:cs="Arial" w:eastAsia="Arial" w:hAnsi="Arial"/>
          <w:sz w:val="17"/>
          <w:szCs w:val="17"/>
          <w:color w:val="auto"/>
        </w:rPr>
        <w:t>1.1 protein in select neurons in the brain. This loss of Na</w:t>
      </w:r>
      <w:r>
        <w:rPr>
          <w:rFonts w:ascii="Arial" w:cs="Arial" w:eastAsia="Arial" w:hAnsi="Arial"/>
          <w:sz w:val="22"/>
          <w:szCs w:val="22"/>
          <w:color w:val="auto"/>
          <w:vertAlign w:val="subscript"/>
        </w:rPr>
        <w:t>v</w:t>
      </w:r>
      <w:r>
        <w:rPr>
          <w:rFonts w:ascii="Arial" w:cs="Arial" w:eastAsia="Arial" w:hAnsi="Arial"/>
          <w:sz w:val="17"/>
          <w:szCs w:val="17"/>
          <w:color w:val="auto"/>
        </w:rPr>
        <w:t>1.1 channels in inhibitory interneurons and other nerve cells results in Dravet syndrome.</w:t>
      </w:r>
    </w:p>
    <w:p>
      <w:pPr>
        <w:spacing w:after="0" w:line="63"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Dravet syndrome is characterized by multiple seizure types and may progress to status epilepticus or prolonged seizures lasting more than five minutes that require immediate intervention. Patients typically experience their first seizure before 12 months of age. More than 90% of patients suffer from at least one non-seizure comorbidity, including severe intellectual and developmental disabilities, motor and speech impairment, autism, attention deficit hyperactivity disorder and behavioral difficulties. Neurologic function and cognition are usually normal in children with Dravet syndrome up to two years of age. However, nearly all Dravet syndrome patients exhibit intellectual impairment by the age of four, ranging from minor learning difficulty to global developmental delay. The time between one year and eight years of age is a critical period for intervention. After eight years of age, nearly all Dravet syndrome patients exhibit evidence of substantial developmental delay. The symptoms of the disease result in remarkably low quality of life and shortened life expectancy, and as a result impose an immense burden on individuals and families.</w:t>
      </w:r>
    </w:p>
    <w:p>
      <w:pPr>
        <w:spacing w:after="0" w:line="96"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 xml:space="preserve">The cognitive impairment in Dravet syndrome is not purely a consequence of seizures. Patients with few seizures have been observed to possess severe encephalopathy, and conversely patients with frequent seizures have been observed to exhibit relatively minimal cognitive decline. In addition, there does not appear to be a correlation between cognitive outcome and </w:t>
      </w:r>
      <w:r>
        <w:rPr>
          <w:rFonts w:ascii="Arial" w:cs="Arial" w:eastAsia="Arial" w:hAnsi="Arial"/>
          <w:sz w:val="17"/>
          <w:szCs w:val="17"/>
          <w:i w:val="1"/>
          <w:iCs w:val="1"/>
          <w:color w:val="auto"/>
        </w:rPr>
        <w:t>SCN1A</w:t>
      </w:r>
      <w:r>
        <w:rPr>
          <w:rFonts w:ascii="Arial" w:cs="Arial" w:eastAsia="Arial" w:hAnsi="Arial"/>
          <w:sz w:val="17"/>
          <w:szCs w:val="17"/>
          <w:color w:val="auto"/>
        </w:rPr>
        <w:t xml:space="preserve"> mutation type, whether a missense or truncating mutation.</w:t>
      </w:r>
    </w:p>
    <w:p>
      <w:pPr>
        <w:spacing w:after="0" w:line="89"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Importantly, patients with Dravet syndrome have an increased risk of premature death, primarily due to SUDEP. Dravet syndrome patients have the highest SUDEP rate of any epilepsy. An analysis of mortality in the Epilepsy Genetics Research Program demonstrated a Dravet syndrome-specific mortality rate of 15.84 per 1,000 patient years. SUDEP was the most common cause of premature death among Dravet syndrome patients (59%), equating to a Dravet syndrome-specific SUDEP rate of 9.32 per 1,000 patient-years. This is nearly twice the rate for adults with refractory epilepsy.</w:t>
      </w:r>
    </w:p>
    <w:p>
      <w:pPr>
        <w:spacing w:after="0" w:line="93"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Patients with Dravet syndrome are often diagnosed by three years of age, and neither patient gender nor family history of seizures is associated with risk of Dravet syndrome. Dravet syndrome occurs worldwide and is not concentrated in any particular geographic area or ethnic group. Early diagnosis is driven by heightened awareness of Dravet syndrome and other genetic epilepsy disorders as well as an emerging consensus amongst epilepsy specialists that early diagnosis is cost-effective and beneficial for prognosis. Among pediatric Dravet syndrome patients, approximately 60% in North America and 70% in Germany, France and the United Kingdom undergo genetic testing as part of their diagnostic work-up, according to the Health Advances Report. We expect this to increase to approximately 85% in North America, Japan, Germany, France and the United Kingdom by 2024 in the aggregate. The incidence of Dravet syndrome is approximately 64 per million births, which translates to an overall prevalence of approximately 35,000 patients across the United States, Canada, Japan, Germany, France and the United Kingdom, with approximately 16,000 patients in the United States. By comparison, the prevalence of spinal muscular atrophy is approximately 10,000 patients in the United States.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Current treatments</w:t>
      </w:r>
    </w:p>
    <w:p>
      <w:pPr>
        <w:spacing w:after="0" w:line="129"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 xml:space="preserve">Current treatments for Dravet syndrome only address the occurrence of seizures, not the underlying cause, and according to a 2017 study as published in the </w:t>
      </w:r>
      <w:r>
        <w:rPr>
          <w:rFonts w:ascii="Arial" w:cs="Arial" w:eastAsia="Arial" w:hAnsi="Arial"/>
          <w:sz w:val="17"/>
          <w:szCs w:val="17"/>
          <w:i w:val="1"/>
          <w:iCs w:val="1"/>
          <w:color w:val="auto"/>
        </w:rPr>
        <w:t>Developmental Medicine &amp; Child Neurology</w:t>
      </w:r>
      <w:r>
        <w:rPr>
          <w:rFonts w:ascii="Arial" w:cs="Arial" w:eastAsia="Arial" w:hAnsi="Arial"/>
          <w:sz w:val="17"/>
          <w:szCs w:val="17"/>
          <w:color w:val="auto"/>
        </w:rPr>
        <w:t xml:space="preserve"> Journal, more than 90% of Dravet syndrome patients still report suffering from incomplete seizure control with existing antiepileptic regimens. As a result, the current treatment strategy involves the use of multiple antiepileptic drugs, including combinations of cannabidiol, stiripentol, clobazam, valproate, topiramate and others. Patients are typically treated with two to four drugs administered concomitantly, and in most cases the relief provided by polytherapy is insufficient.</w:t>
      </w:r>
    </w:p>
    <w:p>
      <w:pPr>
        <w:spacing w:after="0" w:line="93" w:lineRule="exact"/>
        <w:rPr>
          <w:sz w:val="20"/>
          <w:szCs w:val="20"/>
          <w:color w:val="auto"/>
        </w:rPr>
      </w:pPr>
    </w:p>
    <w:p>
      <w:pPr>
        <w:ind w:left="280" w:right="120"/>
        <w:spacing w:after="0" w:line="253" w:lineRule="auto"/>
        <w:rPr>
          <w:sz w:val="20"/>
          <w:szCs w:val="20"/>
          <w:color w:val="auto"/>
        </w:rPr>
      </w:pPr>
      <w:r>
        <w:rPr>
          <w:rFonts w:ascii="Arial" w:cs="Arial" w:eastAsia="Arial" w:hAnsi="Arial"/>
          <w:sz w:val="17"/>
          <w:szCs w:val="17"/>
          <w:color w:val="auto"/>
        </w:rPr>
        <w:t>Cannabidiol (Epidiolex) and stiripentol (Diacomit) are currently the only FDA-approved antiepileptic drugs for the treatment of Dravet syndrome. Cannabidiol was approved in 2018 for the adjunctive treatment of seizures associated with Lennox-Gastaut syndrome and Dravet syndrome in patients two years of age and older.</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160"/>
          </w:cols>
          <w:pgMar w:left="240" w:top="455"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Diacomit was approved in 2018 for the treatment of seizures associated with Dravet syndrome in patients two years of age and older taking clobazam. There are no clinical data to support the use of Diacomit as monotherapy in Dravet syndrome. These new therapies were approved based on a demonstrated reduction in seizure frequency; however, very few patients had complete control of seizure activity. For patients treated with Epidiolex, only 6.7% reported no convulsive seizures during the treatment period, according to clinical trial data in the drug’s prescribing information. Tolerance, or a significant diminishment of efficacy over time, is also observed in approximately 25% of patients, thereby limiting the usefulness of this treatment in the long-term clinical management of patients with Dravet syndrome. These drugs also do not address the significant non-seizure comorbidities. Additionally, cannabinoids as a drug class have been associated with adverse effects on cognitive development in children.</w:t>
      </w:r>
    </w:p>
    <w:p>
      <w:pPr>
        <w:spacing w:after="0" w:line="97" w:lineRule="exact"/>
        <w:rPr>
          <w:sz w:val="20"/>
          <w:szCs w:val="20"/>
          <w:color w:val="auto"/>
        </w:rPr>
      </w:pPr>
    </w:p>
    <w:p>
      <w:pPr>
        <w:jc w:val="both"/>
        <w:ind w:left="280" w:right="120"/>
        <w:spacing w:after="0" w:line="253" w:lineRule="auto"/>
        <w:rPr>
          <w:sz w:val="20"/>
          <w:szCs w:val="20"/>
          <w:color w:val="auto"/>
        </w:rPr>
      </w:pPr>
      <w:r>
        <w:rPr>
          <w:rFonts w:ascii="Arial" w:cs="Arial" w:eastAsia="Arial" w:hAnsi="Arial"/>
          <w:sz w:val="17"/>
          <w:szCs w:val="17"/>
          <w:color w:val="auto"/>
        </w:rPr>
        <w:t>Fenfluramine (Fintepla) is an antiepileptic drug in clinical development for the treatment of Dravet syndrome. Topline efficacy data for seizure frequency were favorable; however, as with Epidiolex and Diacomit, seizure-free rates remain in the low single digits. Moreover, patients are still likely to be affected by non-seizure comorbidities and may develop tolerance to the drug over time.</w:t>
      </w:r>
    </w:p>
    <w:p>
      <w:pPr>
        <w:spacing w:after="0" w:line="89" w:lineRule="exact"/>
        <w:rPr>
          <w:sz w:val="20"/>
          <w:szCs w:val="20"/>
          <w:color w:val="auto"/>
        </w:rPr>
      </w:pPr>
    </w:p>
    <w:p>
      <w:pPr>
        <w:ind w:left="280" w:right="120"/>
        <w:spacing w:after="0" w:line="248" w:lineRule="auto"/>
        <w:rPr>
          <w:sz w:val="20"/>
          <w:szCs w:val="20"/>
          <w:color w:val="auto"/>
        </w:rPr>
      </w:pPr>
      <w:r>
        <w:rPr>
          <w:rFonts w:ascii="Arial" w:cs="Arial" w:eastAsia="Arial" w:hAnsi="Arial"/>
          <w:sz w:val="17"/>
          <w:szCs w:val="17"/>
          <w:color w:val="auto"/>
        </w:rPr>
        <w:t>Many of the antiepileptic drugs that are used to treat Dravet syndrome can carry a substantial adverse event burden. Some of the adverse events can cause deleterious effects on cognition and lead to sedation, somnolence, inattention and fatigue, and potentially lead to death. These adverse effects may exacerbate the underlying cognitive deficits that are part of the natural course of Dravet syndrome. Patients often require regular office visits and laboratory testing to monitor toxicity to vital organ systems, especially the liver, which may be further compounded by polytherapy and associated drug-drug interactions. Despite these risks, the continued use of these medications demonstrates the importance of reducing the frequency of seizures to the patients, caregivers and the prescribing neurologists.</w:t>
      </w:r>
    </w:p>
    <w:p>
      <w:pPr>
        <w:spacing w:after="0" w:line="95" w:lineRule="exact"/>
        <w:rPr>
          <w:sz w:val="20"/>
          <w:szCs w:val="20"/>
          <w:color w:val="auto"/>
        </w:rPr>
      </w:pPr>
    </w:p>
    <w:p>
      <w:pPr>
        <w:ind w:left="280" w:right="160"/>
        <w:spacing w:after="0" w:line="251" w:lineRule="auto"/>
        <w:rPr>
          <w:sz w:val="20"/>
          <w:szCs w:val="20"/>
          <w:color w:val="auto"/>
        </w:rPr>
      </w:pPr>
      <w:r>
        <w:rPr>
          <w:rFonts w:ascii="Arial" w:cs="Arial" w:eastAsia="Arial" w:hAnsi="Arial"/>
          <w:sz w:val="17"/>
          <w:szCs w:val="17"/>
          <w:color w:val="auto"/>
        </w:rPr>
        <w:t>Patients with Dravet syndrome need a novel therapeutic that addresses the genetic basis of the disease and treats the large number of seizures and multiple seizure types that persist despite treatment with existing therapy. Importantly, additional therapy options are needed to address the disabling comorbidities that occur with Dravet syndrome. If STK-001 is approved by the FDA, we believe our precision medicine approach may have a profound impact on individuals and families.</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STK-001: Product candidate</w:t>
      </w:r>
    </w:p>
    <w:p>
      <w:pPr>
        <w:spacing w:after="0" w:line="129" w:lineRule="exact"/>
        <w:rPr>
          <w:sz w:val="20"/>
          <w:szCs w:val="20"/>
          <w:color w:val="auto"/>
        </w:rPr>
      </w:pPr>
    </w:p>
    <w:p>
      <w:pPr>
        <w:ind w:left="280" w:right="460"/>
        <w:spacing w:after="0" w:line="222" w:lineRule="auto"/>
        <w:rPr>
          <w:sz w:val="20"/>
          <w:szCs w:val="20"/>
          <w:color w:val="auto"/>
        </w:rPr>
      </w:pPr>
      <w:r>
        <w:rPr>
          <w:rFonts w:ascii="Arial" w:cs="Arial" w:eastAsia="Arial" w:hAnsi="Arial"/>
          <w:sz w:val="17"/>
          <w:szCs w:val="17"/>
          <w:color w:val="auto"/>
        </w:rPr>
        <w:t>We believe that STK-001 has the potential to be the first disease-modifying therapy to address the genetic cause of Dravet syndrome by restoring physiological Na</w:t>
      </w:r>
      <w:r>
        <w:rPr>
          <w:rFonts w:ascii="Arial" w:cs="Arial" w:eastAsia="Arial" w:hAnsi="Arial"/>
          <w:sz w:val="22"/>
          <w:szCs w:val="22"/>
          <w:color w:val="auto"/>
          <w:vertAlign w:val="subscript"/>
        </w:rPr>
        <w:t>v</w:t>
      </w:r>
      <w:r>
        <w:rPr>
          <w:rFonts w:ascii="Arial" w:cs="Arial" w:eastAsia="Arial" w:hAnsi="Arial"/>
          <w:sz w:val="17"/>
          <w:szCs w:val="17"/>
          <w:color w:val="auto"/>
        </w:rPr>
        <w:t>1.1 levels and reducing both occurrence of seizures and significant non-seizure comorbidities.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STK-001: Preclinical data</w:t>
      </w:r>
    </w:p>
    <w:p>
      <w:pPr>
        <w:spacing w:after="0" w:line="129"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 xml:space="preserve">We have generated compelling preclinical data that we believe demonstrates proof-of-mechanism for STK-001. Our initial target engagement, pharmacology and efficacy studies were performed in mice, including both wild-type and a Dravet syndrome mouse model. The Dravet syndrome mouse model replicates many of the symptoms of Dravet syndrome patients, and the targeted non-productive splicing event in </w:t>
      </w:r>
      <w:r>
        <w:rPr>
          <w:rFonts w:ascii="Arial" w:cs="Arial" w:eastAsia="Arial" w:hAnsi="Arial"/>
          <w:sz w:val="17"/>
          <w:szCs w:val="17"/>
          <w:i w:val="1"/>
          <w:iCs w:val="1"/>
          <w:color w:val="auto"/>
        </w:rPr>
        <w:t xml:space="preserve">SCN1A </w:t>
      </w:r>
      <w:r>
        <w:rPr>
          <w:rFonts w:ascii="Arial" w:cs="Arial" w:eastAsia="Arial" w:hAnsi="Arial"/>
          <w:sz w:val="17"/>
          <w:szCs w:val="17"/>
          <w:color w:val="auto"/>
        </w:rPr>
        <w:t>is highly conserved across multiple species, including mouse, non-human primates and humans. The target sequence for STK-001 is</w:t>
      </w:r>
      <w:r>
        <w:rPr>
          <w:rFonts w:ascii="Arial" w:cs="Arial" w:eastAsia="Arial" w:hAnsi="Arial"/>
          <w:sz w:val="17"/>
          <w:szCs w:val="17"/>
          <w:i w:val="1"/>
          <w:iCs w:val="1"/>
          <w:color w:val="auto"/>
        </w:rPr>
        <w:t xml:space="preserve"> </w:t>
      </w:r>
      <w:r>
        <w:rPr>
          <w:rFonts w:ascii="Arial" w:cs="Arial" w:eastAsia="Arial" w:hAnsi="Arial"/>
          <w:sz w:val="17"/>
          <w:szCs w:val="17"/>
          <w:color w:val="auto"/>
        </w:rPr>
        <w:t>also identical across species.</w:t>
      </w:r>
    </w:p>
    <w:p>
      <w:pPr>
        <w:spacing w:after="0" w:line="93" w:lineRule="exact"/>
        <w:rPr>
          <w:sz w:val="20"/>
          <w:szCs w:val="20"/>
          <w:color w:val="auto"/>
        </w:rPr>
      </w:pPr>
    </w:p>
    <w:p>
      <w:pPr>
        <w:ind w:left="280" w:right="40"/>
        <w:spacing w:after="0" w:line="235" w:lineRule="auto"/>
        <w:rPr>
          <w:sz w:val="20"/>
          <w:szCs w:val="20"/>
          <w:color w:val="auto"/>
        </w:rPr>
      </w:pPr>
      <w:r>
        <w:rPr>
          <w:rFonts w:ascii="Arial" w:cs="Arial" w:eastAsia="Arial" w:hAnsi="Arial"/>
          <w:sz w:val="17"/>
          <w:szCs w:val="17"/>
          <w:color w:val="auto"/>
        </w:rPr>
        <w:t>In wild-type mice, we characterized target engagement and pharmacology of STK-001. Five groups of neonate (postnatal day one) mice were administered a single injection dose of 0 (n=5), 0.3, (n=5) 1.0. (n=6) 3.0 (n=3) and 10.0 (n=5) µg of STK-001 by intracerebroventricular injection and returned to the home cage for five days. Sections of the brain were processed for RNA and protein. We observed that treatment with STK-001 resulted in a dose-dependent reduction of non-productive mRNA. Furthermore, the reduction of non-productive mRNA was associated with an increase of productive mRNA and an increase in Na</w:t>
      </w:r>
      <w:r>
        <w:rPr>
          <w:rFonts w:ascii="Arial" w:cs="Arial" w:eastAsia="Arial" w:hAnsi="Arial"/>
          <w:sz w:val="22"/>
          <w:szCs w:val="22"/>
          <w:color w:val="auto"/>
          <w:vertAlign w:val="subscript"/>
        </w:rPr>
        <w:t>v</w:t>
      </w:r>
      <w:r>
        <w:rPr>
          <w:rFonts w:ascii="Arial" w:cs="Arial" w:eastAsia="Arial" w:hAnsi="Arial"/>
          <w:sz w:val="17"/>
          <w:szCs w:val="17"/>
          <w:color w:val="auto"/>
        </w:rPr>
        <w:t>1.1 protein, as denoted in the figures below.</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160"/>
          </w:cols>
          <w:pgMar w:left="240" w:top="455"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201295</wp:posOffset>
            </wp:positionV>
            <wp:extent cx="6316980" cy="1701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16980" cy="170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80"/>
        <w:spacing w:after="0" w:line="264" w:lineRule="auto"/>
        <w:rPr>
          <w:sz w:val="20"/>
          <w:szCs w:val="20"/>
          <w:color w:val="auto"/>
        </w:rPr>
      </w:pPr>
      <w:r>
        <w:rPr>
          <w:rFonts w:ascii="Arial" w:cs="Arial" w:eastAsia="Arial" w:hAnsi="Arial"/>
          <w:sz w:val="17"/>
          <w:szCs w:val="17"/>
          <w:color w:val="auto"/>
        </w:rPr>
        <w:t xml:space="preserve">We also evaluated STK-001 pharmacology and efficacy in transgenic mice with a heterozygous deletion of </w:t>
      </w:r>
      <w:r>
        <w:rPr>
          <w:rFonts w:ascii="Arial" w:cs="Arial" w:eastAsia="Arial" w:hAnsi="Arial"/>
          <w:sz w:val="17"/>
          <w:szCs w:val="17"/>
          <w:i w:val="1"/>
          <w:iCs w:val="1"/>
          <w:color w:val="auto"/>
        </w:rPr>
        <w:t>Scn1a</w:t>
      </w:r>
      <w:r>
        <w:rPr>
          <w:rFonts w:ascii="Arial" w:cs="Arial" w:eastAsia="Arial" w:hAnsi="Arial"/>
          <w:sz w:val="17"/>
          <w:szCs w:val="17"/>
          <w:color w:val="auto"/>
        </w:rPr>
        <w:t xml:space="preserve"> . This model was created by introducing a targeted deletion in the first coding exon of the </w:t>
      </w:r>
      <w:r>
        <w:rPr>
          <w:rFonts w:ascii="Arial" w:cs="Arial" w:eastAsia="Arial" w:hAnsi="Arial"/>
          <w:sz w:val="17"/>
          <w:szCs w:val="17"/>
          <w:i w:val="1"/>
          <w:iCs w:val="1"/>
          <w:color w:val="auto"/>
        </w:rPr>
        <w:t>Scn1a</w:t>
      </w:r>
      <w:r>
        <w:rPr>
          <w:rFonts w:ascii="Arial" w:cs="Arial" w:eastAsia="Arial" w:hAnsi="Arial"/>
          <w:sz w:val="17"/>
          <w:szCs w:val="17"/>
          <w:color w:val="auto"/>
        </w:rPr>
        <w:t xml:space="preserve"> gene; these mice exhibit many aspects of the Dravet syndrome phenotype including seizures and premature lethality.</w:t>
      </w:r>
    </w:p>
    <w:p>
      <w:pPr>
        <w:spacing w:after="0" w:line="80" w:lineRule="exact"/>
        <w:rPr>
          <w:sz w:val="20"/>
          <w:szCs w:val="20"/>
          <w:color w:val="auto"/>
        </w:rPr>
      </w:pPr>
    </w:p>
    <w:p>
      <w:pPr>
        <w:ind w:left="280" w:right="220"/>
        <w:spacing w:after="0" w:line="230" w:lineRule="auto"/>
        <w:rPr>
          <w:sz w:val="20"/>
          <w:szCs w:val="20"/>
          <w:color w:val="auto"/>
        </w:rPr>
      </w:pPr>
      <w:r>
        <w:rPr>
          <w:rFonts w:ascii="Arial" w:cs="Arial" w:eastAsia="Arial" w:hAnsi="Arial"/>
          <w:sz w:val="17"/>
          <w:szCs w:val="17"/>
          <w:color w:val="auto"/>
        </w:rPr>
        <w:t>Neonate (postnatal day two) Dravet syndrome mice and wild-type littermate controls were administered a single dose of either placebo (consisting of a phosphate-buffered solution), or 20 µg of STK-001 (n=~50/group) by intracerebroventricular injection. Animals from each group were monitored through day 90. Brains were collected from cohorts of these animals at approximately 7 weeks after dosing (placebo: n=11 wild-type mice, n=4 Dravet syndrome mice; STK-001: n=9 wild-type mice, n=10 Dravet syndrome mice) and 14 weeks after dosing (placebo: n=10 wild-type mice, n=10 Dravet syndrome mice; STK-001: n=10 wild-type mice, n=10 Dravet syndrome mice). Notably, a single injection of STK-001 restored Na</w:t>
      </w:r>
      <w:r>
        <w:rPr>
          <w:rFonts w:ascii="Arial" w:cs="Arial" w:eastAsia="Arial" w:hAnsi="Arial"/>
          <w:sz w:val="22"/>
          <w:szCs w:val="22"/>
          <w:color w:val="auto"/>
          <w:vertAlign w:val="subscript"/>
        </w:rPr>
        <w:t>v</w:t>
      </w:r>
      <w:r>
        <w:rPr>
          <w:rFonts w:ascii="Arial" w:cs="Arial" w:eastAsia="Arial" w:hAnsi="Arial"/>
          <w:sz w:val="17"/>
          <w:szCs w:val="17"/>
          <w:color w:val="auto"/>
        </w:rPr>
        <w:t>1.1 protein in Dravet syndrome mice to levels that are near those of the wild-type mice at both 7 and 14 weeks. These data demonstrate that STK-001 has an impact on Na</w:t>
      </w:r>
      <w:r>
        <w:rPr>
          <w:rFonts w:ascii="Arial" w:cs="Arial" w:eastAsia="Arial" w:hAnsi="Arial"/>
          <w:sz w:val="22"/>
          <w:szCs w:val="22"/>
          <w:color w:val="auto"/>
          <w:vertAlign w:val="subscript"/>
        </w:rPr>
        <w:t>v</w:t>
      </w:r>
      <w:r>
        <w:rPr>
          <w:rFonts w:ascii="Arial" w:cs="Arial" w:eastAsia="Arial" w:hAnsi="Arial"/>
          <w:sz w:val="17"/>
          <w:szCs w:val="17"/>
          <w:color w:val="auto"/>
        </w:rPr>
        <w:t>1.1 protein expression and we believe this will translate to a favorable dosing regimen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144780</wp:posOffset>
            </wp:positionV>
            <wp:extent cx="3023235" cy="17272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23235" cy="172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160"/>
          </w:cols>
          <w:pgMar w:left="240" w:top="455"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3"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In addition to an increase in the Na</w:t>
      </w:r>
      <w:r>
        <w:rPr>
          <w:rFonts w:ascii="Arial" w:cs="Arial" w:eastAsia="Arial" w:hAnsi="Arial"/>
          <w:sz w:val="22"/>
          <w:szCs w:val="22"/>
          <w:color w:val="auto"/>
          <w:vertAlign w:val="subscript"/>
        </w:rPr>
        <w:t>v</w:t>
      </w:r>
      <w:r>
        <w:rPr>
          <w:rFonts w:ascii="Arial" w:cs="Arial" w:eastAsia="Arial" w:hAnsi="Arial"/>
          <w:sz w:val="17"/>
          <w:szCs w:val="17"/>
          <w:color w:val="auto"/>
        </w:rPr>
        <w:t>1.1 protein, the administration of a single dose of 20 µg of STK-001 in neonate Dravet syndrome mice (postnatal day two) resulted in a significant reduction in premature mortality. Treatment with STK-001 resulted in 97% survival of Dravet syndrome mice for the 90-day post-natal observation period (survival of 33 out of 34 mice was observed in the STK-001 Dravet syndrome mouse group) compared with 23% survival of placebo-treated mice (survival of 14 out of 62 mice). This is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63500</wp:posOffset>
            </wp:positionV>
            <wp:extent cx="4767580" cy="25400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7580" cy="254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In additional studies, Dravet syndrome mice were treated closer to symptom onset (postnatal day 14). An interim analysis through postnatal day 35 indicated a significant reduction in premature mortality. Treatment with a single dose of 60 µg of STK-001 resulted in 98% survival of Dravet syndrome mice for the 35-day post-natal observation period (survival of 45 out of 46 mice was observed in the STK-001 Dravet syndrome mouse group) compared with 71% survival of placebo mice (survival of 32 out of 45 mice). This is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62865</wp:posOffset>
            </wp:positionV>
            <wp:extent cx="4572635" cy="2455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72635" cy="2455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960"/>
          </w:cols>
          <w:pgMar w:left="240" w:top="455" w:right="6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80" w:right="80"/>
        <w:spacing w:after="0" w:line="258" w:lineRule="auto"/>
        <w:rPr>
          <w:sz w:val="20"/>
          <w:szCs w:val="20"/>
          <w:color w:val="auto"/>
        </w:rPr>
      </w:pPr>
      <w:r>
        <w:rPr>
          <w:rFonts w:ascii="Arial" w:cs="Arial" w:eastAsia="Arial" w:hAnsi="Arial"/>
          <w:sz w:val="17"/>
          <w:szCs w:val="17"/>
          <w:color w:val="auto"/>
        </w:rPr>
        <w:t xml:space="preserve">Analyses were also performed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to understand the specificity of STK-001. We evaluated STK-001 via bioinformatic analysis against all annotated protein-coding genes to predict potential off-target activities. Results showed no perfect 18- to 16-nucleotide match for STK-001 anywhere in the transcriptome other than </w:t>
      </w:r>
      <w:r>
        <w:rPr>
          <w:rFonts w:ascii="Arial" w:cs="Arial" w:eastAsia="Arial" w:hAnsi="Arial"/>
          <w:sz w:val="17"/>
          <w:szCs w:val="17"/>
          <w:i w:val="1"/>
          <w:iCs w:val="1"/>
          <w:color w:val="auto"/>
        </w:rPr>
        <w:t>SCN1A</w:t>
      </w:r>
      <w:r>
        <w:rPr>
          <w:rFonts w:ascii="Arial" w:cs="Arial" w:eastAsia="Arial" w:hAnsi="Arial"/>
          <w:sz w:val="17"/>
          <w:szCs w:val="17"/>
          <w:color w:val="auto"/>
        </w:rPr>
        <w:t xml:space="preserve"> pre-mRNA, indicating that STK-001 recognizes a unique sequence in the human transcriptome and should possess minimal off-target bindings.</w:t>
      </w:r>
    </w:p>
    <w:p>
      <w:pPr>
        <w:spacing w:after="0" w:line="84" w:lineRule="exact"/>
        <w:rPr>
          <w:sz w:val="20"/>
          <w:szCs w:val="20"/>
          <w:color w:val="auto"/>
        </w:rPr>
      </w:pPr>
    </w:p>
    <w:p>
      <w:pPr>
        <w:jc w:val="both"/>
        <w:ind w:left="280" w:right="60"/>
        <w:spacing w:after="0" w:line="245" w:lineRule="auto"/>
        <w:rPr>
          <w:sz w:val="20"/>
          <w:szCs w:val="20"/>
          <w:color w:val="auto"/>
        </w:rPr>
      </w:pPr>
      <w:r>
        <w:rPr>
          <w:rFonts w:ascii="Arial" w:cs="Arial" w:eastAsia="Arial" w:hAnsi="Arial"/>
          <w:sz w:val="17"/>
          <w:szCs w:val="17"/>
          <w:color w:val="auto"/>
        </w:rPr>
        <w:t xml:space="preserve">Further supporting our specificity analysis, we also evaluated brain samples of wild-type neonate mice to ensure that STK-001 does not alter levels of other channels in the highly homologous </w:t>
      </w:r>
      <w:r>
        <w:rPr>
          <w:rFonts w:ascii="Arial" w:cs="Arial" w:eastAsia="Arial" w:hAnsi="Arial"/>
          <w:sz w:val="17"/>
          <w:szCs w:val="17"/>
          <w:i w:val="1"/>
          <w:iCs w:val="1"/>
          <w:color w:val="auto"/>
        </w:rPr>
        <w:t>SCN</w:t>
      </w:r>
      <w:r>
        <w:rPr>
          <w:rFonts w:ascii="Arial" w:cs="Arial" w:eastAsia="Arial" w:hAnsi="Arial"/>
          <w:sz w:val="17"/>
          <w:szCs w:val="17"/>
          <w:color w:val="auto"/>
        </w:rPr>
        <w:t xml:space="preserve"> family. Importantly, the mRNA levels of closely related ion channels was not altered in the mouse brain five days after administration of 10 µg of STK-001 (n=2/group placebo, n=4/group STK-001), as shown in the figure below.</w:t>
      </w:r>
    </w:p>
    <w:p>
      <w:pPr>
        <w:spacing w:after="0" w:line="1" w:lineRule="exact"/>
        <w:rPr>
          <w:sz w:val="20"/>
          <w:szCs w:val="20"/>
          <w:color w:val="auto"/>
        </w:rPr>
      </w:pPr>
    </w:p>
    <w:p>
      <w:pPr>
        <w:ind w:left="280" w:right="380"/>
        <w:spacing w:after="0" w:line="251" w:lineRule="auto"/>
        <w:rPr>
          <w:sz w:val="20"/>
          <w:szCs w:val="20"/>
          <w:color w:val="auto"/>
        </w:rPr>
      </w:pPr>
      <w:r>
        <w:rPr>
          <w:rFonts w:ascii="Arial" w:cs="Arial" w:eastAsia="Arial" w:hAnsi="Arial"/>
          <w:sz w:val="17"/>
          <w:szCs w:val="17"/>
          <w:color w:val="auto"/>
        </w:rPr>
        <w:t xml:space="preserve">Similar analysis was performed in wild-type and Dravet syndrome mice treated with 20 µg of STK-001 at 7 and 14 weeks after dosing. STK-001 treated samples showed an increase in expression of the </w:t>
      </w:r>
      <w:r>
        <w:rPr>
          <w:rFonts w:ascii="Arial" w:cs="Arial" w:eastAsia="Arial" w:hAnsi="Arial"/>
          <w:sz w:val="17"/>
          <w:szCs w:val="17"/>
          <w:i w:val="1"/>
          <w:iCs w:val="1"/>
          <w:color w:val="auto"/>
        </w:rPr>
        <w:t>SCN1A</w:t>
      </w:r>
      <w:r>
        <w:rPr>
          <w:rFonts w:ascii="Arial" w:cs="Arial" w:eastAsia="Arial" w:hAnsi="Arial"/>
          <w:sz w:val="17"/>
          <w:szCs w:val="17"/>
          <w:color w:val="auto"/>
        </w:rPr>
        <w:t xml:space="preserve"> gene, but not any of the other </w:t>
      </w:r>
      <w:r>
        <w:rPr>
          <w:rFonts w:ascii="Arial" w:cs="Arial" w:eastAsia="Arial" w:hAnsi="Arial"/>
          <w:sz w:val="17"/>
          <w:szCs w:val="17"/>
          <w:i w:val="1"/>
          <w:iCs w:val="1"/>
          <w:color w:val="auto"/>
        </w:rPr>
        <w:t>SCN</w:t>
      </w:r>
      <w:r>
        <w:rPr>
          <w:rFonts w:ascii="Arial" w:cs="Arial" w:eastAsia="Arial" w:hAnsi="Arial"/>
          <w:sz w:val="17"/>
          <w:szCs w:val="17"/>
          <w:color w:val="auto"/>
        </w:rPr>
        <w:t xml:space="preserve"> family members. These biological studies demonstrate that STK-001 is highly specific for </w:t>
      </w:r>
      <w:r>
        <w:rPr>
          <w:rFonts w:ascii="Arial" w:cs="Arial" w:eastAsia="Arial" w:hAnsi="Arial"/>
          <w:sz w:val="17"/>
          <w:szCs w:val="17"/>
          <w:i w:val="1"/>
          <w:iCs w:val="1"/>
          <w:color w:val="auto"/>
        </w:rPr>
        <w:t>SCN1A</w:t>
      </w:r>
      <w:r>
        <w:rPr>
          <w:rFonts w:ascii="Arial" w:cs="Arial" w:eastAsia="Arial" w:hAnsi="Arial"/>
          <w:sz w:val="17"/>
          <w:szCs w:val="17"/>
          <w:color w:val="auto"/>
        </w:rPr>
        <w:t xml:space="preserve"> among the highly homologous family of sodium channel genes, limiting the likelihood of off-target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62865</wp:posOffset>
            </wp:positionV>
            <wp:extent cx="5131435" cy="17614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31435" cy="176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0"/>
        <w:spacing w:after="0" w:line="231" w:lineRule="auto"/>
        <w:rPr>
          <w:sz w:val="20"/>
          <w:szCs w:val="20"/>
          <w:color w:val="auto"/>
        </w:rPr>
      </w:pPr>
      <w:r>
        <w:rPr>
          <w:rFonts w:ascii="Arial" w:cs="Arial" w:eastAsia="Arial" w:hAnsi="Arial"/>
          <w:sz w:val="17"/>
          <w:szCs w:val="17"/>
          <w:color w:val="auto"/>
        </w:rPr>
        <w:t>We also investigated the pharmacology, distribution and tolerability of STK-001 in a study with cynomolgus monkeys. As a pilot experiment, this study was not required to be performed under Good Laboratory Practices, or GLP. Pre-pubescent monkeys (age 2-2.5 years old) were administered a single dose of STK-001 (n=3/group; 4 groups dosed) or control solution (n=2/group; 2 groups dosed) by intrathecal injection at a dose range that we believe coincides with the estimated therapeutic dose range and stays below the maximum tolerated dose based on tolerability in mice and published data for molecules of similar chemistry. The animals were sacrificed at 3 days (n=8) and 29 days (n=8) after dosing. An increase in Na</w:t>
      </w:r>
      <w:r>
        <w:rPr>
          <w:rFonts w:ascii="Arial" w:cs="Arial" w:eastAsia="Arial" w:hAnsi="Arial"/>
          <w:sz w:val="22"/>
          <w:szCs w:val="22"/>
          <w:color w:val="auto"/>
          <w:vertAlign w:val="subscript"/>
        </w:rPr>
        <w:t>V</w:t>
      </w:r>
      <w:r>
        <w:rPr>
          <w:rFonts w:ascii="Arial" w:cs="Arial" w:eastAsia="Arial" w:hAnsi="Arial"/>
          <w:sz w:val="17"/>
          <w:szCs w:val="17"/>
          <w:color w:val="auto"/>
        </w:rPr>
        <w:t>1.1 levels was observed ranging from 1.1-fold to 2.0-fold, compared to the control group, varying by the anatomical region, dose and day of necropsy, with the greatest changes observed in the cerebral cortex. The increase in Na</w:t>
      </w:r>
      <w:r>
        <w:rPr>
          <w:rFonts w:ascii="Arial" w:cs="Arial" w:eastAsia="Arial" w:hAnsi="Arial"/>
          <w:sz w:val="22"/>
          <w:szCs w:val="22"/>
          <w:color w:val="auto"/>
          <w:vertAlign w:val="subscript"/>
        </w:rPr>
        <w:t>v</w:t>
      </w:r>
      <w:r>
        <w:rPr>
          <w:rFonts w:ascii="Arial" w:cs="Arial" w:eastAsia="Arial" w:hAnsi="Arial"/>
          <w:sz w:val="17"/>
          <w:szCs w:val="17"/>
          <w:color w:val="auto"/>
        </w:rPr>
        <w:t>1.1 was also correlated with the presence of STK-001 in brain tissue. Additionally, all doses tested showed no drug-related toxicities, including no changes in platelet counts or hepatic function, no clinical signs or symptoms over the 28-day period after administration and no abnormal histopathology.</w:t>
      </w:r>
    </w:p>
    <w:p>
      <w:pPr>
        <w:spacing w:after="0" w:line="103" w:lineRule="exact"/>
        <w:rPr>
          <w:sz w:val="20"/>
          <w:szCs w:val="20"/>
          <w:color w:val="auto"/>
        </w:rPr>
      </w:pPr>
    </w:p>
    <w:p>
      <w:pPr>
        <w:jc w:val="both"/>
        <w:ind w:left="280" w:right="120"/>
        <w:spacing w:after="0" w:line="253" w:lineRule="auto"/>
        <w:rPr>
          <w:sz w:val="20"/>
          <w:szCs w:val="20"/>
          <w:color w:val="auto"/>
        </w:rPr>
      </w:pPr>
      <w:r>
        <w:rPr>
          <w:rFonts w:ascii="Arial" w:cs="Arial" w:eastAsia="Arial" w:hAnsi="Arial"/>
          <w:sz w:val="17"/>
          <w:szCs w:val="17"/>
          <w:color w:val="auto"/>
        </w:rPr>
        <w:t>While the non-GLP study described above will be included in our IND application, further studies in rats and cynomolgus monkeys, including GLP single and multiple dose toxicology studies, are planned to further characterize the pharmacology, exposure and tolerability of STK-001 and will be necessary to support an IND.</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STK-001: Clinical plan</w:t>
      </w:r>
    </w:p>
    <w:p>
      <w:pPr>
        <w:spacing w:after="0" w:line="129" w:lineRule="exact"/>
        <w:rPr>
          <w:sz w:val="20"/>
          <w:szCs w:val="20"/>
          <w:color w:val="auto"/>
        </w:rPr>
      </w:pPr>
    </w:p>
    <w:p>
      <w:pPr>
        <w:ind w:left="280" w:right="100"/>
        <w:spacing w:after="0" w:line="253" w:lineRule="auto"/>
        <w:rPr>
          <w:sz w:val="20"/>
          <w:szCs w:val="20"/>
          <w:color w:val="auto"/>
        </w:rPr>
      </w:pPr>
      <w:r>
        <w:rPr>
          <w:rFonts w:ascii="Arial" w:cs="Arial" w:eastAsia="Arial" w:hAnsi="Arial"/>
          <w:sz w:val="17"/>
          <w:szCs w:val="17"/>
          <w:color w:val="auto"/>
        </w:rPr>
        <w:t>We expect our Phase 1/2 trial to be a two-part study to evaluate STK-001 in children and adolescents with Dravet syndrome. Patients will be eligible for the trial if they are between the ages of 2 to 18, have had four or more convulsive seizures during a four-week pre-dosing observation period, have an established diagnosis of</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120"/>
          </w:cols>
          <w:pgMar w:left="240" w:top="455"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80"/>
        <w:spacing w:after="0" w:line="255" w:lineRule="auto"/>
        <w:rPr>
          <w:sz w:val="20"/>
          <w:szCs w:val="20"/>
          <w:color w:val="auto"/>
        </w:rPr>
      </w:pPr>
      <w:r>
        <w:rPr>
          <w:rFonts w:ascii="Arial" w:cs="Arial" w:eastAsia="Arial" w:hAnsi="Arial"/>
          <w:sz w:val="17"/>
          <w:szCs w:val="17"/>
          <w:color w:val="auto"/>
        </w:rPr>
        <w:t xml:space="preserve">Dravet syndrome and have evidence of a pathogenic genetic mutation in the </w:t>
      </w:r>
      <w:r>
        <w:rPr>
          <w:rFonts w:ascii="Arial" w:cs="Arial" w:eastAsia="Arial" w:hAnsi="Arial"/>
          <w:sz w:val="17"/>
          <w:szCs w:val="17"/>
          <w:i w:val="1"/>
          <w:iCs w:val="1"/>
          <w:color w:val="auto"/>
        </w:rPr>
        <w:t>SCN1A</w:t>
      </w:r>
      <w:r>
        <w:rPr>
          <w:rFonts w:ascii="Arial" w:cs="Arial" w:eastAsia="Arial" w:hAnsi="Arial"/>
          <w:sz w:val="17"/>
          <w:szCs w:val="17"/>
          <w:color w:val="auto"/>
        </w:rPr>
        <w:t xml:space="preserve"> gene. Requiring an </w:t>
      </w:r>
      <w:r>
        <w:rPr>
          <w:rFonts w:ascii="Arial" w:cs="Arial" w:eastAsia="Arial" w:hAnsi="Arial"/>
          <w:sz w:val="17"/>
          <w:szCs w:val="17"/>
          <w:i w:val="1"/>
          <w:iCs w:val="1"/>
          <w:color w:val="auto"/>
        </w:rPr>
        <w:t>SCN1A</w:t>
      </w:r>
      <w:r>
        <w:rPr>
          <w:rFonts w:ascii="Arial" w:cs="Arial" w:eastAsia="Arial" w:hAnsi="Arial"/>
          <w:sz w:val="17"/>
          <w:szCs w:val="17"/>
          <w:color w:val="auto"/>
        </w:rPr>
        <w:t xml:space="preserve"> mutation (of which more than 1,250 </w:t>
      </w:r>
      <w:r>
        <w:rPr>
          <w:rFonts w:ascii="Arial" w:cs="Arial" w:eastAsia="Arial" w:hAnsi="Arial"/>
          <w:sz w:val="17"/>
          <w:szCs w:val="17"/>
          <w:i w:val="1"/>
          <w:iCs w:val="1"/>
          <w:color w:val="auto"/>
        </w:rPr>
        <w:t>SCN1A</w:t>
      </w:r>
      <w:r>
        <w:rPr>
          <w:rFonts w:ascii="Arial" w:cs="Arial" w:eastAsia="Arial" w:hAnsi="Arial"/>
          <w:sz w:val="17"/>
          <w:szCs w:val="17"/>
          <w:color w:val="auto"/>
        </w:rPr>
        <w:t xml:space="preserve"> mutations have been identified) for trial enrollment allows for a clear and definitive etiologic diagnosis, a more homogeneous patient population and tailored treatment based on a precision medicine approach. Eligible patients will also have failed at least two epilepsy treatments in the past and currently be taking at least one antiepileptic drug. All medications and interventions will remain unchanged throughout the trial, which will allow for assessment of STK-001 with a variety of antiepileptic therapies.</w:t>
      </w:r>
    </w:p>
    <w:p>
      <w:pPr>
        <w:spacing w:after="0" w:line="86"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The trial will be conducted in two parts: single ascending dose and multiple ascending dose. The primary objectives will be to assess the safety and tolerability of STK-001, as well as to characterize human pharmacokinetics. A secondary objective will be to assess the efficacy as an adjunctive antiepileptic treatment with respect to the percentage change from baseline in convulsive seizure frequency over 12-week treatment period. We also intend to measure non-seizure aspects of the disease, such as cognitive function and quality of life as secondary endpoints. These endpoints as well as other exploratory endpoints will be informed based on our planned observational study, which is designed to evaluate the course of neurodevelopmental status and adaptive status, quality of life, gait and ambulation in patients with Dravet syndrome over a timespan of two years. To help identify patients eligible for our studies, we have an ongoing partnership with Invitae Corporation to offer epilepsy panel testing at no cost to any child up to 60 months who has had an unprovoked seizure. We expect to enroll approximately 36 children and adolescents in this observational study, and these patients will be eligible for enrollment in our Phase 1/2 clinical trial.</w:t>
      </w:r>
    </w:p>
    <w:p>
      <w:pPr>
        <w:spacing w:after="0" w:line="296"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Importantly, recently approved antiepileptic drugs for Dravet syndrome, such as Epidiolex, provide a potential regulatory pathway to approval on defined seizure control endpoints. We will be leveraging an analogous trial design, including a four-week pre-dosing observation period to assess baseline seizure frequency, cognitive function and serum chemistries, a 12-week treatment period and a 6-month safety follow-up. We plan to begin clinical dosing at the minimum anticipated biological effect level given the limited treatment options for this patient population, known pharmacology and mechanism of action of STK-001, and reasonable confidence in the predictive value of the preclinical data generated in non-human primates. Dosing by intrathecal injections will be fixed across the patient population given that the quantity of non-productive mRNA remains constant across individuals and that the total cerebral spinal fluid volume is similar between adults and children.</w:t>
      </w:r>
    </w:p>
    <w:p>
      <w:pPr>
        <w:spacing w:after="0" w:line="293" w:lineRule="exact"/>
        <w:rPr>
          <w:sz w:val="20"/>
          <w:szCs w:val="20"/>
          <w:color w:val="auto"/>
        </w:rPr>
      </w:pPr>
    </w:p>
    <w:p>
      <w:pPr>
        <w:ind w:left="280" w:right="240"/>
        <w:spacing w:after="0" w:line="249" w:lineRule="auto"/>
        <w:rPr>
          <w:sz w:val="20"/>
          <w:szCs w:val="20"/>
          <w:color w:val="auto"/>
        </w:rPr>
      </w:pPr>
      <w:r>
        <w:rPr>
          <w:rFonts w:ascii="Arial" w:cs="Arial" w:eastAsia="Arial" w:hAnsi="Arial"/>
          <w:sz w:val="17"/>
          <w:szCs w:val="17"/>
          <w:color w:val="auto"/>
        </w:rPr>
        <w:t>We plan to submit an IND for STK-001 by early 2020. We expect to initiate the Phase 1/2 trial in the first half of 2020 and we anticipate preliminary clinical data for the primary and secondary endpoints of our single ascending dose phase in 2021. While we have not yet discussed with regulatory authorities the evidence necessary for approval of STK-001, if we see evidence of efficacy following clinical data, then we would plan to meet with regulatory authorities to discuss expedited regulatory pathways, in addition to Fast Track Designation and Breakthrough Therapy Designation.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Additional product opportunities</w:t>
      </w:r>
    </w:p>
    <w:p>
      <w:pPr>
        <w:spacing w:after="0" w:line="13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Dravet syndrome and genetic epilepsies represent one disease area within a broader spectrum of novel precision medicines for treatment of haploinsufficiency diseases. We intend to nominate a second genetic disease preclinical candidate by the first half of 2020 and will seek to further establish a pipeline of product candidates in the future. Since ASOs have been previously shown to have a very long half-life when injected into the eye and could provide therapeutics with dosing regimens of two to three administrations per year, we are exploring certain ophthalmologic diseases that could be treated through upregulation of protein pathways to reduce inflammation, block neovascularization and reduce retinal degeneration.</w:t>
      </w:r>
    </w:p>
    <w:p>
      <w:pPr>
        <w:spacing w:after="0" w:line="95"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We are also advancing several early programs focused on multiple targets, including haploinsufficiency diseases of the CNS, eye, kidney and liver, given the ability of our ASOs to target cells in these organs. These tissues are affected in many severe genetic diseases. Additional non-epilepsy indications for which our</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140"/>
          </w:cols>
          <w:pgMar w:left="240" w:top="455"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technology may be applicable include autosomal dominant optic atrophy and autosomal dominant polycystic kidney disease.</w:t>
      </w:r>
    </w:p>
    <w:p>
      <w:pPr>
        <w:spacing w:after="0" w:line="111"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Longer-term, we believe that ASOs designed using TANGO may have the potential to upregulate non-mutated genes in biological pathways to treat diseases or conditions caused by multiple genes or are multifactorial, such as autoimmune diseases, aging and cancer. For these diseases, we intend to opportunistically secure partnerships with pharma partners whose scientific, development or commercial capabilities complement our own.</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Manufacturing</w:t>
      </w:r>
    </w:p>
    <w:p>
      <w:pPr>
        <w:spacing w:after="0" w:line="141"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We currently contract with third parties to manufacture our products undergoing late-preclinical testing and anticipate using third parties for all commercial manufacturing. We do not own or operate facilities for product manufacturing, packaging, storage and distribution, or testing. We have personnel with extensive technical, manufacturing, analytical and quality experience and good project management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spacing w:after="0" w:line="93"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Manufacturing is subject to extensive regulations that impose procedural and documentation requirements. At a minimum these regulations govern record keeping, manufacturing processes and controls, personnel, quality control and quality assurance. Our systems and contractors are required to be in compliance with these regulations and are assessed through regular monitoring and formal audits.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Drug substance</w:t>
      </w:r>
    </w:p>
    <w:p>
      <w:pPr>
        <w:spacing w:after="0" w:line="131"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Oligonucleotide drug substance requirements for our most advanced programs can be readily met by a variety of domestic and international contractors. Many of these contractors are also able to source all the required raw materials, which allows us to consolidate raw material procurement and drug substance manufacturing activities with a single supplier. To ensure supply chain continuity, we plan to establish supply agreements with alternative suppliers as appropriate. As part of each development program, efforts will be made to invest in process changes to improve purity and yield as warranted.</w:t>
      </w:r>
    </w:p>
    <w:p>
      <w:pPr>
        <w:spacing w:after="0" w:line="93"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Future drug substance compositions may require different manufacturing capabilities, which will be addressed through either expanded capability with existing contractors or establishing manufacturing supply relationships with new contractors. These changes in composition may also require new supply chain agreements with contractors that specialize in raw material manufacturing. Our internal personnel will work to identify and establish relationships with contractors that may be ideally suited to meeting these new manufacturing requirements.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Drug product</w:t>
      </w:r>
    </w:p>
    <w:p>
      <w:pPr>
        <w:spacing w:after="0" w:line="131"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In the near future, we expect all our oligonucleotide drug products to consist of drug substance formulated in either saline, buffered saline, or some other diluent appropriate for intrathecal, intraocular, subcutaneous, or intravenous injection. These types of formulations can be manufactured using common processes and readily available materials. We are establishing agreements with a variety of contractors that are suitably equipped to manufacture, package, and test these types of oligonucleotide drug product formulations for subsequent shipment to clinical sites. Several of these manufacturers would also be capable of formulation and packaging for commercial use.</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140"/>
          </w:cols>
          <w:pgMar w:left="240" w:top="455"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Competition</w:t>
      </w:r>
    </w:p>
    <w:p>
      <w:pPr>
        <w:spacing w:after="0" w:line="141" w:lineRule="exact"/>
        <w:rPr>
          <w:sz w:val="20"/>
          <w:szCs w:val="20"/>
          <w:color w:val="auto"/>
        </w:rPr>
      </w:pPr>
    </w:p>
    <w:p>
      <w:pPr>
        <w:ind w:left="280" w:right="80"/>
        <w:spacing w:after="0" w:line="247" w:lineRule="auto"/>
        <w:rPr>
          <w:sz w:val="20"/>
          <w:szCs w:val="20"/>
          <w:color w:val="auto"/>
        </w:rPr>
      </w:pPr>
      <w:r>
        <w:rPr>
          <w:rFonts w:ascii="Arial" w:cs="Arial" w:eastAsia="Arial" w:hAnsi="Arial"/>
          <w:sz w:val="17"/>
          <w:szCs w:val="17"/>
          <w:color w:val="auto"/>
        </w:rPr>
        <w:t>The biotechnology and biopharmaceutical industries, and the genetic medicines fields,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technology, development experience and scientific knowledge in the field of biologics, RNA splicing, and antisense oligonucleotide chemistry provide us with competitive advantages, we face potential competition from many different sources, including major pharmaceutical, specialty pharmaceutical and biotechnology companies, academic institutions and governmental agencies, and public and private research institutions that conduct research, seek patent protection, and establish collaborative arrangements for research, development, manufacturing and commercialization.</w:t>
      </w:r>
    </w:p>
    <w:p>
      <w:pPr>
        <w:spacing w:after="0" w:line="97" w:lineRule="exact"/>
        <w:rPr>
          <w:sz w:val="20"/>
          <w:szCs w:val="20"/>
          <w:color w:val="auto"/>
        </w:rPr>
      </w:pPr>
    </w:p>
    <w:p>
      <w:pPr>
        <w:ind w:left="280" w:right="160"/>
        <w:spacing w:after="0" w:line="248" w:lineRule="auto"/>
        <w:rPr>
          <w:sz w:val="20"/>
          <w:szCs w:val="20"/>
          <w:color w:val="auto"/>
        </w:rPr>
      </w:pPr>
      <w:r>
        <w:rPr>
          <w:rFonts w:ascii="Arial" w:cs="Arial" w:eastAsia="Arial" w:hAnsi="Arial"/>
          <w:sz w:val="17"/>
          <w:szCs w:val="17"/>
          <w:color w:val="auto"/>
        </w:rPr>
        <w:t>While therapeutic modalities, including gene therapy, gene editing, modified RNA and protein-based drugs, are currently being developed to address monogenic diseases, most of these approaches are focused on autosomal recessive or autosomal dominant gain-of-function diseases. The nature and fundamental limitations of these approaches make them less suited for addressing the underlying cause of autosomal dominant haploinsufficiencies. Other next generation antisense oligonucleotides have also generally had limited success in upregulating gene expression of haploinsufficiencies, due to a focus on indirectly and weakly validated mechanisms of action such as targeting microRNAs or long non-coding RNAs that are associated with a gene transcript. We are pioneers in developing disease-modifying therapies to treat haploinsufficiencies and are uniquely positioned to exploit this significant opportunity with our TANGO platform.</w:t>
      </w:r>
    </w:p>
    <w:p>
      <w:pPr>
        <w:spacing w:after="0" w:line="93" w:lineRule="exact"/>
        <w:rPr>
          <w:sz w:val="20"/>
          <w:szCs w:val="20"/>
          <w:color w:val="auto"/>
        </w:rPr>
      </w:pPr>
    </w:p>
    <w:p>
      <w:pPr>
        <w:ind w:left="280"/>
        <w:spacing w:after="0" w:line="245" w:lineRule="auto"/>
        <w:rPr>
          <w:sz w:val="20"/>
          <w:szCs w:val="20"/>
          <w:color w:val="auto"/>
        </w:rPr>
      </w:pPr>
      <w:r>
        <w:rPr>
          <w:rFonts w:ascii="Arial" w:cs="Arial" w:eastAsia="Arial" w:hAnsi="Arial"/>
          <w:sz w:val="17"/>
          <w:szCs w:val="17"/>
          <w:color w:val="auto"/>
        </w:rPr>
        <w:t>If our current product candidate, STK-001, is approved for the treatment of Dravet syndrome, it may compete with other products currently marketed or in development. Currently marketed antiepileptic drugs range from cannabidiols, such as GW Pharmaceuticals, plc’s Epidiolex, to GABA receptor agonists, such as clobazam, to glutamate blockers, such as topiramate. Encoded Therapeutics, Inc. is also developing a treatment for Dravet syndrome. Many of the currently marketed antiepileptic drugs are available as generics. In addition, numerous compounds are in clinical development for treatment of epilepsy. To our knowledge, the clinical development pipeline includes cannabinoids,</w:t>
      </w:r>
    </w:p>
    <w:p>
      <w:pPr>
        <w:spacing w:after="0" w:line="2" w:lineRule="exact"/>
        <w:rPr>
          <w:sz w:val="20"/>
          <w:szCs w:val="20"/>
          <w:color w:val="auto"/>
        </w:rPr>
      </w:pPr>
    </w:p>
    <w:p>
      <w:pPr>
        <w:ind w:left="280" w:right="120"/>
        <w:spacing w:after="0" w:line="262" w:lineRule="auto"/>
        <w:rPr>
          <w:sz w:val="20"/>
          <w:szCs w:val="20"/>
          <w:color w:val="auto"/>
        </w:rPr>
      </w:pPr>
      <w:r>
        <w:rPr>
          <w:rFonts w:ascii="Arial" w:cs="Arial" w:eastAsia="Arial" w:hAnsi="Arial"/>
          <w:sz w:val="17"/>
          <w:szCs w:val="17"/>
          <w:color w:val="auto"/>
        </w:rPr>
        <w:t>5-HT release stimulants, cholesterol 24-hydroxylase inhibitors, and sodium channel antagonists from a variety of companies. Importantly, we believe none of these small molecule drugs address the underlying genetic cause of Dravet syndrome.</w:t>
      </w:r>
    </w:p>
    <w:p>
      <w:pPr>
        <w:spacing w:after="0" w:line="80"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drugs. The key competitive factors affecting the successful of all of our programs are likely to be their efficacy, safety, convenience and availability of reimbursement.</w:t>
      </w:r>
    </w:p>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140"/>
          </w:cols>
          <w:pgMar w:left="240" w:top="455"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Reimbursement</w:t>
      </w:r>
    </w:p>
    <w:p>
      <w:pPr>
        <w:spacing w:after="0" w:line="141"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The regulations that govern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biopharmaceutical pricing remains subject to continuing governmental control even after initial approval is granted. As a result, a drug company can obtain regulatory approval for a product in a country, but then be subject to price regulations that delay commercial launch of that product.</w:t>
      </w:r>
    </w:p>
    <w:p>
      <w:pPr>
        <w:spacing w:after="0" w:line="93"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A drug company’s ability to commercialize any products successfully will also depend in part on the extent to which coverage and adequate reimbursement for these products and related treatments will be available from government authorities, private health insurers and other organizations. Even if one or more products are successfully brought to the market, these products may not be considered cost effective, and the amount reimbursed for such products may be insufficient to allow them to be sold on a competitive basis. Third-party payors who reimburse patients or healthcare providers, such as government plans, are requiring that drug companies provide them with predetermined discounts from list prices and are seeking to reduce the prices charged or the amounts reimbursed for biopharmaceutical products.</w:t>
      </w:r>
    </w:p>
    <w:p>
      <w:pPr>
        <w:spacing w:after="0" w:line="95"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Significant delays can occur in obtaining reimbursement for newly-approved drugs or therapeutic biologics, and coverage may be more limited than the purposes for which the drug or therapeutic biologic is approved by the FDA or similar foreign regulatory authorities. Moreover, eligibility for reimbursement does not imply that any drug will be reimbursed in all cases or at a rate that covers a drug company’s costs, including research, development, manufacture, sale and distribution.</w:t>
      </w:r>
    </w:p>
    <w:p>
      <w:pPr>
        <w:spacing w:after="0" w:line="89"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Interim reimbursement levels for new drugs, if applicable, may also be insufficient to cover a drug company’s costs and may not be made permanent. Reimbursement rates may be based on payments allowed for lower 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Further, no uniform policy for coverage and reimbursement exists in the United States. Third-party payors often rely upon Medicare coverage policy and payment limitations in setting their own reimbursement rates, but also have their own methods and approval process apart from Medicare determinations. Therefore, coverage and reimbursement can differ significantly from payor to payor.</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Intellectual property</w:t>
      </w:r>
    </w:p>
    <w:p>
      <w:pPr>
        <w:spacing w:after="0" w:line="141"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obtaining,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including in-licensed patents and patent applications, is intended to cover, but is not limited to, our technology platforms, product candidates and components thereof, their methods of use and processes for their manufacture,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position in our TANGO platform and product candidates. Our commercial success may depend</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160"/>
          </w:cols>
          <w:pgMar w:left="240" w:top="455"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challenges and assertions by third parties of their purported intellectual property rights; and to operate without infringement of valid and enforceable patents and other proprietary rights of third parties.</w:t>
      </w:r>
    </w:p>
    <w:p>
      <w:pPr>
        <w:spacing w:after="0" w:line="89"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With respect to our TANGO platform, we have exclusively licensed intellectual property for our TANGO technology from the University of Southampton and Cold Spring Harbor Laboratory, which includes issued U.S. patents and pending U.S. and foreign patent applications that cover the TANGO mechanisms. As of March 31, 2019, there are approximately three issued U.S. patents, approximately two pending U.S. patent applications and approximately 24 pending foreign patent applications that we have licensed from the University of Southampton, which are anticipated to expire between 2035 and 2036, absent any patent term adjustments or extensions. As of March 31, 2019, there is one issued U.S. patent, one pending U.S. patent application and approximately ten pending foreign patent applications that we have licensed from Cold Spring Harbor Laboratory, which are anticipated to expire in 2035, absent any patent term adjustments or extensions.</w:t>
      </w:r>
    </w:p>
    <w:p>
      <w:pPr>
        <w:spacing w:after="0" w:line="93"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Separately, we have filed patent applications with claims that are intended to cover compositions of matter of oligonucleotides designed to target specific elements in genes for more than 140 genetic diseases that we believe are amenable to upregulation of target protein expression using our TANGO platform. As of March 31, 2019, these filed patent applications include approximately two PCT international applications, approximately seven such U.S. patent applications, and approximately 34 such foreign patent applications. Any patents that may issue from these currently pending patent applications are expected to expire between 2036 and 2040, absent any patent term adjustments or extensions.</w:t>
      </w:r>
    </w:p>
    <w:p>
      <w:pPr>
        <w:spacing w:after="0" w:line="293"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With respect to STK-001, as of March 31, 2019, we have exclusively licensed one issued U.S. patent and one pending U.S. patent application that cover the mechanism of action of STK-001, as well as approximately 13 pending foreign patent applications. The issued patent and any patents that may issue from these pending patent applications are expected to expire between 2035 and 2036, absent any patent term adjustments or extensions. As of March 31, 2019, we also own one pending PCT international application and approximately three pending U.S. patent applications relating to STK-001, and any patents that may issue from these pending patent applications are expected to expire between 2038 and 2040, absent any patent term adjustments or extensions.</w:t>
      </w:r>
    </w:p>
    <w:p>
      <w:pPr>
        <w:spacing w:after="0" w:line="95" w:lineRule="exact"/>
        <w:rPr>
          <w:sz w:val="20"/>
          <w:szCs w:val="20"/>
          <w:color w:val="auto"/>
        </w:rPr>
      </w:pPr>
    </w:p>
    <w:p>
      <w:pPr>
        <w:ind w:left="280" w:right="80"/>
        <w:spacing w:after="0" w:line="246" w:lineRule="auto"/>
        <w:rPr>
          <w:sz w:val="20"/>
          <w:szCs w:val="20"/>
          <w:color w:val="auto"/>
        </w:rPr>
      </w:pPr>
      <w:r>
        <w:rPr>
          <w:rFonts w:ascii="Arial" w:cs="Arial" w:eastAsia="Arial" w:hAnsi="Arial"/>
          <w:sz w:val="17"/>
          <w:szCs w:val="17"/>
          <w:color w:val="auto"/>
        </w:rPr>
        <w:t>The term of individual patents depends upon the laws of the countries in which they are obtained. In most countries in which we file, the patent term is 20 years from the earliest date of filing of a non-provisional patent application. However, the term of United States patents may be extended for delays incurred due to compliance with the FDA requirements or by delays encountered during prosecution that are caused by the United States Patent and Trademark Office, or the USPTO.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 The Hatch-Waxman Act—Patent term extension”. In the future, if and when our biopharmaceutical product candidates receive FDA approval, we expect to apply for patent term extensions on patents covering those product candidates. We intend to seek patent term extensions to any of our issued patents in any jurisdiction where these are available; however, there is no guarantee that the applicable authorities, including the USPTO and FDA, will agree with our assessment of whether such extensions should be granted, and even if granted, the length of such extensions. Our currently issued patents will likely expire on dates ranging from 2035 to 2036, unless we receive patent term extension or patent term adjustment, or both. If patents are issued on our pending patent applications, the resulting patents are projected to expire on dates ranging from 2036 to 2040, unless we receive patent term extension or patent term adjustment, or both.</w:t>
      </w:r>
    </w:p>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140"/>
          </w:cols>
          <w:pgMar w:left="240" w:top="455"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20"/>
        <w:spacing w:after="0" w:line="253" w:lineRule="auto"/>
        <w:rPr>
          <w:sz w:val="20"/>
          <w:szCs w:val="20"/>
          <w:color w:val="auto"/>
        </w:rPr>
      </w:pPr>
      <w:r>
        <w:rPr>
          <w:rFonts w:ascii="Arial" w:cs="Arial" w:eastAsia="Arial" w:hAnsi="Arial"/>
          <w:sz w:val="17"/>
          <w:szCs w:val="17"/>
          <w:color w:val="auto"/>
        </w:rPr>
        <w:t>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89" w:lineRule="exact"/>
        <w:rPr>
          <w:sz w:val="20"/>
          <w:szCs w:val="20"/>
          <w:color w:val="auto"/>
        </w:rPr>
      </w:pPr>
    </w:p>
    <w:p>
      <w:pPr>
        <w:ind w:left="280" w:right="20"/>
        <w:spacing w:after="0" w:line="246"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No consistent policy regarding the scope of claims allowable in patents in the field of genetic therapy has emerged in the United States. The patent situation outside of the United States is even more uncertain. Changes in the patent laws and rules, either by legislation, judicial decisions, or regulatory interpretation in the United States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platform and product candidates and the methods used to manufacture them. Moreover, our issued patents and those that may issue in the future may not guarantee us the right to practice our technology in relation to the commercialization of our platform’s product candidates. The area of patent and other intellectual property rights in biotechnology is an evolving one with many risks and uncertainties, and third parties may have blocking patents that could be used to prevent us from commercializing our TANGO platform and product candidates and practicing our proprietary technology. Our issued patents and those that may issue in the future may be challenged, narrowed, circumvented or invalidated, which could limit our ability to stop competitors from marketing related platforms or product candidates or limit the length of the term of patent protection that we may have for our TANGO platform and product candidates. In addition, the rights granted under any issued patents may not provide us with protection or competitive advantages against competitors with similar technology. Furthermore, our competitors may independently develop similar technologies. For these reasons, we may have competition for our TANGO platform and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advantage of the patent. For this and other risks related to our proprietary technology, inventions, improvements, platforms and product candidates, please see the section entitled “Risk factors—Risks related to our intellectual property.”</w:t>
      </w:r>
    </w:p>
    <w:p>
      <w:pPr>
        <w:spacing w:after="0" w:line="99"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We intend to file applications for trademark registrations in connection with our product candidates in various jurisdictions, including the United States. We have filed for trademark protection of the Stoke Therapeutics mark with the United States Patent and Trademark Office and foreign patent and trademark organizations. The Stoke Therapeutics mark was registered by the United States Patent and Trademark Office in 2017, in the European Union in 2016, in Japan in 2016, in China in 2017, in India in 2016, and in Singapore in 2016. We have chosen to not file for trademark protection of the TANGO mark.</w:t>
      </w:r>
    </w:p>
    <w:p>
      <w:pPr>
        <w:spacing w:after="0" w:line="93"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140"/>
          </w:cols>
          <w:pgMar w:left="240" w:top="455"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95"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 entitled “Risk factors – Risks related to our intellectual property.”</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License agreements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Cold Spring Harbor Laboratory</w:t>
      </w:r>
    </w:p>
    <w:p>
      <w:pPr>
        <w:spacing w:after="0" w:line="111" w:lineRule="exact"/>
        <w:rPr>
          <w:sz w:val="20"/>
          <w:szCs w:val="20"/>
          <w:color w:val="auto"/>
        </w:rPr>
      </w:pPr>
    </w:p>
    <w:p>
      <w:pPr>
        <w:ind w:left="280" w:right="80"/>
        <w:spacing w:after="0" w:line="247" w:lineRule="auto"/>
        <w:rPr>
          <w:sz w:val="20"/>
          <w:szCs w:val="20"/>
          <w:color w:val="auto"/>
        </w:rPr>
      </w:pPr>
      <w:r>
        <w:rPr>
          <w:rFonts w:ascii="Arial" w:cs="Arial" w:eastAsia="Arial" w:hAnsi="Arial"/>
          <w:sz w:val="17"/>
          <w:szCs w:val="17"/>
          <w:color w:val="auto"/>
        </w:rPr>
        <w:t>In July 2015, we entered into a worldwide license agreement with CSHL, or the CSHL Agreement, with respect to the TANGO patents. Under the CSHL Agreement, we receive an exclusive (except with respect to certain government rights and non-exclusive licenses), worldwide license under certain patents and applications relating to TANGO. As part of the CSHL Agreement, we granted CSHL 164,927 shares of common stock. The CSHL Agreement obligates us to make additional payments that are contingent upon certain milestones being achieved as well as royalties in the low- to mid-single digits on future product sales. These royalty obligations last on a product-by-product and country-by-country basis until the latest of (i) the expiration of the last valid claim of a patent covering a subject product or (ii) the expiration of any regulatory exclusivity for the subject product in a country. In addition, if we sublicense rights under the CSHL Agreement, we are required to pay a low double-digit percentage of the sublicense revenue to CSHL, which may be reduced upon achievement of certain milestones for the applicable subject product. The maximum aggregate potential milestone payments payable total approximately $900,000. Additionally, certain licenses under the CSHL Agreement require us to reimburse CSHL for certain past and ongoing patent related expenses, however there were no expenses related to these reimbursable patent costs during the years ended December 31, 2018 and 2017 or for the three months ended March 31, 2019 and 2018.</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University of Southampton</w:t>
      </w:r>
    </w:p>
    <w:p>
      <w:pPr>
        <w:spacing w:after="0" w:line="11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In April 2016, we entered into an exclusive, worldwide license agreement with the University of Southampton, or the Southampton Agreement, whereby we acquired rights to foundational technologies related to our TANGO technology. Under the Southampton Agreement, we receive an exclusive, worldwide license under certain licensed patents and applications relating to TANGO. As part of the Southampton Agreement, we paid 55,000 pounds sterling (approximately $72,000 as of the date thereof) as an up-front license fee. Under the Southampton Agreement, we may be obligated to make additional payments that are contingent upon certain milestones being achieved, as well as royalties in the low-to mid-single digits on future product sales. These</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160"/>
          </w:cols>
          <w:pgMar w:left="240" w:top="455"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royalty obligations survive until the latest of (i) the expiration of the last valid claim of a licensed patent covering a subject product or (ii) the expiration of any regulatory exclusivity for the subject product in a country. In addition, if we sublicense our rights under the Southampton Agreement, we are required to pay a mid-single digit percentage of the sublicense revenue to the University of Southampton. The maximum aggregate potential milestone payments payable by us total approximately 400,000 pounds sterling (approximately $518,000 as of March 31, 2019). As of March 31, 2019, we have recorded no liabilities under the Southampton Agreement.</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Government regulation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FDA approval process</w:t>
      </w:r>
    </w:p>
    <w:p>
      <w:pPr>
        <w:spacing w:after="0" w:line="131"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In the United States, pharmaceutical products are subject to extensive regulation by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FDA refusal to approve pending new drug applications, or NDAs, warning or untitled letters, product recalls, product seizures, total or partial suspension of production or distribution, injunctions, fines, civil penalties and criminal prosecution.</w:t>
      </w:r>
    </w:p>
    <w:p>
      <w:pPr>
        <w:spacing w:after="0" w:line="95"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Pharmaceutical product development for a new product or certain changes to an approved product in the U.S. typically involves preclinical laboratory and animal tests, the submission to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93" w:lineRule="exact"/>
        <w:rPr>
          <w:sz w:val="20"/>
          <w:szCs w:val="20"/>
          <w:color w:val="auto"/>
        </w:rPr>
      </w:pPr>
    </w:p>
    <w:p>
      <w:pPr>
        <w:ind w:left="280" w:right="120"/>
        <w:spacing w:after="0" w:line="249"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93" w:lineRule="exact"/>
        <w:rPr>
          <w:sz w:val="20"/>
          <w:szCs w:val="20"/>
          <w:color w:val="auto"/>
        </w:rPr>
      </w:pPr>
    </w:p>
    <w:p>
      <w:pPr>
        <w:ind w:left="280" w:right="340"/>
        <w:spacing w:after="0" w:line="262" w:lineRule="auto"/>
        <w:rPr>
          <w:sz w:val="20"/>
          <w:szCs w:val="20"/>
          <w:color w:val="auto"/>
        </w:rPr>
      </w:pPr>
      <w:r>
        <w:rPr>
          <w:rFonts w:ascii="Arial" w:cs="Arial" w:eastAsia="Arial" w:hAnsi="Arial"/>
          <w:sz w:val="17"/>
          <w:szCs w:val="17"/>
          <w:color w:val="auto"/>
        </w:rPr>
        <w:t>A 30-day waiting period after the submission of each IND is required prior to the commencement of clinical testing in humans. If FDA has neither commented on nor questioned the IND within this 30-day period, the clinical trial proposed in the IND may begin.</w:t>
      </w:r>
    </w:p>
    <w:p>
      <w:pPr>
        <w:spacing w:after="0" w:line="80"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w:t>
      </w:r>
    </w:p>
    <w:p>
      <w:pPr>
        <w:spacing w:after="0" w:line="95" w:lineRule="exact"/>
        <w:rPr>
          <w:sz w:val="20"/>
          <w:szCs w:val="20"/>
          <w:color w:val="auto"/>
        </w:rPr>
      </w:pPr>
    </w:p>
    <w:p>
      <w:pPr>
        <w:ind w:left="280" w:right="120"/>
        <w:spacing w:after="0" w:line="251" w:lineRule="auto"/>
        <w:rPr>
          <w:sz w:val="20"/>
          <w:szCs w:val="20"/>
          <w:color w:val="auto"/>
        </w:rPr>
      </w:pPr>
      <w:r>
        <w:rPr>
          <w:rFonts w:ascii="Arial" w:cs="Arial" w:eastAsia="Arial" w:hAnsi="Arial"/>
          <w:sz w:val="17"/>
          <w:szCs w:val="17"/>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or IRB, for</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080"/>
          </w:cols>
          <w:pgMar w:left="240" w:top="455" w:right="5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380"/>
        <w:spacing w:after="0" w:line="262" w:lineRule="auto"/>
        <w:rPr>
          <w:sz w:val="20"/>
          <w:szCs w:val="20"/>
          <w:color w:val="auto"/>
        </w:rPr>
      </w:pPr>
      <w:r>
        <w:rPr>
          <w:rFonts w:ascii="Arial" w:cs="Arial" w:eastAsia="Arial" w:hAnsi="Arial"/>
          <w:sz w:val="17"/>
          <w:szCs w:val="17"/>
          <w:color w:val="auto"/>
        </w:rPr>
        <w:t>approval. An IRB may also require the clinical trial at the site to be halted, either temporarily or permanently, for failure to comply with the IRB’s requirements, or may impose other conditions.</w:t>
      </w:r>
    </w:p>
    <w:p>
      <w:pPr>
        <w:spacing w:after="0" w:line="80"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After completion of the required clinical testing, an NDA is prepared and submitted to FDA. FDA approval of the NDA is required before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marketing of the product may begin in the U.S. The NDA must include the results of all preclinical, clinical and other testing and a compilation</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of data relating to the product’s pharmacology, chemistry, manufacture and controls. The cost of preparing and submitting an NDA is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substantial. The submission of most NDAs is additionally subject to a substantial application user fee, currently exceeding $2,580,000 for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fiscal year 2019, and the manufacturer and sponsor under an approved NDA are also subject to annual program fees, currently exceeding</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$300,000 for each prescription product. These fees are typically increased annually. Sponsors of applications for drugs granted Orphan Drug</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Designation are exempt from these user fees.</w:t>
      </w:r>
    </w:p>
    <w:p>
      <w:pPr>
        <w:spacing w:after="0" w:line="111"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FDA has 60 days from its receipt of an NDA to determine whether the application will be accepted for filing based on the agency’s threshold determination that it is sufficiently complete to permit substantive review. Once the submission is accepted for filing, FDA begins an in-depth review. FDA has agreed to certain performance goals in the review of new drug applications to encourage timeliness. Most applications for standard review drug products are reviewed within ten to twelve months; most applications for priority review drugs are reviewed in six to eight months. Priority review can be applied to drugs that FDA determines offer major advances in treatment or provide a treatment where no adequate therapy exists. The review process for both standard and priority review may be extended by FDA for three additional months to consider certain late-submitted information, or information intended to clarify information already provided in the submission.</w:t>
      </w:r>
    </w:p>
    <w:p>
      <w:pPr>
        <w:spacing w:after="0" w:line="93"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FDA is not bound by the recommendation of an advisory committee, but it generally follows such recommendations.</w:t>
      </w:r>
    </w:p>
    <w:p>
      <w:pPr>
        <w:spacing w:after="0" w:line="89"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Before approving an NDA, FDA will typically inspect one or more clinical sites to assure compliance with GCP. Additionally, FDA will inspect the facility or the facilities at which the drug is manufactured. FDA will not approve the product unless compliance with current good manufacturing practices, or cGMPs, is satisfactory and the NDA contains data that provide substantial evidence that the drug is safe and effective in the indication studied.</w:t>
      </w:r>
    </w:p>
    <w:p>
      <w:pPr>
        <w:spacing w:after="0" w:line="89" w:lineRule="exact"/>
        <w:rPr>
          <w:sz w:val="20"/>
          <w:szCs w:val="20"/>
          <w:color w:val="auto"/>
        </w:rPr>
      </w:pPr>
    </w:p>
    <w:p>
      <w:pPr>
        <w:ind w:left="280" w:right="320"/>
        <w:spacing w:after="0" w:line="262" w:lineRule="auto"/>
        <w:rPr>
          <w:sz w:val="20"/>
          <w:szCs w:val="20"/>
          <w:color w:val="auto"/>
        </w:rPr>
      </w:pPr>
      <w:r>
        <w:rPr>
          <w:rFonts w:ascii="Arial" w:cs="Arial" w:eastAsia="Arial" w:hAnsi="Arial"/>
          <w:sz w:val="17"/>
          <w:szCs w:val="17"/>
          <w:color w:val="auto"/>
        </w:rPr>
        <w:t>After FDA evaluates the NDA and the manufacturing facilities, it issues either an approval letter or a complete response letter. A complete response letter generally outlines the deficiencies in the submission and may</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120"/>
          </w:cols>
          <w:pgMar w:left="240" w:top="455"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require substantial additional testing, or information, in order for FDA to reconsider the application. If, or when, those deficiencies have been addressed to FDA’s satisfaction in a resubmission of the NDA, FDA will issue an approval letter. FDA has committed to reviewing such resubmissions in two or six months depending on the type of information included.</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97"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Fast Track Designation and accelerated approval</w:t>
      </w:r>
    </w:p>
    <w:p>
      <w:pPr>
        <w:spacing w:after="0" w:line="131" w:lineRule="exact"/>
        <w:rPr>
          <w:sz w:val="20"/>
          <w:szCs w:val="20"/>
          <w:color w:val="auto"/>
        </w:rPr>
      </w:pPr>
    </w:p>
    <w:p>
      <w:pPr>
        <w:ind w:left="280" w:right="480"/>
        <w:spacing w:after="0" w:line="249" w:lineRule="auto"/>
        <w:rPr>
          <w:sz w:val="20"/>
          <w:szCs w:val="20"/>
          <w:color w:val="auto"/>
        </w:rPr>
      </w:pPr>
      <w:r>
        <w:rPr>
          <w:rFonts w:ascii="Arial" w:cs="Arial" w:eastAsia="Arial" w:hAnsi="Arial"/>
          <w:sz w:val="17"/>
          <w:szCs w:val="17"/>
          <w:color w:val="auto"/>
        </w:rPr>
        <w:t>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Under the Fast Track program, the sponsor of a new drug candidate may request that FDA designate the drug candidate for a specific indication as a Fast Track drug concurrent with, or after, the filing of the IND for the drug candidate. FDA must determine if the drug candidate qualifies for Fast Track Designation within 60 days of receipt of the sponsor’s request.</w:t>
      </w:r>
    </w:p>
    <w:p>
      <w:pPr>
        <w:spacing w:after="0" w:line="93"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Under the Fast Track program and FDA’s accelerated approval regulations,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93"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FDA to withdraw the drug from the market on an expedited basis. All promotional materials for drug candidates approved under accelerated regulations are subject to priority review by FDA.</w:t>
      </w:r>
    </w:p>
    <w:p>
      <w:pPr>
        <w:spacing w:after="0" w:line="95" w:lineRule="exact"/>
        <w:rPr>
          <w:sz w:val="20"/>
          <w:szCs w:val="20"/>
          <w:color w:val="auto"/>
        </w:rPr>
      </w:pPr>
    </w:p>
    <w:p>
      <w:pPr>
        <w:ind w:left="280" w:right="380"/>
        <w:spacing w:after="0" w:line="253" w:lineRule="auto"/>
        <w:rPr>
          <w:sz w:val="20"/>
          <w:szCs w:val="20"/>
          <w:color w:val="auto"/>
        </w:rPr>
      </w:pPr>
      <w:r>
        <w:rPr>
          <w:rFonts w:ascii="Arial" w:cs="Arial" w:eastAsia="Arial" w:hAnsi="Arial"/>
          <w:sz w:val="17"/>
          <w:szCs w:val="17"/>
          <w:color w:val="auto"/>
        </w:rPr>
        <w:t>If a submission is granted Fast Track Designation, the sponsor may engage in more frequent interactions with FDA, and FDA may review sections of the NDA before the application is complete. This rolling review is available if the applicant provides, and FDA approves, a schedule for the submission of the remaining information and</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140"/>
          </w:cols>
          <w:pgMar w:left="240" w:top="455"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the applicant pays applicable user fees. However, FDA’s time period goal for reviewing an application does not begin until the last section of the NDA is submitted. Additionally, Fast Track Designation may be withdrawn by FDA if FDA believes that the designation is no longer supported by data emerging in the clinical trial process.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Breakthrough Therapy Designation</w:t>
      </w:r>
    </w:p>
    <w:p>
      <w:pPr>
        <w:spacing w:after="0" w:line="13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FDA is also required to expedite the development and review of the application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drug candidate may request that FDA designate the drug candidate for a specific indication as a breakthrough therapy concurrent with, or after, the filing of the IND for the drug candidate. FDA must determine if the drug candidate qualifies for Breakthrough Therapy designation within 60 days of receipt of the sponsor’s request.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Orphan Drugs</w:t>
      </w:r>
    </w:p>
    <w:p>
      <w:pPr>
        <w:spacing w:after="0" w:line="13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Under the Orphan Drug Act, FDA may grant Orphan Drug Designation to drugs intended to treat a rare disease or condition—generally a disease or condition that affects fewer than 200,000 individuals in the U.S. Orphan Drug designation must be requested before submitting an NDA. After FDA grants Orphan Drug Designation, the generic identity of the drug and its potential orphan use are disclosed publicly by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Orphan drug exclusivity does not prevent FDA from approving a different drug for the same disease or condition, or the same drug for a different disease or condition. Among the other benefits of Orphan Drug Designation are tax credits for certain research and an exemption from the NDA application user fee.</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Rare Pediatric Disease Priority Review Voucher Program</w:t>
      </w:r>
    </w:p>
    <w:p>
      <w:pPr>
        <w:spacing w:after="0" w:line="131" w:lineRule="exact"/>
        <w:rPr>
          <w:sz w:val="20"/>
          <w:szCs w:val="20"/>
          <w:color w:val="auto"/>
        </w:rPr>
      </w:pPr>
    </w:p>
    <w:p>
      <w:pPr>
        <w:jc w:val="both"/>
        <w:ind w:left="280" w:right="60"/>
        <w:spacing w:after="0" w:line="253" w:lineRule="auto"/>
        <w:rPr>
          <w:sz w:val="20"/>
          <w:szCs w:val="20"/>
          <w:color w:val="auto"/>
        </w:rPr>
      </w:pPr>
      <w:r>
        <w:rPr>
          <w:rFonts w:ascii="Arial" w:cs="Arial" w:eastAsia="Arial" w:hAnsi="Arial"/>
          <w:sz w:val="17"/>
          <w:szCs w:val="17"/>
          <w:color w:val="auto"/>
        </w:rPr>
        <w:t>Under the Rare Pediatric Disease Priority Review Voucher program, FDA may award a priority review voucher to the sponsor of an approved marketing application for a product that treats or prevents a rare pediatric disease. The voucher entitles the sponsor to priority review of one subsequent marketing application.</w:t>
      </w:r>
    </w:p>
    <w:p>
      <w:pPr>
        <w:spacing w:after="0" w:line="89"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A voucher may be awarded only for an approved rare pediatric disease product application. A rare pediatric disease product application is an NDA for a product that treats or prevents a serious or life-threatening disease in which the serious or life-threatening manifestations primarily affect individuals aged from birth to 18 years; in general, the disease must affect fewer than 200,000 such individuals in the U.S.; the NDA must be deemed eligible for priority review; the NDA must not seek approval for a different adult indication (i.e., for a different disease/condition); the product must not contain an active ingredient that has been previously approved by FDA; and the NDA must rely on clinical data derived from studies examining a pediatric population such that the approved product can be adequately labeled for the pediatric population. Before NDA approval, FDA may designate a product in development as a product for a rare pediatric disease, but such designation is not required to receive a voucher.</w:t>
      </w:r>
    </w:p>
    <w:p>
      <w:pPr>
        <w:spacing w:after="0" w:line="97"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To receive a rare pediatric disease priority review voucher, a sponsor must notify FDA, upon submission of the NDA, of its intent to request a voucher. If FDA determines that the NDA is a rare pediatric disease product application, and if the NDA is approved, FDA will award the sponsor of the NDA a voucher upon approval of the NDA. FDA may revoke a rare pediatric disease priority review voucher if the product for which it was awarded is not marketed in the U.S. within 365 days of the product’s approval.</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120"/>
          </w:cols>
          <w:pgMar w:left="240" w:top="455" w:right="5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voucher, which is transferable to another sponsor, may be submitted with a subsequent NDA or biologics license application, or BLA, and entitles the holder to priority review of the accompanying NDA or BLA. The sponsor submitting the priority review voucher must notify FDA of is intent to submit the voucher with the NDA or BLA at least 90 days prior to submission of the NDA or BLA and must pay a priority review user fee in addition to any other required user fee ($2,457,140 in fiscal year 2019). FDA must take action on an NDA or BLA under priority review within six months of receipt of the NDA or BLA.</w:t>
      </w:r>
    </w:p>
    <w:p>
      <w:pPr>
        <w:spacing w:after="0" w:line="93" w:lineRule="exact"/>
        <w:rPr>
          <w:sz w:val="20"/>
          <w:szCs w:val="20"/>
          <w:color w:val="auto"/>
        </w:rPr>
      </w:pPr>
    </w:p>
    <w:p>
      <w:pPr>
        <w:ind w:left="280" w:right="220"/>
        <w:spacing w:after="0" w:line="253" w:lineRule="auto"/>
        <w:rPr>
          <w:sz w:val="20"/>
          <w:szCs w:val="20"/>
          <w:color w:val="auto"/>
        </w:rPr>
      </w:pPr>
      <w:r>
        <w:rPr>
          <w:rFonts w:ascii="Arial" w:cs="Arial" w:eastAsia="Arial" w:hAnsi="Arial"/>
          <w:sz w:val="17"/>
          <w:szCs w:val="17"/>
          <w:color w:val="auto"/>
        </w:rPr>
        <w:t>The Rare Pediatric Disease Priority Review Voucher program was reauthorized in the 21st Century Cures Act, allowing a product that is designated as a product for a rare pediatric disease prior to October 1, 2020 to be eligible to receive a rare pediatric disease priority review voucher upon approval of a qualifying application prior to October 1, 2022.</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31"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89" w:lineRule="exact"/>
        <w:rPr>
          <w:sz w:val="20"/>
          <w:szCs w:val="20"/>
          <w:color w:val="auto"/>
        </w:rPr>
      </w:pPr>
    </w:p>
    <w:p>
      <w:pPr>
        <w:ind w:left="280" w:right="80"/>
        <w:spacing w:after="0" w:line="247"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an NDA. FDA also may require post-marketing testing, known as Phase 4 testing, risk evaluation and mitigation strategies, or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with FDA subjects entities to periodic unannounced inspections by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76"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Pediatric information</w:t>
      </w:r>
    </w:p>
    <w:p>
      <w:pPr>
        <w:spacing w:after="0" w:line="131"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With certain exceptions, PREA does not apply to any drug for an indication for which orphan designation has been granted.</w:t>
      </w:r>
    </w:p>
    <w:p>
      <w:pPr>
        <w:spacing w:after="0" w:line="89"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The Best Pharmaceuticals for Children Act, or BPCA, provides NDA holders a six-month extension of any exclusivity—patent or nonpatent— 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Disclosure of clinical trial information</w:t>
      </w:r>
    </w:p>
    <w:p>
      <w:pPr>
        <w:spacing w:after="0" w:line="131" w:lineRule="exact"/>
        <w:rPr>
          <w:sz w:val="20"/>
          <w:szCs w:val="20"/>
          <w:color w:val="auto"/>
        </w:rPr>
      </w:pPr>
    </w:p>
    <w:p>
      <w:pPr>
        <w:ind w:left="280" w:right="320"/>
        <w:spacing w:after="0" w:line="262" w:lineRule="auto"/>
        <w:rPr>
          <w:sz w:val="20"/>
          <w:szCs w:val="20"/>
          <w:color w:val="auto"/>
        </w:rPr>
      </w:pPr>
      <w:r>
        <w:rPr>
          <w:rFonts w:ascii="Arial" w:cs="Arial" w:eastAsia="Arial" w:hAnsi="Arial"/>
          <w:sz w:val="17"/>
          <w:szCs w:val="17"/>
          <w:color w:val="auto"/>
        </w:rPr>
        <w:t>Sponsors of clinical trials of FDA regulated products, including drugs, are required to register and disclose certain clinical trial information. Information related to the product, patient population, phase of investigation,</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120"/>
          </w:cols>
          <w:pgMar w:left="240" w:top="455" w:right="5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The Hatch-Waxman Act</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Orange Book listing</w:t>
      </w:r>
    </w:p>
    <w:p>
      <w:pPr>
        <w:spacing w:after="0" w:line="129" w:lineRule="exact"/>
        <w:rPr>
          <w:sz w:val="20"/>
          <w:szCs w:val="20"/>
          <w:color w:val="auto"/>
        </w:rPr>
      </w:pPr>
    </w:p>
    <w:p>
      <w:pPr>
        <w:ind w:left="280" w:right="180"/>
        <w:spacing w:after="0" w:line="247" w:lineRule="auto"/>
        <w:rPr>
          <w:sz w:val="20"/>
          <w:szCs w:val="20"/>
          <w:color w:val="auto"/>
        </w:rPr>
      </w:pPr>
      <w:r>
        <w:rPr>
          <w:rFonts w:ascii="Arial" w:cs="Arial" w:eastAsia="Arial" w:hAnsi="Arial"/>
          <w:sz w:val="17"/>
          <w:szCs w:val="17"/>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96"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02" w:lineRule="exact"/>
        <w:rPr>
          <w:sz w:val="20"/>
          <w:szCs w:val="20"/>
          <w:color w:val="auto"/>
        </w:rPr>
      </w:pPr>
    </w:p>
    <w:p>
      <w:pPr>
        <w:ind w:left="280" w:right="580"/>
        <w:spacing w:after="0" w:line="262" w:lineRule="auto"/>
        <w:rPr>
          <w:sz w:val="20"/>
          <w:szCs w:val="20"/>
          <w:color w:val="auto"/>
        </w:rPr>
      </w:pPr>
      <w:r>
        <w:rPr>
          <w:rFonts w:ascii="Arial" w:cs="Arial" w:eastAsia="Arial" w:hAnsi="Arial"/>
          <w:sz w:val="17"/>
          <w:szCs w:val="17"/>
          <w:color w:val="auto"/>
        </w:rPr>
        <w:t>The ANDA application also will not be approved until any applicable non-patent exclusivity listed in the Orange Book for the referenced product has expired.</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Exclusivity</w:t>
      </w:r>
    </w:p>
    <w:p>
      <w:pPr>
        <w:spacing w:after="0" w:line="129" w:lineRule="exact"/>
        <w:rPr>
          <w:sz w:val="20"/>
          <w:szCs w:val="20"/>
          <w:color w:val="auto"/>
        </w:rPr>
      </w:pPr>
    </w:p>
    <w:p>
      <w:pPr>
        <w:ind w:left="280" w:right="200"/>
        <w:spacing w:after="0" w:line="249" w:lineRule="auto"/>
        <w:rPr>
          <w:sz w:val="20"/>
          <w:szCs w:val="20"/>
          <w:color w:val="auto"/>
        </w:rPr>
      </w:pPr>
      <w:r>
        <w:rPr>
          <w:rFonts w:ascii="Arial" w:cs="Arial" w:eastAsia="Arial" w:hAnsi="Arial"/>
          <w:sz w:val="17"/>
          <w:szCs w:val="17"/>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Certain changes to a drug, such as the addition of a new indication to the package insert, are associated with a three-year period of exclusivity during which FDA cannot approval an ANDA for a generic drug that includes the change. An ANDA may be submitted one year before NCE exclusivity expires if a Paragraph IV certification is filed. If there is no</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160"/>
          </w:cols>
          <w:pgMar w:left="240" w:top="455"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40"/>
        <w:spacing w:after="0" w:line="262" w:lineRule="auto"/>
        <w:rPr>
          <w:sz w:val="20"/>
          <w:szCs w:val="20"/>
          <w:color w:val="auto"/>
        </w:rPr>
      </w:pPr>
      <w:r>
        <w:rPr>
          <w:rFonts w:ascii="Arial" w:cs="Arial" w:eastAsia="Arial" w:hAnsi="Arial"/>
          <w:sz w:val="17"/>
          <w:szCs w:val="17"/>
          <w:color w:val="auto"/>
        </w:rPr>
        <w:t>listed patent in the Orange Book, there may not be a Paragraph IV certification, and, thus, no ANDA may be filed before the expiration of the exclusivity period.</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Patent term extension</w:t>
      </w:r>
    </w:p>
    <w:p>
      <w:pPr>
        <w:spacing w:after="0" w:line="12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After NDA approval, owners of relevant drug patents may apply for up to a five-year patent extension. The allowable patent term extension is calculated as half of the drug’s testing phase (the time between IND application and NDA submission) and all of the review phase (the time between NDA submission and approval up to a maximum of five years). The time can be shortened if FDA determines that the applicant did not pursue approval with due diligence. The total patent term after the extension may not exceed 14 years from the date of product approval. Only one patent applicable to an approved drug is eligible for extension and only those claims covering the approved drug, a method for using it, or a method for manufacturing it may be extended and the application for the extension must be submitted prior to the expiration of the patent.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for which an NDA has not been submitted.</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Foreign regulation</w:t>
      </w:r>
    </w:p>
    <w:p>
      <w:pPr>
        <w:spacing w:after="0" w:line="131"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131" w:lineRule="exact"/>
        <w:rPr>
          <w:sz w:val="20"/>
          <w:szCs w:val="20"/>
          <w:color w:val="auto"/>
        </w:rPr>
      </w:pPr>
    </w:p>
    <w:p>
      <w:pPr>
        <w:ind w:left="280" w:right="260"/>
        <w:spacing w:after="0" w:line="253" w:lineRule="auto"/>
        <w:rPr>
          <w:sz w:val="20"/>
          <w:szCs w:val="20"/>
          <w:color w:val="auto"/>
        </w:rPr>
      </w:pPr>
      <w:r>
        <w:rPr>
          <w:rFonts w:ascii="Arial" w:cs="Arial" w:eastAsia="Arial" w:hAnsi="Arial"/>
          <w:sz w:val="17"/>
          <w:szCs w:val="17"/>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89"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140"/>
          </w:cols>
          <w:pgMar w:left="240" w:top="455"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80"/>
        <w:spacing w:after="0" w:line="247" w:lineRule="auto"/>
        <w:rPr>
          <w:sz w:val="20"/>
          <w:szCs w:val="20"/>
          <w:color w:val="auto"/>
        </w:rPr>
      </w:pPr>
      <w:r>
        <w:rPr>
          <w:rFonts w:ascii="Arial" w:cs="Arial" w:eastAsia="Arial" w:hAnsi="Arial"/>
          <w:sz w:val="17"/>
          <w:szCs w:val="17"/>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regardless of the payor.</w:t>
      </w:r>
    </w:p>
    <w:p>
      <w:pPr>
        <w:spacing w:after="0" w:line="94"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93"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w:t>
      </w:r>
    </w:p>
    <w:p>
      <w:pPr>
        <w:spacing w:after="0" w:line="295"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Further, pursuant to the ACA, the Centers for Medicare &amp; Medicaid Services, or CMS, has issued a final rule that requires manufacturers of prescription drugs to collect and report information on certain payments or transfers of value to physicians and teaching hospitals, as well as investment interests held by physicians and their immediate family members. The first reports were due in 2014 and must be submitted on an annual basis. The reported data is made available in searchable form on a public website on an annual basis. Failure to submit required information may result in civil monetary penalties. Effective January 1, 2022, reporting on transfers of value to physician assistants, nurse practitioners or clinical nurse specialists, certified registered nurse anesthetists, and certified nurse-midwives will also be required.</w:t>
      </w:r>
    </w:p>
    <w:p>
      <w:pPr>
        <w:spacing w:after="0" w:line="95"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In addition, several states now require prescription drug companies to report certain expenses relating to the marketing and promotion of drug products and to report gifts and payments to individual healthcare</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120"/>
          </w:cols>
          <w:pgMar w:left="240" w:top="455"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40"/>
        <w:spacing w:after="0" w:line="248" w:lineRule="auto"/>
        <w:rPr>
          <w:sz w:val="20"/>
          <w:szCs w:val="20"/>
          <w:color w:val="auto"/>
        </w:rPr>
      </w:pPr>
      <w:r>
        <w:rPr>
          <w:rFonts w:ascii="Arial" w:cs="Arial" w:eastAsia="Arial" w:hAnsi="Arial"/>
          <w:sz w:val="17"/>
          <w:szCs w:val="17"/>
          <w:color w:val="auto"/>
        </w:rPr>
        <w:t>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spacing w:after="0" w:line="93"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131"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what are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160"/>
          </w:cols>
          <w:pgMar w:left="240" w:top="455"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Institute to oversee, identify priorities in, and conduct comparative clinical effectiveness research, along with funding for such research, and</w:t>
      </w:r>
    </w:p>
    <w:p>
      <w:pPr>
        <w:spacing w:after="0" w:line="5" w:lineRule="exact"/>
        <w:rPr>
          <w:sz w:val="20"/>
          <w:szCs w:val="20"/>
          <w:color w:val="auto"/>
        </w:rPr>
      </w:pPr>
    </w:p>
    <w:p>
      <w:pPr>
        <w:ind w:left="280" w:right="500" w:hanging="7"/>
        <w:spacing w:after="0" w:line="262" w:lineRule="auto"/>
        <w:tabs>
          <w:tab w:leader="none" w:pos="569" w:val="left"/>
        </w:tabs>
        <w:numPr>
          <w:ilvl w:val="0"/>
          <w:numId w:val="57"/>
        </w:numPr>
        <w:rPr>
          <w:rFonts w:ascii="Arial" w:cs="Arial" w:eastAsia="Arial" w:hAnsi="Arial"/>
          <w:sz w:val="17"/>
          <w:szCs w:val="17"/>
          <w:color w:val="auto"/>
        </w:rPr>
      </w:pPr>
      <w:r>
        <w:rPr>
          <w:rFonts w:ascii="Arial" w:cs="Arial" w:eastAsia="Arial" w:hAnsi="Arial"/>
          <w:sz w:val="17"/>
          <w:szCs w:val="17"/>
          <w:color w:val="auto"/>
        </w:rPr>
        <w:t>established a Center for Medicare Innovation at CMS to test innovative payment and service delivery models to lower Medicare and Medicaid spending, potentially including prescription drug spending.</w:t>
      </w:r>
    </w:p>
    <w:p>
      <w:pPr>
        <w:spacing w:after="0" w:line="80"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The current U.S. presidential administration and Congress have, and we expect they will continue to, seek to modify, repeal, or otherwise invalidate all, or certain provisions of, the ACA. Since January 2017, the current U.S. presidential administration has issued two executive orders and other directives designed to delay the implementation of certain provisions of the ACA or otherwise circumvent some of the requirements for health insurance mandated by the ACA. For example, on October 12, 2017, the current U.S. presidential administration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TCJA, among other things,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the current U.S. presidential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More recently,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There is still uncertainty with respect to the impact the current U.S. presidential administration and the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99" w:lineRule="exact"/>
        <w:rPr>
          <w:sz w:val="20"/>
          <w:szCs w:val="20"/>
          <w:color w:val="auto"/>
        </w:rPr>
      </w:pPr>
    </w:p>
    <w:p>
      <w:pPr>
        <w:ind w:left="280" w:right="60"/>
        <w:spacing w:after="0" w:line="245"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w:t>
      </w:r>
    </w:p>
    <w:p>
      <w:pPr>
        <w:spacing w:after="0" w:line="3" w:lineRule="exact"/>
        <w:rPr>
          <w:sz w:val="20"/>
          <w:szCs w:val="20"/>
          <w:color w:val="auto"/>
        </w:rPr>
      </w:pPr>
    </w:p>
    <w:p>
      <w:pPr>
        <w:jc w:val="both"/>
        <w:ind w:left="280" w:right="220"/>
        <w:spacing w:after="0" w:line="253" w:lineRule="auto"/>
        <w:rPr>
          <w:sz w:val="20"/>
          <w:szCs w:val="20"/>
          <w:color w:val="auto"/>
        </w:rPr>
      </w:pPr>
      <w:r>
        <w:rPr>
          <w:rFonts w:ascii="Arial" w:cs="Arial" w:eastAsia="Arial" w:hAnsi="Arial"/>
          <w:sz w:val="17"/>
          <w:szCs w:val="17"/>
          <w:color w:val="auto"/>
        </w:rPr>
        <w:t>2027 unless additional Congressional action is taken. Moreover, on January 2, 2013, the American Taxpayer Relief Act of 2012 was signed into law, which, among other things, further reduced Medicare payments to several types of providers, including hospitals, imaging centers and cancer treatment centers, and increased the statute of</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140"/>
          </w:cols>
          <w:pgMar w:left="240" w:top="455"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93"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the Medicare Prescription Drug, Improvement, and Modernization Act of 2003, or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93"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current U.S. presidential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on May 11, 2018, the current U.S. presidential administration laid out the administration’s “Blueprint” to reduce the cost of prescription medications while preserving innovation and cures. While the Department of Health and Human Services, or HHS, is soliciting feedback on some of these measures, other actions may be immediately implemented by HHS under existing authority. Although a number of these, and other potential, proposals will require authorization through additional legislation to become effective, Congress and the current U.S. presidential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02"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140"/>
          </w:cols>
          <w:pgMar w:left="240" w:top="455"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Employees</w:t>
      </w:r>
    </w:p>
    <w:p>
      <w:pPr>
        <w:spacing w:after="0" w:line="141"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As of June 7, 2019, we had 44 full-time employees and five part-time contract employees. Of these employees, 21 have an M.D. or Ph.D. None of our employees are represented by a labor union or covered by collective bargaining agreements, and we believe our relationship with our employees is good.</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Facilities</w:t>
      </w:r>
    </w:p>
    <w:p>
      <w:pPr>
        <w:spacing w:after="0" w:line="14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We currently occupy approximately 23,000 square feet of office and laboratory space in Bedford, Massachusetts, under a lease that expires in 2021. The Bedford facility can accommodate at least 75 full-time employees. We have also signed a lease for an additional 2,485 square feet of office space in Cambridge, Massachusetts that expires in 2022, and we occupied this space in May 2019. The Cambridge office can accommodate at least 14 full-time employees. We believe that our facilities suffice to meet our current and near-term needs and that suitable additional space will be available as and when needed.</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Legal proceedings</w:t>
      </w:r>
    </w:p>
    <w:p>
      <w:pPr>
        <w:spacing w:after="0" w:line="141"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140"/>
          </w:cols>
          <w:pgMar w:left="240" w:top="455"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Management</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Executive officers, key employees and directors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provides information regarding our executive officers, key employees and directors as of June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2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Age</w:t>
            </w:r>
          </w:p>
        </w:tc>
        <w:tc>
          <w:tcPr>
            <w:tcW w:w="714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Position</w:t>
            </w:r>
          </w:p>
        </w:tc>
      </w:tr>
      <w:tr>
        <w:trPr>
          <w:trHeight w:val="87"/>
        </w:trPr>
        <w:tc>
          <w:tcPr>
            <w:tcW w:w="2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140" w:type="dxa"/>
            <w:vAlign w:val="bottom"/>
          </w:tcPr>
          <w:p>
            <w:pPr>
              <w:spacing w:after="0"/>
              <w:rPr>
                <w:sz w:val="7"/>
                <w:szCs w:val="7"/>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Executive officers:</w:t>
            </w:r>
          </w:p>
        </w:tc>
        <w:tc>
          <w:tcPr>
            <w:tcW w:w="820" w:type="dxa"/>
            <w:vAlign w:val="bottom"/>
            <w:shd w:val="clear" w:color="auto" w:fill="CCEEFF"/>
          </w:tcPr>
          <w:p>
            <w:pPr>
              <w:spacing w:after="0"/>
              <w:rPr>
                <w:sz w:val="17"/>
                <w:szCs w:val="17"/>
                <w:color w:val="auto"/>
              </w:rPr>
            </w:pPr>
          </w:p>
        </w:tc>
        <w:tc>
          <w:tcPr>
            <w:tcW w:w="7140" w:type="dxa"/>
            <w:vAlign w:val="bottom"/>
            <w:shd w:val="clear" w:color="auto" w:fill="CCEEFF"/>
          </w:tcPr>
          <w:p>
            <w:pPr>
              <w:spacing w:after="0"/>
              <w:rPr>
                <w:sz w:val="17"/>
                <w:szCs w:val="17"/>
                <w:color w:val="auto"/>
              </w:rPr>
            </w:pPr>
          </w:p>
        </w:tc>
      </w:tr>
      <w:tr>
        <w:trPr>
          <w:trHeight w:val="319"/>
        </w:trPr>
        <w:tc>
          <w:tcPr>
            <w:tcW w:w="2920" w:type="dxa"/>
            <w:vAlign w:val="bottom"/>
          </w:tcPr>
          <w:p>
            <w:pPr>
              <w:spacing w:after="0"/>
              <w:rPr>
                <w:sz w:val="20"/>
                <w:szCs w:val="20"/>
                <w:color w:val="auto"/>
              </w:rPr>
            </w:pPr>
            <w:r>
              <w:rPr>
                <w:rFonts w:ascii="Arial" w:cs="Arial" w:eastAsia="Arial" w:hAnsi="Arial"/>
                <w:sz w:val="17"/>
                <w:szCs w:val="17"/>
                <w:color w:val="auto"/>
              </w:rPr>
              <w:t>Edward M. Kaye, M.D.</w:t>
            </w: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70</w:t>
            </w:r>
          </w:p>
        </w:tc>
        <w:tc>
          <w:tcPr>
            <w:tcW w:w="7140" w:type="dxa"/>
            <w:vAlign w:val="bottom"/>
          </w:tcPr>
          <w:p>
            <w:pPr>
              <w:ind w:left="180"/>
              <w:spacing w:after="0"/>
              <w:rPr>
                <w:sz w:val="20"/>
                <w:szCs w:val="20"/>
                <w:color w:val="auto"/>
              </w:rPr>
            </w:pPr>
            <w:r>
              <w:rPr>
                <w:rFonts w:ascii="Arial" w:cs="Arial" w:eastAsia="Arial" w:hAnsi="Arial"/>
                <w:sz w:val="17"/>
                <w:szCs w:val="17"/>
                <w:color w:val="auto"/>
              </w:rPr>
              <w:t>Chief Executive Officer and Director</w:t>
            </w: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Huw M. Nash, Ph.D.</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52</w:t>
            </w:r>
          </w:p>
        </w:tc>
        <w:tc>
          <w:tcPr>
            <w:tcW w:w="7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Chief Operating Officer and Chief Business Officer</w:t>
            </w:r>
          </w:p>
        </w:tc>
      </w:tr>
      <w:tr>
        <w:trPr>
          <w:trHeight w:val="319"/>
        </w:trPr>
        <w:tc>
          <w:tcPr>
            <w:tcW w:w="2920" w:type="dxa"/>
            <w:vAlign w:val="bottom"/>
          </w:tcPr>
          <w:p>
            <w:pPr>
              <w:spacing w:after="0"/>
              <w:rPr>
                <w:sz w:val="20"/>
                <w:szCs w:val="20"/>
                <w:color w:val="auto"/>
              </w:rPr>
            </w:pPr>
            <w:r>
              <w:rPr>
                <w:rFonts w:ascii="Arial" w:cs="Arial" w:eastAsia="Arial" w:hAnsi="Arial"/>
                <w:sz w:val="17"/>
                <w:szCs w:val="17"/>
                <w:color w:val="auto"/>
              </w:rPr>
              <w:t>Stephen J. Tulipano, CPA</w:t>
            </w: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60</w:t>
            </w:r>
          </w:p>
        </w:tc>
        <w:tc>
          <w:tcPr>
            <w:tcW w:w="7140" w:type="dxa"/>
            <w:vAlign w:val="bottom"/>
          </w:tcPr>
          <w:p>
            <w:pPr>
              <w:ind w:left="180"/>
              <w:spacing w:after="0"/>
              <w:rPr>
                <w:sz w:val="20"/>
                <w:szCs w:val="20"/>
                <w:color w:val="auto"/>
              </w:rPr>
            </w:pPr>
            <w:r>
              <w:rPr>
                <w:rFonts w:ascii="Arial" w:cs="Arial" w:eastAsia="Arial" w:hAnsi="Arial"/>
                <w:sz w:val="17"/>
                <w:szCs w:val="17"/>
                <w:color w:val="auto"/>
              </w:rPr>
              <w:t>Chief Financial Officer</w:t>
            </w: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Barry S. Ticho, M.D., Ph.D., FACC</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59</w:t>
            </w:r>
          </w:p>
        </w:tc>
        <w:tc>
          <w:tcPr>
            <w:tcW w:w="7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Chief Medical Officer</w:t>
            </w:r>
          </w:p>
        </w:tc>
      </w:tr>
      <w:tr>
        <w:trPr>
          <w:trHeight w:val="319"/>
        </w:trPr>
        <w:tc>
          <w:tcPr>
            <w:tcW w:w="2920" w:type="dxa"/>
            <w:vAlign w:val="bottom"/>
          </w:tcPr>
          <w:p>
            <w:pPr>
              <w:spacing w:after="0"/>
              <w:rPr>
                <w:sz w:val="20"/>
                <w:szCs w:val="20"/>
                <w:color w:val="auto"/>
              </w:rPr>
            </w:pPr>
            <w:r>
              <w:rPr>
                <w:rFonts w:ascii="Arial" w:cs="Arial" w:eastAsia="Arial" w:hAnsi="Arial"/>
                <w:sz w:val="17"/>
                <w:szCs w:val="17"/>
                <w:color w:val="auto"/>
              </w:rPr>
              <w:t>Gene Liau, Ph.D.</w:t>
            </w: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64</w:t>
            </w:r>
          </w:p>
        </w:tc>
        <w:tc>
          <w:tcPr>
            <w:tcW w:w="7140" w:type="dxa"/>
            <w:vAlign w:val="bottom"/>
          </w:tcPr>
          <w:p>
            <w:pPr>
              <w:ind w:left="180"/>
              <w:spacing w:after="0"/>
              <w:rPr>
                <w:sz w:val="20"/>
                <w:szCs w:val="20"/>
                <w:color w:val="auto"/>
              </w:rPr>
            </w:pPr>
            <w:r>
              <w:rPr>
                <w:rFonts w:ascii="Arial" w:cs="Arial" w:eastAsia="Arial" w:hAnsi="Arial"/>
                <w:sz w:val="17"/>
                <w:szCs w:val="17"/>
                <w:color w:val="auto"/>
              </w:rPr>
              <w:t>Executive Vice President, Head of Research and Preclinical Development</w:t>
            </w: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Key employees:</w:t>
            </w:r>
          </w:p>
        </w:tc>
        <w:tc>
          <w:tcPr>
            <w:tcW w:w="820" w:type="dxa"/>
            <w:vAlign w:val="bottom"/>
            <w:shd w:val="clear" w:color="auto" w:fill="CCEEFF"/>
          </w:tcPr>
          <w:p>
            <w:pPr>
              <w:spacing w:after="0"/>
              <w:rPr>
                <w:sz w:val="17"/>
                <w:szCs w:val="17"/>
                <w:color w:val="auto"/>
              </w:rPr>
            </w:pPr>
          </w:p>
        </w:tc>
        <w:tc>
          <w:tcPr>
            <w:tcW w:w="7140" w:type="dxa"/>
            <w:vAlign w:val="bottom"/>
            <w:shd w:val="clear" w:color="auto" w:fill="CCEEFF"/>
          </w:tcPr>
          <w:p>
            <w:pPr>
              <w:spacing w:after="0"/>
              <w:rPr>
                <w:sz w:val="17"/>
                <w:szCs w:val="17"/>
                <w:color w:val="auto"/>
              </w:rPr>
            </w:pPr>
          </w:p>
        </w:tc>
      </w:tr>
      <w:tr>
        <w:trPr>
          <w:trHeight w:val="319"/>
        </w:trPr>
        <w:tc>
          <w:tcPr>
            <w:tcW w:w="2920" w:type="dxa"/>
            <w:vAlign w:val="bottom"/>
          </w:tcPr>
          <w:p>
            <w:pPr>
              <w:spacing w:after="0"/>
              <w:rPr>
                <w:sz w:val="20"/>
                <w:szCs w:val="20"/>
                <w:color w:val="auto"/>
              </w:rPr>
            </w:pPr>
            <w:r>
              <w:rPr>
                <w:rFonts w:ascii="Arial" w:cs="Arial" w:eastAsia="Arial" w:hAnsi="Arial"/>
                <w:sz w:val="17"/>
                <w:szCs w:val="17"/>
                <w:color w:val="auto"/>
              </w:rPr>
              <w:t>Isabel Aznarez, Ph.D.</w:t>
            </w: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47</w:t>
            </w:r>
          </w:p>
        </w:tc>
        <w:tc>
          <w:tcPr>
            <w:tcW w:w="7140" w:type="dxa"/>
            <w:vAlign w:val="bottom"/>
          </w:tcPr>
          <w:p>
            <w:pPr>
              <w:ind w:left="180"/>
              <w:spacing w:after="0"/>
              <w:rPr>
                <w:sz w:val="20"/>
                <w:szCs w:val="20"/>
                <w:color w:val="auto"/>
              </w:rPr>
            </w:pPr>
            <w:r>
              <w:rPr>
                <w:rFonts w:ascii="Arial" w:cs="Arial" w:eastAsia="Arial" w:hAnsi="Arial"/>
                <w:sz w:val="17"/>
                <w:szCs w:val="17"/>
                <w:color w:val="auto"/>
              </w:rPr>
              <w:t>Vice President of Biology</w:t>
            </w: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Charles R. Allerson, Ph.D.</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51</w:t>
            </w:r>
          </w:p>
        </w:tc>
        <w:tc>
          <w:tcPr>
            <w:tcW w:w="7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Vice President of Chemistry</w:t>
            </w:r>
          </w:p>
        </w:tc>
      </w:tr>
      <w:tr>
        <w:trPr>
          <w:trHeight w:val="319"/>
        </w:trPr>
        <w:tc>
          <w:tcPr>
            <w:tcW w:w="2920" w:type="dxa"/>
            <w:vAlign w:val="bottom"/>
          </w:tcPr>
          <w:p>
            <w:pPr>
              <w:spacing w:after="0"/>
              <w:rPr>
                <w:sz w:val="20"/>
                <w:szCs w:val="20"/>
                <w:color w:val="auto"/>
              </w:rPr>
            </w:pPr>
            <w:r>
              <w:rPr>
                <w:rFonts w:ascii="Arial" w:cs="Arial" w:eastAsia="Arial" w:hAnsi="Arial"/>
                <w:sz w:val="17"/>
                <w:szCs w:val="17"/>
                <w:color w:val="auto"/>
              </w:rPr>
              <w:t>Dawn Kalmar</w:t>
            </w: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42</w:t>
            </w:r>
          </w:p>
        </w:tc>
        <w:tc>
          <w:tcPr>
            <w:tcW w:w="7140" w:type="dxa"/>
            <w:vAlign w:val="bottom"/>
          </w:tcPr>
          <w:p>
            <w:pPr>
              <w:ind w:left="180"/>
              <w:spacing w:after="0"/>
              <w:rPr>
                <w:sz w:val="20"/>
                <w:szCs w:val="20"/>
                <w:color w:val="auto"/>
              </w:rPr>
            </w:pPr>
            <w:r>
              <w:rPr>
                <w:rFonts w:ascii="Arial" w:cs="Arial" w:eastAsia="Arial" w:hAnsi="Arial"/>
                <w:sz w:val="17"/>
                <w:szCs w:val="17"/>
                <w:color w:val="auto"/>
              </w:rPr>
              <w:t>Vice President, Head of Corporate Affairs</w:t>
            </w: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Meena, Ph.D.</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46</w:t>
            </w:r>
          </w:p>
        </w:tc>
        <w:tc>
          <w:tcPr>
            <w:tcW w:w="7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Vice President of Bioanalytical, DMPK and Biomarker Development</w:t>
            </w:r>
          </w:p>
        </w:tc>
      </w:tr>
      <w:tr>
        <w:trPr>
          <w:trHeight w:val="319"/>
        </w:trPr>
        <w:tc>
          <w:tcPr>
            <w:tcW w:w="2920" w:type="dxa"/>
            <w:vAlign w:val="bottom"/>
          </w:tcPr>
          <w:p>
            <w:pPr>
              <w:spacing w:after="0"/>
              <w:rPr>
                <w:sz w:val="20"/>
                <w:szCs w:val="20"/>
                <w:color w:val="auto"/>
              </w:rPr>
            </w:pPr>
            <w:r>
              <w:rPr>
                <w:rFonts w:ascii="Arial" w:cs="Arial" w:eastAsia="Arial" w:hAnsi="Arial"/>
                <w:sz w:val="17"/>
                <w:szCs w:val="17"/>
                <w:color w:val="auto"/>
              </w:rPr>
              <w:t>Shamim Ruff</w:t>
            </w: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59</w:t>
            </w:r>
          </w:p>
        </w:tc>
        <w:tc>
          <w:tcPr>
            <w:tcW w:w="7140" w:type="dxa"/>
            <w:vAlign w:val="bottom"/>
          </w:tcPr>
          <w:p>
            <w:pPr>
              <w:ind w:left="180"/>
              <w:spacing w:after="0"/>
              <w:rPr>
                <w:sz w:val="20"/>
                <w:szCs w:val="20"/>
                <w:color w:val="auto"/>
              </w:rPr>
            </w:pPr>
            <w:r>
              <w:rPr>
                <w:rFonts w:ascii="Arial" w:cs="Arial" w:eastAsia="Arial" w:hAnsi="Arial"/>
                <w:sz w:val="17"/>
                <w:szCs w:val="17"/>
                <w:color w:val="auto"/>
              </w:rPr>
              <w:t>Senior Vice President of Regulatory Affairs and Quality</w:t>
            </w: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Nancy M. Wyant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47</w:t>
            </w:r>
          </w:p>
        </w:tc>
        <w:tc>
          <w:tcPr>
            <w:tcW w:w="7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Vice President and Head of Clinical Operations</w:t>
            </w:r>
          </w:p>
        </w:tc>
      </w:tr>
      <w:tr>
        <w:trPr>
          <w:trHeight w:val="319"/>
        </w:trPr>
        <w:tc>
          <w:tcPr>
            <w:tcW w:w="2920" w:type="dxa"/>
            <w:vAlign w:val="bottom"/>
          </w:tcPr>
          <w:p>
            <w:pPr>
              <w:spacing w:after="0"/>
              <w:rPr>
                <w:sz w:val="20"/>
                <w:szCs w:val="20"/>
                <w:color w:val="auto"/>
              </w:rPr>
            </w:pPr>
            <w:r>
              <w:rPr>
                <w:rFonts w:ascii="Arial" w:cs="Arial" w:eastAsia="Arial" w:hAnsi="Arial"/>
                <w:sz w:val="17"/>
                <w:szCs w:val="17"/>
                <w:b w:val="1"/>
                <w:bCs w:val="1"/>
                <w:color w:val="auto"/>
              </w:rPr>
              <w:t>Non-employee directors:</w:t>
            </w:r>
          </w:p>
        </w:tc>
        <w:tc>
          <w:tcPr>
            <w:tcW w:w="82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Jennifer C. Burstein(1)</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47</w:t>
            </w:r>
          </w:p>
        </w:tc>
        <w:tc>
          <w:tcPr>
            <w:tcW w:w="7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Director</w:t>
            </w:r>
          </w:p>
        </w:tc>
      </w:tr>
      <w:tr>
        <w:trPr>
          <w:trHeight w:val="319"/>
        </w:trPr>
        <w:tc>
          <w:tcPr>
            <w:tcW w:w="2920" w:type="dxa"/>
            <w:vAlign w:val="bottom"/>
          </w:tcPr>
          <w:p>
            <w:pPr>
              <w:spacing w:after="0"/>
              <w:rPr>
                <w:sz w:val="20"/>
                <w:szCs w:val="20"/>
                <w:color w:val="auto"/>
              </w:rPr>
            </w:pPr>
            <w:r>
              <w:rPr>
                <w:rFonts w:ascii="Arial" w:cs="Arial" w:eastAsia="Arial" w:hAnsi="Arial"/>
                <w:sz w:val="17"/>
                <w:szCs w:val="17"/>
                <w:color w:val="auto"/>
              </w:rPr>
              <w:t>Adrian R. Krainer, Ph.D.(3)</w:t>
            </w: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60</w:t>
            </w:r>
          </w:p>
        </w:tc>
        <w:tc>
          <w:tcPr>
            <w:tcW w:w="714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Arthur A. Levin, Ph.D.(1)(2)(3)</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65</w:t>
            </w:r>
          </w:p>
        </w:tc>
        <w:tc>
          <w:tcPr>
            <w:tcW w:w="7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Director</w:t>
            </w:r>
          </w:p>
        </w:tc>
      </w:tr>
      <w:tr>
        <w:trPr>
          <w:trHeight w:val="319"/>
        </w:trPr>
        <w:tc>
          <w:tcPr>
            <w:tcW w:w="2920" w:type="dxa"/>
            <w:vAlign w:val="bottom"/>
          </w:tcPr>
          <w:p>
            <w:pPr>
              <w:spacing w:after="0"/>
              <w:rPr>
                <w:sz w:val="20"/>
                <w:szCs w:val="20"/>
                <w:color w:val="auto"/>
              </w:rPr>
            </w:pPr>
            <w:r>
              <w:rPr>
                <w:rFonts w:ascii="Arial" w:cs="Arial" w:eastAsia="Arial" w:hAnsi="Arial"/>
                <w:sz w:val="17"/>
                <w:szCs w:val="17"/>
                <w:color w:val="auto"/>
              </w:rPr>
              <w:t>Seth L. Harrison, M.D.(2)(3)</w:t>
            </w:r>
          </w:p>
        </w:tc>
        <w:tc>
          <w:tcPr>
            <w:tcW w:w="820" w:type="dxa"/>
            <w:vAlign w:val="bottom"/>
          </w:tcPr>
          <w:p>
            <w:pPr>
              <w:jc w:val="right"/>
              <w:ind w:right="93"/>
              <w:spacing w:after="0"/>
              <w:rPr>
                <w:sz w:val="20"/>
                <w:szCs w:val="20"/>
                <w:color w:val="auto"/>
              </w:rPr>
            </w:pPr>
            <w:r>
              <w:rPr>
                <w:rFonts w:ascii="Arial" w:cs="Arial" w:eastAsia="Arial" w:hAnsi="Arial"/>
                <w:sz w:val="17"/>
                <w:szCs w:val="17"/>
                <w:color w:val="auto"/>
              </w:rPr>
              <w:t>58</w:t>
            </w:r>
          </w:p>
        </w:tc>
        <w:tc>
          <w:tcPr>
            <w:tcW w:w="714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95"/>
        </w:trPr>
        <w:tc>
          <w:tcPr>
            <w:tcW w:w="2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Samuel W. Hall, Ph.D.</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37</w:t>
            </w:r>
          </w:p>
        </w:tc>
        <w:tc>
          <w:tcPr>
            <w:tcW w:w="7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Director</w:t>
            </w:r>
          </w:p>
        </w:tc>
      </w:tr>
      <w:tr>
        <w:trPr>
          <w:trHeight w:val="307"/>
        </w:trPr>
        <w:tc>
          <w:tcPr>
            <w:tcW w:w="2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Arthur O. Tzianabos, Ph.D.(1)(2)</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56</w:t>
            </w:r>
          </w:p>
        </w:tc>
        <w:tc>
          <w:tcPr>
            <w:tcW w:w="71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Director</w:t>
            </w:r>
          </w:p>
        </w:tc>
      </w:tr>
    </w:tbl>
    <w:p>
      <w:pPr>
        <w:spacing w:after="0" w:line="66" w:lineRule="exact"/>
        <w:rPr>
          <w:sz w:val="20"/>
          <w:szCs w:val="20"/>
          <w:color w:val="auto"/>
        </w:rPr>
      </w:pPr>
    </w:p>
    <w:p>
      <w:pPr>
        <w:ind w:left="600" w:hanging="327"/>
        <w:spacing w:after="0"/>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63" w:lineRule="exact"/>
        <w:rPr>
          <w:rFonts w:ascii="Arial" w:cs="Arial" w:eastAsia="Arial" w:hAnsi="Arial"/>
          <w:sz w:val="13"/>
          <w:szCs w:val="13"/>
          <w:color w:val="auto"/>
        </w:rPr>
      </w:pPr>
    </w:p>
    <w:p>
      <w:pPr>
        <w:ind w:left="600" w:hanging="327"/>
        <w:spacing w:after="0"/>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63" w:lineRule="exact"/>
        <w:rPr>
          <w:rFonts w:ascii="Arial" w:cs="Arial" w:eastAsia="Arial" w:hAnsi="Arial"/>
          <w:sz w:val="13"/>
          <w:szCs w:val="13"/>
          <w:color w:val="auto"/>
        </w:rPr>
      </w:pPr>
    </w:p>
    <w:p>
      <w:pPr>
        <w:ind w:left="600" w:hanging="327"/>
        <w:spacing w:after="0"/>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Member of the Nominating and Governance Committee.</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11" w:lineRule="exact"/>
        <w:rPr>
          <w:sz w:val="20"/>
          <w:szCs w:val="20"/>
          <w:color w:val="auto"/>
        </w:rPr>
      </w:pPr>
    </w:p>
    <w:p>
      <w:pPr>
        <w:ind w:left="280" w:right="260"/>
        <w:spacing w:after="0" w:line="255" w:lineRule="auto"/>
        <w:rPr>
          <w:sz w:val="20"/>
          <w:szCs w:val="20"/>
          <w:color w:val="auto"/>
        </w:rPr>
      </w:pPr>
      <w:r>
        <w:rPr>
          <w:rFonts w:ascii="Arial" w:cs="Arial" w:eastAsia="Arial" w:hAnsi="Arial"/>
          <w:sz w:val="17"/>
          <w:szCs w:val="17"/>
          <w:b w:val="1"/>
          <w:bCs w:val="1"/>
          <w:i w:val="1"/>
          <w:iCs w:val="1"/>
          <w:color w:val="auto"/>
        </w:rPr>
        <w:t>Edward M. Kaye, M.D.</w:t>
      </w:r>
      <w:r>
        <w:rPr>
          <w:rFonts w:ascii="Arial" w:cs="Arial" w:eastAsia="Arial" w:hAnsi="Arial"/>
          <w:sz w:val="17"/>
          <w:szCs w:val="17"/>
          <w:color w:val="auto"/>
        </w:rPr>
        <w:t>, has served as our Chief Executive Officer and a member of our board of directors since October 2017. Dr. Kaye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joined us from Sarepta Therapeutics, Inc., a medical research and drug development company, where he served as President and Chief Executive Officer from September 2016 to July 2017, Interim Chief Executive Officer from April 2015 to September 2016 and Chief Medical Officer from June 2011 to March 2017. From 2001 to 2007, Dr. Kaye served in various positions at Genzyme Corporation, a biotechnology company, including most recently as Group Vice President of Clinical Development. Previously, Dr. Kaye served</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160"/>
          </w:cols>
          <w:pgMar w:left="240" w:top="455"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45" w:lineRule="auto"/>
        <w:rPr>
          <w:sz w:val="20"/>
          <w:szCs w:val="20"/>
          <w:color w:val="auto"/>
        </w:rPr>
      </w:pPr>
      <w:r>
        <w:rPr>
          <w:rFonts w:ascii="Arial" w:cs="Arial" w:eastAsia="Arial" w:hAnsi="Arial"/>
          <w:sz w:val="17"/>
          <w:szCs w:val="17"/>
          <w:color w:val="auto"/>
        </w:rPr>
        <w:t>as Chief of Biochemical Genetics at Children’s Hospital of Philadelphia, Chief of Neurology at St. Christopher’s Hospital for Children, and as a member of the research staff at Massachusetts General Hospital and Tufts University Medical Center. Dr. Kaye currently serves as a Neurological Consultant at the Children’s Hospital of Boston. Dr. Kaye is also a member of the boards of directors of Cytokinetics, Inc., a public biopharmaceutical company, and the Massachusetts Biotechnology Council, a private non-profit life sciences industry organization.</w:t>
      </w:r>
    </w:p>
    <w:p>
      <w:pPr>
        <w:spacing w:after="0" w:line="2" w:lineRule="exact"/>
        <w:rPr>
          <w:sz w:val="20"/>
          <w:szCs w:val="20"/>
          <w:color w:val="auto"/>
        </w:rPr>
      </w:pPr>
    </w:p>
    <w:p>
      <w:pPr>
        <w:ind w:left="280" w:right="80"/>
        <w:spacing w:after="0" w:line="253" w:lineRule="auto"/>
        <w:rPr>
          <w:sz w:val="20"/>
          <w:szCs w:val="20"/>
          <w:color w:val="auto"/>
        </w:rPr>
      </w:pPr>
      <w:r>
        <w:rPr>
          <w:rFonts w:ascii="Arial" w:cs="Arial" w:eastAsia="Arial" w:hAnsi="Arial"/>
          <w:sz w:val="17"/>
          <w:szCs w:val="17"/>
          <w:color w:val="auto"/>
        </w:rPr>
        <w:t>Dr. Kaye holds a B.S. in Biology/Chemistry from Loyola University and a M.D. from the Loyola University Stritch School of Medicine. We believe that Dr. Kaye is qualified to serve on our board of directors because of his extensive leadership and clinical experience in the medical and biotechnology fields.</w:t>
      </w:r>
    </w:p>
    <w:p>
      <w:pPr>
        <w:spacing w:after="0" w:line="69" w:lineRule="exact"/>
        <w:rPr>
          <w:sz w:val="20"/>
          <w:szCs w:val="20"/>
          <w:color w:val="auto"/>
        </w:rPr>
      </w:pPr>
    </w:p>
    <w:p>
      <w:pPr>
        <w:ind w:left="280" w:right="120"/>
        <w:spacing w:after="0" w:line="251" w:lineRule="auto"/>
        <w:rPr>
          <w:sz w:val="20"/>
          <w:szCs w:val="20"/>
          <w:color w:val="auto"/>
        </w:rPr>
      </w:pPr>
      <w:r>
        <w:rPr>
          <w:rFonts w:ascii="Arial" w:cs="Arial" w:eastAsia="Arial" w:hAnsi="Arial"/>
          <w:sz w:val="17"/>
          <w:szCs w:val="17"/>
          <w:b w:val="1"/>
          <w:bCs w:val="1"/>
          <w:i w:val="1"/>
          <w:iCs w:val="1"/>
          <w:color w:val="auto"/>
        </w:rPr>
        <w:t>Huw M. Nash, Ph.D.</w:t>
      </w:r>
      <w:r>
        <w:rPr>
          <w:rFonts w:ascii="Arial" w:cs="Arial" w:eastAsia="Arial" w:hAnsi="Arial"/>
          <w:sz w:val="17"/>
          <w:szCs w:val="17"/>
          <w:color w:val="auto"/>
        </w:rPr>
        <w:t>, has served as our Chief Operating Officer and Chief Business Officer since October 2017, and served as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from October 2014 to October 2017. Dr. Nash also serves as an Entrepreneur-in-Residence at Apple Tree Partners, a venture capital firm. While at Apple Tree Partners, Dr. Nash was part of the founding group of entrepreneurs who worked on the original platform technology for Aileron Therapeutics, Inc., a biopharmaceutical company. Dr. Nash also served as Vice President of Corporate Development at Aileron Therapeutics, Inc. from 2005 to 2013. Prior to joining Aileron Therapeutics, Inc., Dr. Nash was a founding scientist of NeoGenesis Pharmaceuticals, Inc., a drug discovery company, where he served as Vice President of External Collaborations from 1997 to 2005 until its acquisition by Schering-Plough Corp. Dr. Nash holds a B.A. in Biochemical Sciences from Harvard College and a Ph.D. in Organic Chemistry from Harvard University.</w:t>
      </w:r>
    </w:p>
    <w:p>
      <w:pPr>
        <w:spacing w:after="0" w:line="71" w:lineRule="exact"/>
        <w:rPr>
          <w:sz w:val="20"/>
          <w:szCs w:val="20"/>
          <w:color w:val="auto"/>
        </w:rPr>
      </w:pPr>
    </w:p>
    <w:p>
      <w:pPr>
        <w:ind w:left="280" w:right="180"/>
        <w:spacing w:after="0" w:line="257" w:lineRule="auto"/>
        <w:rPr>
          <w:sz w:val="20"/>
          <w:szCs w:val="20"/>
          <w:color w:val="auto"/>
        </w:rPr>
      </w:pPr>
      <w:r>
        <w:rPr>
          <w:rFonts w:ascii="Arial" w:cs="Arial" w:eastAsia="Arial" w:hAnsi="Arial"/>
          <w:sz w:val="17"/>
          <w:szCs w:val="17"/>
          <w:b w:val="1"/>
          <w:bCs w:val="1"/>
          <w:i w:val="1"/>
          <w:iCs w:val="1"/>
          <w:color w:val="auto"/>
        </w:rPr>
        <w:t>Stephen J. Tulipano, CPA</w:t>
      </w:r>
      <w:r>
        <w:rPr>
          <w:rFonts w:ascii="Arial" w:cs="Arial" w:eastAsia="Arial" w:hAnsi="Arial"/>
          <w:sz w:val="17"/>
          <w:szCs w:val="17"/>
          <w:color w:val="auto"/>
        </w:rPr>
        <w:t>, has served as our Chief Financial Officer since March 2019. From June 2014 to July 2018, Mr. Tulipano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Chief Financial Officer and Treasurer of Aldeyra Therapeutics, Inc., a biotechnology company. From January 2011 to June 2014,</w:t>
      </w:r>
    </w:p>
    <w:p>
      <w:pPr>
        <w:spacing w:after="0" w:line="1" w:lineRule="exact"/>
        <w:rPr>
          <w:sz w:val="20"/>
          <w:szCs w:val="20"/>
          <w:color w:val="auto"/>
        </w:rPr>
      </w:pPr>
    </w:p>
    <w:p>
      <w:pPr>
        <w:jc w:val="both"/>
        <w:ind w:left="280" w:right="60"/>
        <w:spacing w:after="0" w:line="253" w:lineRule="auto"/>
        <w:rPr>
          <w:sz w:val="20"/>
          <w:szCs w:val="20"/>
          <w:color w:val="auto"/>
        </w:rPr>
      </w:pPr>
      <w:r>
        <w:rPr>
          <w:rFonts w:ascii="Arial" w:cs="Arial" w:eastAsia="Arial" w:hAnsi="Arial"/>
          <w:sz w:val="17"/>
          <w:szCs w:val="17"/>
          <w:color w:val="auto"/>
        </w:rPr>
        <w:t>Mr. Tulipano served in an accounting and management advisory role at Three Tulips, Inc. Previously, Mr. Tulipano was Chief Financial Officer and Secretary of Javelin Pharmaceuticals, Inc. Mr. Tulipano holds a B.S. from Salem State College and an M.B.A. from Suffolk University. He is a Certified Public Accountant.</w:t>
      </w:r>
    </w:p>
    <w:p>
      <w:pPr>
        <w:spacing w:after="0" w:line="69"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b w:val="1"/>
          <w:bCs w:val="1"/>
          <w:i w:val="1"/>
          <w:iCs w:val="1"/>
          <w:color w:val="auto"/>
        </w:rPr>
        <w:t>Barry S. Ticho, M.D., Ph.D., FACC</w:t>
      </w:r>
      <w:r>
        <w:rPr>
          <w:rFonts w:ascii="Arial" w:cs="Arial" w:eastAsia="Arial" w:hAnsi="Arial"/>
          <w:sz w:val="17"/>
          <w:szCs w:val="17"/>
          <w:color w:val="auto"/>
        </w:rPr>
        <w:t>, has served as our Chief Medical Officer since October 2017. From February 2016 to September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Ticho served as Head of Cardiovascular and Metabolic Diseases at Moderna, Inc., a biotechnology company. From October 2013 to February 2016, Dr. Ticho served as Head of External Research and Development Innovation for the Cardiovascular and Metabolic Disease Research Unit at Pfizer, Inc., a pharmaceutical company. Previously, Dr. Ticho served as the Vice President of Clinical Development at Biogen Inc., a biopharmaceutical company. Dr. Ticho holds a B.A. in Biology from Haverford College and an M.D. and a Ph.D. in Biochemistry and Molecular Biology from the University of Chicago.</w:t>
      </w:r>
    </w:p>
    <w:p>
      <w:pPr>
        <w:spacing w:after="0" w:line="70" w:lineRule="exact"/>
        <w:rPr>
          <w:sz w:val="20"/>
          <w:szCs w:val="20"/>
          <w:color w:val="auto"/>
        </w:rPr>
      </w:pPr>
    </w:p>
    <w:p>
      <w:pPr>
        <w:ind w:left="280" w:right="140"/>
        <w:spacing w:after="0" w:line="253" w:lineRule="auto"/>
        <w:rPr>
          <w:sz w:val="20"/>
          <w:szCs w:val="20"/>
          <w:color w:val="auto"/>
        </w:rPr>
      </w:pPr>
      <w:r>
        <w:rPr>
          <w:rFonts w:ascii="Arial" w:cs="Arial" w:eastAsia="Arial" w:hAnsi="Arial"/>
          <w:sz w:val="17"/>
          <w:szCs w:val="17"/>
          <w:b w:val="1"/>
          <w:bCs w:val="1"/>
          <w:i w:val="1"/>
          <w:iCs w:val="1"/>
          <w:color w:val="auto"/>
        </w:rPr>
        <w:t>Gene Liau, Ph.D.</w:t>
      </w:r>
      <w:r>
        <w:rPr>
          <w:rFonts w:ascii="Arial" w:cs="Arial" w:eastAsia="Arial" w:hAnsi="Arial"/>
          <w:sz w:val="17"/>
          <w:szCs w:val="17"/>
          <w:color w:val="auto"/>
        </w:rPr>
        <w:t>, has served as our Executive Vice President, Head of Research and Preclinical Development since January 2018.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2015 to August 2017, Dr. Liau served as Senior Vice President and Head of Gene Therapy Research and Development at Precision Biosciences, Inc., a biotechnology company. From July 2011 to June 2015, Dr. Liau served in various roles at Pfizer, Inc., a pharmaceutical company, most recently as Executive Director and Head of External Research and Development Rare Diseases and Hematology. Dr. Liau holds a B.S. in Biology from the University of North Carolina at Chapel Hill and a Ph.D. in Biochemistry from Vanderbilt University.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Key employees</w:t>
      </w:r>
    </w:p>
    <w:p>
      <w:pPr>
        <w:spacing w:after="0" w:line="111" w:lineRule="exact"/>
        <w:rPr>
          <w:sz w:val="20"/>
          <w:szCs w:val="20"/>
          <w:color w:val="auto"/>
        </w:rPr>
      </w:pPr>
    </w:p>
    <w:p>
      <w:pPr>
        <w:ind w:left="280" w:right="40"/>
        <w:spacing w:after="0" w:line="255" w:lineRule="auto"/>
        <w:rPr>
          <w:sz w:val="20"/>
          <w:szCs w:val="20"/>
          <w:color w:val="auto"/>
        </w:rPr>
      </w:pPr>
      <w:r>
        <w:rPr>
          <w:rFonts w:ascii="Arial" w:cs="Arial" w:eastAsia="Arial" w:hAnsi="Arial"/>
          <w:sz w:val="17"/>
          <w:szCs w:val="17"/>
          <w:b w:val="1"/>
          <w:bCs w:val="1"/>
          <w:i w:val="1"/>
          <w:iCs w:val="1"/>
          <w:color w:val="auto"/>
        </w:rPr>
        <w:t>Isabel Aznarez, Ph.D.</w:t>
      </w:r>
      <w:r>
        <w:rPr>
          <w:rFonts w:ascii="Arial" w:cs="Arial" w:eastAsia="Arial" w:hAnsi="Arial"/>
          <w:sz w:val="17"/>
          <w:szCs w:val="17"/>
          <w:color w:val="auto"/>
        </w:rPr>
        <w:t>, co-founded Stoke Therapeutics, Inc. and has served as our Vice President of Biology since October 2014.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co-founding Stoke Therapeutics, Inc., Dr. Aznarez served as a Postdoctoral Fellow, then Research Investigator, at Cold Spring Harbor Laboratory, a biological research institution, from January 2008 to November 2015. Dr. Aznarez also serves on the board of directors of the Oligonucleotide Therapeutics Society. Dr. Aznarez holds a B.S. in Biology and Human Genetics from the University of Uruguay and a Ph.D. in Molecular Genetics from the University of Toronto.</w:t>
      </w:r>
    </w:p>
    <w:p>
      <w:pPr>
        <w:spacing w:after="0" w:line="12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140"/>
          </w:cols>
          <w:pgMar w:left="240" w:top="455"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right="140"/>
        <w:spacing w:after="0" w:line="255" w:lineRule="auto"/>
        <w:rPr>
          <w:sz w:val="20"/>
          <w:szCs w:val="20"/>
          <w:color w:val="auto"/>
        </w:rPr>
      </w:pPr>
      <w:r>
        <w:rPr>
          <w:rFonts w:ascii="Arial" w:cs="Arial" w:eastAsia="Arial" w:hAnsi="Arial"/>
          <w:sz w:val="17"/>
          <w:szCs w:val="17"/>
          <w:b w:val="1"/>
          <w:bCs w:val="1"/>
          <w:i w:val="1"/>
          <w:iCs w:val="1"/>
          <w:color w:val="auto"/>
        </w:rPr>
        <w:t>Charles R. Allerson, Ph.D.</w:t>
      </w:r>
      <w:r>
        <w:rPr>
          <w:rFonts w:ascii="Arial" w:cs="Arial" w:eastAsia="Arial" w:hAnsi="Arial"/>
          <w:sz w:val="17"/>
          <w:szCs w:val="17"/>
          <w:color w:val="auto"/>
        </w:rPr>
        <w:t>, has served as our Vice President of Chemistry since December 2017. Prior to joining us, Dr. Allerson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 Director and then Director of Chemistry at Regulus Therapeutics Inc., a microRNA-focused biopharmaceutical company, from August 2010 to December 2017, and also as a Senior Scientist and Principal Scientist at Ionis Pharmaceuticals Inc., a RNA-focused biopharmaceutical company, from August 2002 to August 2010. Dr. Allerson holds a B.S. in Chemistry from Lafayette College and a Ph.D. in Chemistry from Harvard University.</w:t>
      </w:r>
    </w:p>
    <w:p>
      <w:pPr>
        <w:spacing w:after="0" w:line="68" w:lineRule="exact"/>
        <w:rPr>
          <w:sz w:val="20"/>
          <w:szCs w:val="20"/>
          <w:color w:val="auto"/>
        </w:rPr>
      </w:pPr>
    </w:p>
    <w:p>
      <w:pPr>
        <w:ind w:left="280" w:right="120"/>
        <w:spacing w:after="0" w:line="252" w:lineRule="auto"/>
        <w:rPr>
          <w:sz w:val="20"/>
          <w:szCs w:val="20"/>
          <w:color w:val="auto"/>
        </w:rPr>
      </w:pPr>
      <w:r>
        <w:rPr>
          <w:rFonts w:ascii="Arial" w:cs="Arial" w:eastAsia="Arial" w:hAnsi="Arial"/>
          <w:sz w:val="17"/>
          <w:szCs w:val="17"/>
          <w:b w:val="1"/>
          <w:bCs w:val="1"/>
          <w:i w:val="1"/>
          <w:iCs w:val="1"/>
          <w:color w:val="auto"/>
        </w:rPr>
        <w:t xml:space="preserve">Dawn Kalmar </w:t>
      </w:r>
      <w:r>
        <w:rPr>
          <w:rFonts w:ascii="Arial" w:cs="Arial" w:eastAsia="Arial" w:hAnsi="Arial"/>
          <w:sz w:val="17"/>
          <w:szCs w:val="17"/>
          <w:color w:val="auto"/>
        </w:rPr>
        <w:t>has served as our Vice President, Head of Corporate Affairs since April 2019. From May 2014 to January 2018, Ms. Kalmar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Vice President, Corporate Communications at Vertex Pharmaceuticals, Inc., a biopharmaceutical company. From September 2010 to May 2014, Ms. Kalmar served in various roles at Vertex Pharmaceuticals, Inc., including leading Internal Communications and Employee Engagement from October 2012 to May 2014 and, prior to that, leading Product Communications from September 2010 to October 2012. From April 2003 to August 2010, Ms. Kalmar held roles of increasing responsibility for Internal and External Communications and Patient Advocacy for Genentech, Inc., a biotechnology company. Ms. Kalmar holds a B.S. in Journalism from California Polytechnic State University, San Luis Obispo, California.</w:t>
      </w:r>
    </w:p>
    <w:p>
      <w:pPr>
        <w:spacing w:after="0" w:line="70"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b w:val="1"/>
          <w:bCs w:val="1"/>
          <w:i w:val="1"/>
          <w:iCs w:val="1"/>
          <w:color w:val="auto"/>
        </w:rPr>
        <w:t>Meena, Ph.D.</w:t>
      </w:r>
      <w:r>
        <w:rPr>
          <w:rFonts w:ascii="Arial" w:cs="Arial" w:eastAsia="Arial" w:hAnsi="Arial"/>
          <w:sz w:val="17"/>
          <w:szCs w:val="17"/>
          <w:color w:val="auto"/>
        </w:rPr>
        <w:t>, has served as our Vice President of Bioanalytical, DMPK and Biomarker Development since April 2018. Prior to joining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Meena served at Wave Life Sciences Ltd., a biopharmaceutical company, from March 2010 to March 2018, where most recently she was Senior Director of Bioanalytical, Pharmacology, and Biomarker Development. From July 2006 to January 2010, Ms. Meena served at Alnylam Pharmaceuticals, Inc., a biopharmaceutical company, as a scientist supporting drug discovery. Ms. Meena holds a B.S. from S.R. Govt. College for Women, B.Ed. from the D.A.V. College of Education for Women, Amritsar, an M.S. in Chemistry from Khalsa College, Amritsar, and a Ph.D. in Chemistry from the National Chemical Laboratory, Pune, India.</w:t>
      </w:r>
    </w:p>
    <w:p>
      <w:pPr>
        <w:spacing w:after="0" w:line="70"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b w:val="1"/>
          <w:bCs w:val="1"/>
          <w:i w:val="1"/>
          <w:iCs w:val="1"/>
          <w:color w:val="auto"/>
        </w:rPr>
        <w:t xml:space="preserve">Shamim Ruff </w:t>
      </w:r>
      <w:r>
        <w:rPr>
          <w:rFonts w:ascii="Arial" w:cs="Arial" w:eastAsia="Arial" w:hAnsi="Arial"/>
          <w:sz w:val="17"/>
          <w:szCs w:val="17"/>
          <w:color w:val="auto"/>
        </w:rPr>
        <w:t>has served as our Senior Vice President of Regulatory Affairs and Quality since December 2018. Prior to joining us, Ms. Ruff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led the Regulatory Affairs and Quality teams at Sarepta Therapeutics, Inc., a medical research and drug development company, where she was Chief Regulatory Affairs Officer and Senior Vice President of Quality from December 2015 to May 2018 and Vice President of Regulatory Affairs and Quality from January 2013 to November 2015. Prior to joining Sarepta Therapeutics, Inc., Ms. Ruff served as Vice President, Head of Global Regulatory Affairs Oncology at Sanofi Genzyme, a biotechnology company, and held senior positions at Amgen Inc., Abbott Laboratories Inc., and AstraZeneca PLC, where she oversaw the development and filings of multiple successful regulatory approvals across the world. Ms. Ruff holds a B.S. in Chemistry and Biology from the University of Leicester, UK and an MSc. in Analytical Chemistry from the University of Loughborough, UK.</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 xml:space="preserve">Nancy M. Wyant </w:t>
      </w:r>
      <w:r>
        <w:rPr>
          <w:rFonts w:ascii="Arial" w:cs="Arial" w:eastAsia="Arial" w:hAnsi="Arial"/>
          <w:sz w:val="17"/>
          <w:szCs w:val="17"/>
          <w:color w:val="auto"/>
        </w:rPr>
        <w:t>has served as our Vice President and Head of Clinical Operations since December 2018. Prior to this appointment,</w:t>
      </w:r>
    </w:p>
    <w:p>
      <w:pPr>
        <w:spacing w:after="0" w:line="25" w:lineRule="exact"/>
        <w:rPr>
          <w:sz w:val="20"/>
          <w:szCs w:val="20"/>
          <w:color w:val="auto"/>
        </w:rPr>
      </w:pPr>
    </w:p>
    <w:p>
      <w:pPr>
        <w:ind w:left="280" w:right="100"/>
        <w:spacing w:after="0" w:line="248" w:lineRule="auto"/>
        <w:rPr>
          <w:sz w:val="20"/>
          <w:szCs w:val="20"/>
          <w:color w:val="auto"/>
        </w:rPr>
      </w:pPr>
      <w:r>
        <w:rPr>
          <w:rFonts w:ascii="Arial" w:cs="Arial" w:eastAsia="Arial" w:hAnsi="Arial"/>
          <w:sz w:val="17"/>
          <w:szCs w:val="17"/>
          <w:color w:val="auto"/>
        </w:rPr>
        <w:t>Ms. Wyant served as an independent clinical program management and operations consultant for us from February 2018 to December 2018. From January 2017 to January 2018, Ms. Wyant served as Vice President of Global Clinical Operations at BeiGene USA, Inc., a biopharmaceutical company. Prior to joining BeiGene USA, Inc., Ms. Wyant served as Vice President of Clinical Operations at Idera Pharmaceuticals, Inc., a biotechnology company, from May 2014 to June 2016, and as Head of Clinical Operations at Sarepta Therapeutics, Inc., a medical research and drug development company, from January 2013 to May 2014. Ms. Wyant holds a B.A. in Psychology from Hartwick College.</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Jennifer C. Burstein, CPA</w:t>
      </w:r>
      <w:r>
        <w:rPr>
          <w:rFonts w:ascii="Arial" w:cs="Arial" w:eastAsia="Arial" w:hAnsi="Arial"/>
          <w:sz w:val="17"/>
          <w:szCs w:val="17"/>
          <w:color w:val="auto"/>
        </w:rPr>
        <w:t>, has served as a member of our board of directors since June 2019. From January 2018 to February 2019,</w:t>
      </w:r>
    </w:p>
    <w:p>
      <w:pPr>
        <w:spacing w:after="0" w:line="25"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Ms. Burstein served as Senior Vice President of Finance and principal financial officer at Loxo Oncology, Inc., a biotechnology company, until its acquisition by Eli Lilly and Company. Ms. Burstein previously served as Vice President of Finance and principal financial officer of Loxo Oncology since May 2015. Prior to Loxo Oncology, Ms. Burstein served as Vice President of Finance at Acorda Therapeutics, Inc., a public biotechnology company, from July 2010 until April 2015, where she held several positions of increasing</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160"/>
          </w:cols>
          <w:pgMar w:left="240" w:top="455"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responsibility in Finance from 2006 until being appointed Vice President of Finance. Prior to joining Acorda, from 2002 to 2006, she was with Eyetech Pharmaceuticals, Inc., a public biotechnology company, which is currently a subsidiary of Valeant Pharmaceuticals International, Inc., where she held several positions of increasing responsibility in Finance until being promoted to Senior Director, Accounting. Before Eyetech, Ms. Burstein worked in the Finance departments at several companies and in public accounting. Ms. Burstein received her B.S. in Business Administration and M.B.A. in Accounting from the State University of New York at Buffalo and has a CPA license in New York. We believe that Ms. Burstein is qualified to serve on our board of directors because of her expertise in financial and accounting matters and her extensive experience in the biotechnology industry.</w:t>
      </w:r>
    </w:p>
    <w:p>
      <w:pPr>
        <w:spacing w:after="0" w:line="73" w:lineRule="exact"/>
        <w:rPr>
          <w:sz w:val="20"/>
          <w:szCs w:val="20"/>
          <w:color w:val="auto"/>
        </w:rPr>
      </w:pPr>
    </w:p>
    <w:p>
      <w:pPr>
        <w:ind w:left="280" w:right="40"/>
        <w:spacing w:after="0" w:line="254" w:lineRule="auto"/>
        <w:rPr>
          <w:sz w:val="20"/>
          <w:szCs w:val="20"/>
          <w:color w:val="auto"/>
        </w:rPr>
      </w:pPr>
      <w:r>
        <w:rPr>
          <w:rFonts w:ascii="Arial" w:cs="Arial" w:eastAsia="Arial" w:hAnsi="Arial"/>
          <w:sz w:val="17"/>
          <w:szCs w:val="17"/>
          <w:b w:val="1"/>
          <w:bCs w:val="1"/>
          <w:i w:val="1"/>
          <w:iCs w:val="1"/>
          <w:color w:val="auto"/>
        </w:rPr>
        <w:t>Adrian R. Krainer, Ph.D.</w:t>
      </w:r>
      <w:r>
        <w:rPr>
          <w:rFonts w:ascii="Arial" w:cs="Arial" w:eastAsia="Arial" w:hAnsi="Arial"/>
          <w:sz w:val="17"/>
          <w:szCs w:val="17"/>
          <w:color w:val="auto"/>
        </w:rPr>
        <w:t>, co-founded Stoke Therapeutics, Inc. and has served as a member of our board of directors since June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Professor Krainer is the St. Giles Professor at Cold Spring Harbor Laboratory, a biological research institution, where he has served since 1986 and where his work led directly to the invention and development of SPINRAZA. Professor Krainer holds a B.A. in Biochemistry from Columbia University and a Ph.D. in Biochemistry from Harvard University. We believe that Professor Krainer is qualified to serve on our board of directors because of his extensive experience in biopharmaceutical research and development and experience in RNA splicing and antisense therapies.</w:t>
      </w:r>
    </w:p>
    <w:p>
      <w:pPr>
        <w:spacing w:after="0" w:line="272" w:lineRule="exact"/>
        <w:rPr>
          <w:sz w:val="20"/>
          <w:szCs w:val="20"/>
          <w:color w:val="auto"/>
        </w:rPr>
      </w:pPr>
    </w:p>
    <w:p>
      <w:pPr>
        <w:ind w:left="280"/>
        <w:spacing w:after="0" w:line="252" w:lineRule="auto"/>
        <w:rPr>
          <w:sz w:val="20"/>
          <w:szCs w:val="20"/>
          <w:color w:val="auto"/>
        </w:rPr>
      </w:pPr>
      <w:r>
        <w:rPr>
          <w:rFonts w:ascii="Arial" w:cs="Arial" w:eastAsia="Arial" w:hAnsi="Arial"/>
          <w:sz w:val="17"/>
          <w:szCs w:val="17"/>
          <w:b w:val="1"/>
          <w:bCs w:val="1"/>
          <w:i w:val="1"/>
          <w:iCs w:val="1"/>
          <w:color w:val="auto"/>
        </w:rPr>
        <w:t>Arthur A. Levin, Ph.D.</w:t>
      </w:r>
      <w:r>
        <w:rPr>
          <w:rFonts w:ascii="Arial" w:cs="Arial" w:eastAsia="Arial" w:hAnsi="Arial"/>
          <w:sz w:val="17"/>
          <w:szCs w:val="17"/>
          <w:color w:val="auto"/>
        </w:rPr>
        <w:t>, has served as a member of our board of directors since September 2015. Since January 2014, Dr. Levin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Executive Vice President of Research and Development at Avidity Biosciences LLC, a biotechnology company. From April 2012 to January 2014, Dr. Levin served as Executive Vice President at miRagen Therapeutics, Inc., an RNA-focused therapeutics company. Prior to joining miRagen Therapeutics, Inc., Dr. Levin served in various senior management positions at Santaris Pharma A/S Corp., a biopharmaceutical company, and Ionis Pharmaceuticals, Inc., a public, RNA-focused biopharmaceutical company. Dr. Levin holds a B.S. in Biology from Muhlenberg College and a Ph.D. in Toxicology from the University of Rochester. We believe that Dr. Levin is qualified to serve on our board of directors because of his industry experience, including his expertise in nucleic-acid-based therapeutics.</w:t>
      </w:r>
    </w:p>
    <w:p>
      <w:pPr>
        <w:spacing w:after="0" w:line="70"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b w:val="1"/>
          <w:bCs w:val="1"/>
          <w:i w:val="1"/>
          <w:iCs w:val="1"/>
          <w:color w:val="auto"/>
        </w:rPr>
        <w:t>Seth L. Harrison, M.D.</w:t>
      </w:r>
      <w:r>
        <w:rPr>
          <w:rFonts w:ascii="Arial" w:cs="Arial" w:eastAsia="Arial" w:hAnsi="Arial"/>
          <w:sz w:val="17"/>
          <w:szCs w:val="17"/>
          <w:color w:val="auto"/>
        </w:rPr>
        <w:t>, has served as the chairman of our board of directors since July 2015. Dr. Harrison serves as Managing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Apple Tree Partners, a venture capital firm, which he founded in 1999. Prior to founding Apple Tree Partners, Dr. Harrison served as a General Partner at Oak Investment Partners, a venture capital and private equity firm, and as a Venture Partner at Sevin Rosen Funds, a technology-focused venture capital firm. Dr. Harrison currently serves as the chairman of the boards of directors of Braeburn Pharmaceuticals, Inc., a pharmaceutical company, Elstar Therapeutics, Inc., an immunotherapy company, and Limelight Bio, Inc., a gene therapy company, as well as several private companies. Dr. Harrison holds an A.B. from Princeton University and an M.D. and M.B.A. from Columbia University. We believe that Dr. Harrison is qualified to serve on our board of directors because of his experience in the life sciences industry, his experience as a venture capitalist, as well as his service on the boards of directors of numerous biopharmaceutical companies.</w:t>
      </w:r>
    </w:p>
    <w:p>
      <w:pPr>
        <w:spacing w:after="0" w:line="71" w:lineRule="exact"/>
        <w:rPr>
          <w:sz w:val="20"/>
          <w:szCs w:val="20"/>
          <w:color w:val="auto"/>
        </w:rPr>
      </w:pPr>
    </w:p>
    <w:p>
      <w:pPr>
        <w:ind w:left="280" w:right="80"/>
        <w:spacing w:after="0" w:line="250" w:lineRule="auto"/>
        <w:rPr>
          <w:sz w:val="20"/>
          <w:szCs w:val="20"/>
          <w:color w:val="auto"/>
        </w:rPr>
      </w:pPr>
      <w:r>
        <w:rPr>
          <w:rFonts w:ascii="Arial" w:cs="Arial" w:eastAsia="Arial" w:hAnsi="Arial"/>
          <w:sz w:val="17"/>
          <w:szCs w:val="17"/>
          <w:b w:val="1"/>
          <w:bCs w:val="1"/>
          <w:i w:val="1"/>
          <w:iCs w:val="1"/>
          <w:color w:val="auto"/>
        </w:rPr>
        <w:t>Samuel W. Hall, Ph.D.</w:t>
      </w:r>
      <w:r>
        <w:rPr>
          <w:rFonts w:ascii="Arial" w:cs="Arial" w:eastAsia="Arial" w:hAnsi="Arial"/>
          <w:sz w:val="17"/>
          <w:szCs w:val="17"/>
          <w:color w:val="auto"/>
        </w:rPr>
        <w:t>, has served as a member of our board of directors since July 2015. Dr. Hall serves as a Partner at Apple Tree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a venture capital firm. From October 2008 until joining Apple Tree Partners in April 2013, Dr. Hall served as a researcher at the University of Cambridge. Previously, Dr. Hall served on the investment team at Symphony Capital, a private equity firm dedicated to investments in biopharmaceutical development, and a member of the healthcare investment banking team at Citigroup Inc., a multinational investment bank. Dr. Hall currently serves on the boards of directors of Elstar Therapeutics, Inc., an immunotherapy company, Limelight Bio, Inc., a gene therapy company, Chinook Therapeutics, Inc., a biotechnology company, and the Burke Neurological Institute, a non-profit research institute. Dr. Hall previously served on the board of directors of Syntimmune, Inc., a biotechnology company, prior to its acquisition by Alexion Pharmaceuticals, Inc. in November 2018. Dr. Hall holds an A.B. in Molecular Biology from Princeton University and an M.Phil. and Ph.D. from the University of Cambridge. We believe that Dr. Hall is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140"/>
          </w:cols>
          <w:pgMar w:left="240" w:top="455"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520"/>
        <w:spacing w:after="0" w:line="262" w:lineRule="auto"/>
        <w:rPr>
          <w:sz w:val="20"/>
          <w:szCs w:val="20"/>
          <w:color w:val="auto"/>
        </w:rPr>
      </w:pPr>
      <w:r>
        <w:rPr>
          <w:rFonts w:ascii="Arial" w:cs="Arial" w:eastAsia="Arial" w:hAnsi="Arial"/>
          <w:sz w:val="17"/>
          <w:szCs w:val="17"/>
          <w:color w:val="auto"/>
        </w:rPr>
        <w:t>qualified to serve on our board of directors because of his experience working with and serving on the boards of directors of various life sciences companies and his experience as a venture capitalist.</w:t>
      </w:r>
    </w:p>
    <w:p>
      <w:pPr>
        <w:spacing w:after="0" w:line="60" w:lineRule="exact"/>
        <w:rPr>
          <w:sz w:val="20"/>
          <w:szCs w:val="20"/>
          <w:color w:val="auto"/>
        </w:rPr>
      </w:pPr>
    </w:p>
    <w:p>
      <w:pPr>
        <w:ind w:left="280" w:right="120"/>
        <w:spacing w:after="0" w:line="251" w:lineRule="auto"/>
        <w:rPr>
          <w:sz w:val="20"/>
          <w:szCs w:val="20"/>
          <w:color w:val="auto"/>
        </w:rPr>
      </w:pPr>
      <w:r>
        <w:rPr>
          <w:rFonts w:ascii="Arial" w:cs="Arial" w:eastAsia="Arial" w:hAnsi="Arial"/>
          <w:sz w:val="17"/>
          <w:szCs w:val="17"/>
          <w:b w:val="1"/>
          <w:bCs w:val="1"/>
          <w:i w:val="1"/>
          <w:iCs w:val="1"/>
          <w:color w:val="auto"/>
        </w:rPr>
        <w:t>Arthur O. Tzianabos, Ph.D.</w:t>
      </w:r>
      <w:r>
        <w:rPr>
          <w:rFonts w:ascii="Arial" w:cs="Arial" w:eastAsia="Arial" w:hAnsi="Arial"/>
          <w:sz w:val="17"/>
          <w:szCs w:val="17"/>
          <w:color w:val="auto"/>
        </w:rPr>
        <w:t>, has served as a member of our board of directors since September 2018. Since April 2016, Dr. Tzianabos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President and Chief Executive Officer at Homology Medicines, Inc., a genetic medicines company. Prior to joining Homology Medicines, Inc., Dr. Tzianabos served as President and Chief Scientific Officer at OvaScience, Inc., a biotechnology company, from September 2013 to March 2016. Previously, Dr. Tzianabos served in various senior management positions at Shire Plc, a pharmaceutical company, and as a professor at Harvard Medical School. Dr. Tzianabos serves on the board of directors of Akouos, Inc., a private biotechnology company. Dr. Tzianabos holds a B.S. in Biology from Boston College and a Ph.D. in Microbiology from the University of New Hampshire. We believe that Dr. Tzianabos is qualified to serve on our board of directors because of his executive and clinical experience, as well as his extensive involvement in the biotechnology industry.</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Election of officers</w:t>
      </w:r>
    </w:p>
    <w:p>
      <w:pPr>
        <w:spacing w:after="0" w:line="141"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Our executive officers are appointed by, and serve at the discretion of, our board of directors. There are no family relationships among any of our directors or executive officers.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Board composition</w:t>
      </w:r>
    </w:p>
    <w:p>
      <w:pPr>
        <w:spacing w:after="0" w:line="141"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Our board of directors currently consists of seven members. Six of our directors are independent within the meaning of the independent director guidelines of Nasdaq. Pursuant to our current voting agreement and certificate of incorporation, Adrian R. Krainer, Seth L. Harrison, Samuel W. Hall, Arthur A. Levin, Arthur O. Tzianabos, Jennifer C. Burstein and Edward M. Kaye have been designated to serve as members of our board of directors. Adrian R. Krainer and Edward M. Kaye were elected by the holders of our common stock and are representatives of the common shareholders. Seth L. Harrison and Samuel W. Hall were elected by the holders of our Series A convertible preferred stock and are representatives of the preferred shareholders. Arthur A. Levin was elected by the holders of our common stock and the Series A convertible preferred stock, voting together as a single class on an as-converted basis. Arthur O. Tzianabos and Jennifer C. Burstein were elected by the holders of our common stock and convertible preferred stock, voting together as a single class on an as-converted basis.</w:t>
      </w:r>
    </w:p>
    <w:p>
      <w:pPr>
        <w:spacing w:after="0" w:line="97" w:lineRule="exact"/>
        <w:rPr>
          <w:sz w:val="20"/>
          <w:szCs w:val="20"/>
          <w:color w:val="auto"/>
        </w:rPr>
      </w:pPr>
    </w:p>
    <w:p>
      <w:pPr>
        <w:ind w:left="280" w:right="40"/>
        <w:spacing w:after="0" w:line="250" w:lineRule="auto"/>
        <w:rPr>
          <w:sz w:val="20"/>
          <w:szCs w:val="20"/>
          <w:color w:val="auto"/>
        </w:rPr>
      </w:pPr>
      <w:r>
        <w:rPr>
          <w:rFonts w:ascii="Arial" w:cs="Arial" w:eastAsia="Arial" w:hAnsi="Arial"/>
          <w:sz w:val="17"/>
          <w:szCs w:val="17"/>
          <w:color w:val="auto"/>
        </w:rPr>
        <w:t>Arthur A. Levin and Arthur O. Tzianabos, were mutually agreed upon to serve on the board of directors by the representatives of the common shares and the representatives of the preferred shares. Jennifer C. Burstein was nominated by the full board of directors and mutually agreed upon by the holders of a majority of the Series B convertible preferred stock. Adrian R. Krainer, Edward M. Kaye, Jennifer C. Burstein, Arthur A. Levin and Arthur O. Tzianabos do not own preferred shares and are not affiliated with, and are independent of, the preferred shareholders.</w:t>
      </w:r>
    </w:p>
    <w:p>
      <w:pPr>
        <w:spacing w:after="0" w:line="292" w:lineRule="exact"/>
        <w:rPr>
          <w:sz w:val="20"/>
          <w:szCs w:val="20"/>
          <w:color w:val="auto"/>
        </w:rPr>
      </w:pPr>
    </w:p>
    <w:p>
      <w:pPr>
        <w:ind w:left="280"/>
        <w:spacing w:after="0" w:line="252" w:lineRule="auto"/>
        <w:rPr>
          <w:sz w:val="20"/>
          <w:szCs w:val="20"/>
          <w:color w:val="auto"/>
        </w:rPr>
      </w:pPr>
      <w:r>
        <w:rPr>
          <w:rFonts w:ascii="Arial" w:cs="Arial" w:eastAsia="Arial" w:hAnsi="Arial"/>
          <w:sz w:val="17"/>
          <w:szCs w:val="17"/>
          <w:color w:val="auto"/>
        </w:rPr>
        <w:t>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Classified board of directors</w:t>
      </w:r>
    </w:p>
    <w:p>
      <w:pPr>
        <w:spacing w:after="0" w:line="141"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Upon the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02" w:lineRule="exact"/>
        <w:rPr>
          <w:sz w:val="20"/>
          <w:szCs w:val="20"/>
          <w:color w:val="auto"/>
        </w:rPr>
      </w:pPr>
    </w:p>
    <w:p>
      <w:pPr>
        <w:ind w:left="480" w:hanging="207"/>
        <w:spacing w:after="0" w:line="262" w:lineRule="auto"/>
        <w:tabs>
          <w:tab w:leader="none" w:pos="4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Class I directors will be Samuel W. Hall and Adrian R. Krainer and their terms will expire at the first annual meeting of stockholders held following the completion of the offering;</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140"/>
          </w:cols>
          <w:pgMar w:left="240" w:top="455"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920" w:hanging="207"/>
        <w:spacing w:after="0" w:line="262" w:lineRule="auto"/>
        <w:tabs>
          <w:tab w:leader="none" w:pos="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Class II directors will be Jennifer C. Burstein and Arthur A. Levin and their terms will expire at the second annual meeting of stockholders held following the completion of the offering; and</w:t>
      </w:r>
    </w:p>
    <w:p>
      <w:pPr>
        <w:spacing w:after="0" w:line="93" w:lineRule="exact"/>
        <w:rPr>
          <w:rFonts w:ascii="Arial" w:cs="Arial" w:eastAsia="Arial" w:hAnsi="Arial"/>
          <w:sz w:val="17"/>
          <w:szCs w:val="17"/>
          <w:color w:val="auto"/>
        </w:rPr>
      </w:pPr>
    </w:p>
    <w:p>
      <w:pPr>
        <w:ind w:left="480" w:hanging="207"/>
        <w:spacing w:after="0" w:line="262" w:lineRule="auto"/>
        <w:tabs>
          <w:tab w:leader="none" w:pos="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Class III directors will be Edward M. Kaye, Seth L. Harrison and Arthur Tzianabos and their terms will expire at the third annual meeting of stockholders held following the completion of the offering.</w:t>
      </w:r>
    </w:p>
    <w:p>
      <w:pPr>
        <w:spacing w:after="0" w:line="80"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restated certificate of incorporation and restated bylaws that will be in effect upon the completion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entitled “Description of capital stock—Anti-takeover provisions—Restated certificate of incorporation and restated bylaw provisions.”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Director independence</w:t>
      </w:r>
    </w:p>
    <w:p>
      <w:pPr>
        <w:spacing w:after="0" w:line="14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After the completion of this offering, an entity affiliated with Apple Tree Partners will beneficially own a majority of the voting power of all outstanding shares of our common stock. As a result, after the filing of our restated certificate of incorporation and the automatic termination of the amended and restated voting agreement as of the closing of this offering, we will be a “controlled company” within the meaning of the corporate governance standards of Nasdaq. We will remain a “controlled company” so long as more than 50% of the voting power for the election of directors is held by Apple Tree Partners. However, we do not intend to avail ourselves of the controlled company exemptions under the Nasdaq listing rules.</w:t>
      </w:r>
    </w:p>
    <w:p>
      <w:pPr>
        <w:spacing w:after="0" w:line="95" w:lineRule="exact"/>
        <w:rPr>
          <w:sz w:val="20"/>
          <w:szCs w:val="20"/>
          <w:color w:val="auto"/>
        </w:rPr>
      </w:pPr>
    </w:p>
    <w:p>
      <w:pPr>
        <w:jc w:val="both"/>
        <w:ind w:left="280" w:right="60"/>
        <w:spacing w:after="0" w:line="249" w:lineRule="auto"/>
        <w:rPr>
          <w:sz w:val="20"/>
          <w:szCs w:val="20"/>
          <w:color w:val="auto"/>
        </w:rPr>
      </w:pPr>
      <w:r>
        <w:rPr>
          <w:rFonts w:ascii="Arial" w:cs="Arial" w:eastAsia="Arial" w:hAnsi="Arial"/>
          <w:sz w:val="17"/>
          <w:szCs w:val="17"/>
          <w:color w:val="auto"/>
        </w:rPr>
        <w:t>Under the rules of Nasdaq, independent directors must comprise a majority of a listed company’s board of directors within a specified period following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93" w:lineRule="exact"/>
        <w:rPr>
          <w:sz w:val="20"/>
          <w:szCs w:val="20"/>
          <w:color w:val="auto"/>
        </w:rPr>
      </w:pPr>
    </w:p>
    <w:p>
      <w:pPr>
        <w:ind w:left="280" w:right="140"/>
        <w:spacing w:after="0" w:line="248"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completion of this offering. Additionally, compensation committee members must not have a relationship with us that is material to the director’s ability to be independent from management in connection with the duties of a compensation committee member.</w:t>
      </w:r>
    </w:p>
    <w:p>
      <w:pPr>
        <w:spacing w:after="0" w:line="293" w:lineRule="exact"/>
        <w:rPr>
          <w:sz w:val="20"/>
          <w:szCs w:val="20"/>
          <w:color w:val="auto"/>
        </w:rPr>
      </w:pPr>
    </w:p>
    <w:p>
      <w:pPr>
        <w:ind w:left="280" w:right="120"/>
        <w:spacing w:after="0" w:line="247"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for Edward M. Kaye, M.D.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relationships as the may relate to us and our management, including the beneficial ownership of our capital stock by each non-employee director and then transactions involving them described in the section entitled “Certain relationships and related party transactions.”</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140"/>
          </w:cols>
          <w:pgMar w:left="240" w:top="455"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Committees of the board of directors</w:t>
      </w:r>
    </w:p>
    <w:p>
      <w:pPr>
        <w:spacing w:after="0" w:line="141" w:lineRule="exact"/>
        <w:rPr>
          <w:sz w:val="20"/>
          <w:szCs w:val="20"/>
          <w:color w:val="auto"/>
        </w:rPr>
      </w:pPr>
    </w:p>
    <w:p>
      <w:pPr>
        <w:ind w:left="280" w:right="220"/>
        <w:spacing w:after="0" w:line="249" w:lineRule="auto"/>
        <w:rPr>
          <w:sz w:val="20"/>
          <w:szCs w:val="20"/>
          <w:color w:val="auto"/>
        </w:rPr>
      </w:pPr>
      <w:r>
        <w:rPr>
          <w:rFonts w:ascii="Arial" w:cs="Arial" w:eastAsia="Arial" w:hAnsi="Arial"/>
          <w:sz w:val="17"/>
          <w:szCs w:val="17"/>
          <w:color w:val="auto"/>
        </w:rPr>
        <w:t>Our board of directors has an audit committee, a compensation committee and a nominating and governance committee, each of which will have the composition and responsibilities described below as of the completion of this offering. Each of the below committees has a written charter approved by our board of directors. Upon completion of this offering, copies of each charter will be posted on the investor relations section of our website. Members serve on these committees will serve until their resignation or until otherwise determined by our board of directors.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31" w:lineRule="exact"/>
        <w:rPr>
          <w:sz w:val="20"/>
          <w:szCs w:val="20"/>
          <w:color w:val="auto"/>
        </w:rPr>
      </w:pPr>
    </w:p>
    <w:p>
      <w:pPr>
        <w:ind w:left="280" w:right="160"/>
        <w:spacing w:after="0" w:line="248" w:lineRule="auto"/>
        <w:rPr>
          <w:sz w:val="20"/>
          <w:szCs w:val="20"/>
          <w:color w:val="auto"/>
        </w:rPr>
      </w:pPr>
      <w:r>
        <w:rPr>
          <w:rFonts w:ascii="Arial" w:cs="Arial" w:eastAsia="Arial" w:hAnsi="Arial"/>
          <w:sz w:val="17"/>
          <w:szCs w:val="17"/>
          <w:color w:val="auto"/>
        </w:rPr>
        <w:t>Our audit committee is comprised of Arthur Tzianabos, Arthur A. Levin and Jennifer C. Burstein , with Jennifer C. Burstein serving as the chairperson of our audit committee. The composition of our audit committee meets the requirements for independence under the current Nasdaq listing standards and SEC rules and regulations. Each member of our audit committee is financially literate. In addition, our board of directors has determined that Jennifer C. Burstein is an “audit committee financial expert” as defined in Item 407(d)(5)(ii) of Regulation S-K promulgated under the Securities Act of 1933, as amended. This designation does not impose on him or her any duties, obligations or liabilities that are greater than are generally imposed on members of our audit committee and our board of directors. Our audit committee is directly responsible for, among other things:</w:t>
      </w:r>
    </w:p>
    <w:p>
      <w:pPr>
        <w:spacing w:after="0" w:line="106" w:lineRule="exact"/>
        <w:rPr>
          <w:sz w:val="20"/>
          <w:szCs w:val="20"/>
          <w:color w:val="auto"/>
        </w:rPr>
      </w:pPr>
    </w:p>
    <w:p>
      <w:pPr>
        <w:ind w:left="480" w:hanging="207"/>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selecting and hiring our independent registered public accounting firm;</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qualifications, independence and performance of our independent auditors;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preparation of the audit committee report to be included in our annual proxy statement;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w:t>
      </w:r>
    </w:p>
    <w:p>
      <w:pPr>
        <w:spacing w:after="0" w:line="124" w:lineRule="exact"/>
        <w:rPr>
          <w:rFonts w:ascii="Arial" w:cs="Arial" w:eastAsia="Arial" w:hAnsi="Arial"/>
          <w:sz w:val="17"/>
          <w:szCs w:val="17"/>
          <w:color w:val="auto"/>
        </w:rPr>
      </w:pPr>
    </w:p>
    <w:p>
      <w:pPr>
        <w:ind w:left="480" w:right="20" w:hanging="207"/>
        <w:spacing w:after="0" w:line="262" w:lineRule="auto"/>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accounting and financial reporting processes, including our consolidated financial statement audits and the integrity of our consolidated financial statements; and</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and approving related-person transactions.</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31" w:lineRule="exact"/>
        <w:rPr>
          <w:sz w:val="20"/>
          <w:szCs w:val="20"/>
          <w:color w:val="auto"/>
        </w:rPr>
      </w:pPr>
    </w:p>
    <w:p>
      <w:pPr>
        <w:ind w:left="280" w:right="260"/>
        <w:spacing w:after="0" w:line="245" w:lineRule="auto"/>
        <w:rPr>
          <w:sz w:val="20"/>
          <w:szCs w:val="20"/>
          <w:color w:val="auto"/>
        </w:rPr>
      </w:pPr>
      <w:r>
        <w:rPr>
          <w:rFonts w:ascii="Arial" w:cs="Arial" w:eastAsia="Arial" w:hAnsi="Arial"/>
          <w:sz w:val="17"/>
          <w:szCs w:val="17"/>
          <w:color w:val="auto"/>
        </w:rPr>
        <w:t>Our compensation committee is comprised of Seth L. Harrison, Arthur Tzianabos and Arthur A. Levin, with Arthur Tzianabos serving as the chairman of our compensation committee. Each member of our compensation committee is a non-employee director, as defined by</w:t>
      </w:r>
    </w:p>
    <w:p>
      <w:pPr>
        <w:spacing w:after="0" w:line="1" w:lineRule="exact"/>
        <w:rPr>
          <w:sz w:val="20"/>
          <w:szCs w:val="20"/>
          <w:color w:val="auto"/>
        </w:rPr>
      </w:pPr>
    </w:p>
    <w:p>
      <w:pPr>
        <w:ind w:left="280" w:right="200"/>
        <w:spacing w:after="0" w:line="262" w:lineRule="auto"/>
        <w:rPr>
          <w:sz w:val="20"/>
          <w:szCs w:val="20"/>
          <w:color w:val="auto"/>
        </w:rPr>
      </w:pPr>
      <w:r>
        <w:rPr>
          <w:rFonts w:ascii="Arial" w:cs="Arial" w:eastAsia="Arial" w:hAnsi="Arial"/>
          <w:sz w:val="17"/>
          <w:szCs w:val="17"/>
          <w:color w:val="auto"/>
        </w:rPr>
        <w:t>Rule 16b-3 promulgated under the Exchange Act and meets the requirements for independence under the current Nasdaq listing standards and SEC rules and regulations. Our compensation committee is responsible for, among other things:</w:t>
      </w:r>
    </w:p>
    <w:p>
      <w:pPr>
        <w:spacing w:after="0" w:line="93" w:lineRule="exact"/>
        <w:rPr>
          <w:sz w:val="20"/>
          <w:szCs w:val="20"/>
          <w:color w:val="auto"/>
        </w:rPr>
      </w:pPr>
    </w:p>
    <w:p>
      <w:pPr>
        <w:ind w:left="480" w:hanging="207"/>
        <w:spacing w:after="0"/>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evaluating, recommending, approving and reviewing executive officer compensation arrangements, plans, policies and programs;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evaluating and recommending non-employee director compensation arrangements for determination by our board of directors;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administering our cash-based and equity-based compensation plans;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overseeing our compliance with regulatory requirements associated with the compensation of directors, officers and employees.</w:t>
      </w:r>
    </w:p>
    <w:p>
      <w:pPr>
        <w:spacing w:after="0" w:line="91"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Nominating and governance committee</w:t>
      </w:r>
    </w:p>
    <w:p>
      <w:pPr>
        <w:spacing w:after="0" w:line="131"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Our nominating and governance committee is comprised of Seth L. Harrison, Arthur A. Levin and Adrian Krainer, with Seth L. Harrison serving as the chairman of our nominating and governance committee. Each</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140"/>
          </w:cols>
          <w:pgMar w:left="240" w:top="455"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member of our nominating and governance committee meets the requirements for independence under the current Nasdaq listing standards.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nominating and governance committee is responsible for, among other things:</w:t>
      </w:r>
    </w:p>
    <w:p>
      <w:pPr>
        <w:spacing w:after="0" w:line="125" w:lineRule="exact"/>
        <w:rPr>
          <w:sz w:val="20"/>
          <w:szCs w:val="20"/>
          <w:color w:val="auto"/>
        </w:rPr>
      </w:pPr>
    </w:p>
    <w:p>
      <w:pPr>
        <w:ind w:left="480" w:hanging="207"/>
        <w:spacing w:after="0"/>
        <w:tabs>
          <w:tab w:leader="none" w:pos="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identifying, considering and recommending candidates for membership on our board of directors;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overseeing the process of evaluating the performance of our board of directors;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advising our board of directors on other corporate governance matters.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41" w:lineRule="exact"/>
        <w:rPr>
          <w:sz w:val="20"/>
          <w:szCs w:val="20"/>
          <w:color w:val="auto"/>
        </w:rPr>
      </w:pPr>
    </w:p>
    <w:p>
      <w:pPr>
        <w:ind w:left="280" w:right="160"/>
        <w:spacing w:after="0" w:line="251" w:lineRule="auto"/>
        <w:rPr>
          <w:sz w:val="20"/>
          <w:szCs w:val="20"/>
          <w:color w:val="auto"/>
        </w:rPr>
      </w:pPr>
      <w:r>
        <w:rPr>
          <w:rFonts w:ascii="Arial" w:cs="Arial" w:eastAsia="Arial" w:hAnsi="Arial"/>
          <w:sz w:val="17"/>
          <w:szCs w:val="17"/>
          <w:color w:val="auto"/>
        </w:rPr>
        <w:t>None of the members of our compensation committee has at any time been one of our officers or employees, and 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2018. Prior to establishing the compensation committee, our full board of directors made decisions relating to the compensation of our officers.</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Code of business conduct and ethics</w:t>
      </w:r>
    </w:p>
    <w:p>
      <w:pPr>
        <w:spacing w:after="0" w:line="141"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Prior to the completion of this offering, our board of directors will adopt a code of business conduct and ethics that applies to all of our employees, officers and directors, including our Chief Executive Officer, Chief Financial Officer and other executive and senior officers. The full text of our code of business conduct and ethics will be posted on the investor relations section of our website. The reference to our website address in this prospectus does not include or incorporate by reference the information on or accessible through our website into this prospectus. We intend to disclose future amendments to certain provisions of our code of business conduct and ethics, or waivers of these provisions, on our website or in public filings to the extent required by the applicable rules.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Non-employee director compensation</w:t>
      </w:r>
    </w:p>
    <w:p>
      <w:pPr>
        <w:spacing w:after="0" w:line="141" w:lineRule="exact"/>
        <w:rPr>
          <w:sz w:val="20"/>
          <w:szCs w:val="20"/>
          <w:color w:val="auto"/>
        </w:rPr>
      </w:pPr>
    </w:p>
    <w:p>
      <w:pPr>
        <w:ind w:left="280" w:right="340"/>
        <w:spacing w:after="0" w:line="251" w:lineRule="auto"/>
        <w:rPr>
          <w:sz w:val="20"/>
          <w:szCs w:val="20"/>
          <w:color w:val="auto"/>
        </w:rPr>
      </w:pPr>
      <w:r>
        <w:rPr>
          <w:rFonts w:ascii="Arial" w:cs="Arial" w:eastAsia="Arial" w:hAnsi="Arial"/>
          <w:sz w:val="17"/>
          <w:szCs w:val="17"/>
          <w:color w:val="auto"/>
        </w:rPr>
        <w:t>The following table presents the total compensation earned by each of our non-employee directors in the year ended December 31, 2018. Our Chief Executive Officer, Dr. Kaye, receives no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62865</wp:posOffset>
            </wp:positionV>
            <wp:extent cx="690943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auto"/>
              </w:rPr>
              <w:t>Option</w:t>
            </w: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3900" w:type="dxa"/>
            <w:vAlign w:val="bottom"/>
          </w:tcPr>
          <w:p>
            <w:pPr>
              <w:spacing w:after="0"/>
              <w:rPr>
                <w:sz w:val="17"/>
                <w:szCs w:val="17"/>
                <w:color w:val="auto"/>
              </w:rPr>
            </w:pPr>
          </w:p>
        </w:tc>
        <w:tc>
          <w:tcPr>
            <w:tcW w:w="2960" w:type="dxa"/>
            <w:vAlign w:val="bottom"/>
          </w:tcPr>
          <w:p>
            <w:pPr>
              <w:jc w:val="right"/>
              <w:ind w:right="33"/>
              <w:spacing w:after="0"/>
              <w:rPr>
                <w:sz w:val="20"/>
                <w:szCs w:val="20"/>
                <w:color w:val="auto"/>
              </w:rPr>
            </w:pPr>
            <w:r>
              <w:rPr>
                <w:rFonts w:ascii="Arial" w:cs="Arial" w:eastAsia="Arial" w:hAnsi="Arial"/>
                <w:sz w:val="17"/>
                <w:szCs w:val="17"/>
                <w:b w:val="1"/>
                <w:bCs w:val="1"/>
                <w:color w:val="auto"/>
              </w:rPr>
              <w:t>Fees earned</w:t>
            </w: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auto"/>
              </w:rPr>
              <w:t>awards</w:t>
            </w:r>
          </w:p>
        </w:tc>
        <w:tc>
          <w:tcPr>
            <w:tcW w:w="1940" w:type="dxa"/>
            <w:vAlign w:val="bottom"/>
          </w:tcPr>
          <w:p>
            <w:pPr>
              <w:jc w:val="right"/>
              <w:ind w:right="293"/>
              <w:spacing w:after="0"/>
              <w:rPr>
                <w:sz w:val="20"/>
                <w:szCs w:val="20"/>
                <w:color w:val="auto"/>
              </w:rPr>
            </w:pPr>
            <w:r>
              <w:rPr>
                <w:rFonts w:ascii="Arial" w:cs="Arial" w:eastAsia="Arial" w:hAnsi="Arial"/>
                <w:sz w:val="17"/>
                <w:szCs w:val="17"/>
                <w:b w:val="1"/>
                <w:bCs w:val="1"/>
                <w:color w:val="auto"/>
              </w:rPr>
              <w:t>All other</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3900" w:type="dxa"/>
            <w:vAlign w:val="bottom"/>
          </w:tcPr>
          <w:p>
            <w:pPr>
              <w:spacing w:after="0"/>
              <w:rPr>
                <w:sz w:val="17"/>
                <w:szCs w:val="17"/>
                <w:color w:val="auto"/>
              </w:rPr>
            </w:pPr>
          </w:p>
        </w:tc>
        <w:tc>
          <w:tcPr>
            <w:tcW w:w="2960" w:type="dxa"/>
            <w:vAlign w:val="bottom"/>
          </w:tcPr>
          <w:p>
            <w:pPr>
              <w:jc w:val="right"/>
              <w:ind w:right="33"/>
              <w:spacing w:after="0"/>
              <w:rPr>
                <w:sz w:val="20"/>
                <w:szCs w:val="20"/>
                <w:color w:val="auto"/>
              </w:rPr>
            </w:pPr>
            <w:r>
              <w:rPr>
                <w:rFonts w:ascii="Arial" w:cs="Arial" w:eastAsia="Arial" w:hAnsi="Arial"/>
                <w:sz w:val="17"/>
                <w:szCs w:val="17"/>
                <w:b w:val="1"/>
                <w:bCs w:val="1"/>
                <w:color w:val="auto"/>
              </w:rPr>
              <w:t>or paid in</w:t>
            </w:r>
          </w:p>
        </w:tc>
        <w:tc>
          <w:tcPr>
            <w:tcW w:w="1120" w:type="dxa"/>
            <w:vAlign w:val="bottom"/>
          </w:tcPr>
          <w:p>
            <w:pPr>
              <w:jc w:val="right"/>
              <w:ind w:right="293"/>
              <w:spacing w:after="0"/>
              <w:rPr>
                <w:sz w:val="20"/>
                <w:szCs w:val="20"/>
                <w:color w:val="auto"/>
              </w:rPr>
            </w:pPr>
            <w:r>
              <w:rPr>
                <w:rFonts w:ascii="Arial" w:cs="Arial" w:eastAsia="Arial" w:hAnsi="Arial"/>
                <w:sz w:val="17"/>
                <w:szCs w:val="17"/>
                <w:b w:val="1"/>
                <w:bCs w:val="1"/>
                <w:color w:val="auto"/>
              </w:rPr>
              <w:t>($)(1)</w:t>
            </w:r>
          </w:p>
        </w:tc>
        <w:tc>
          <w:tcPr>
            <w:tcW w:w="1940" w:type="dxa"/>
            <w:vAlign w:val="bottom"/>
          </w:tcPr>
          <w:p>
            <w:pPr>
              <w:jc w:val="right"/>
              <w:ind w:right="293"/>
              <w:spacing w:after="0"/>
              <w:rPr>
                <w:sz w:val="20"/>
                <w:szCs w:val="20"/>
                <w:color w:val="auto"/>
              </w:rPr>
            </w:pPr>
            <w:r>
              <w:rPr>
                <w:rFonts w:ascii="Arial" w:cs="Arial" w:eastAsia="Arial" w:hAnsi="Arial"/>
                <w:sz w:val="17"/>
                <w:szCs w:val="17"/>
                <w:b w:val="1"/>
                <w:bCs w:val="1"/>
                <w:color w:val="auto"/>
              </w:rPr>
              <w:t>compensation</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3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29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cash ($)</w:t>
            </w: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w:t>
            </w:r>
          </w:p>
        </w:tc>
        <w:tc>
          <w:tcPr>
            <w:tcW w:w="19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Total ($)</w:t>
            </w:r>
          </w:p>
        </w:tc>
      </w:tr>
      <w:tr>
        <w:trPr>
          <w:trHeight w:val="193"/>
        </w:trPr>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Adrian R. Krainer, Ph.D.</w:t>
            </w:r>
          </w:p>
        </w:tc>
        <w:tc>
          <w:tcPr>
            <w:tcW w:w="296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93"/>
              <w:spacing w:after="0" w:line="194" w:lineRule="exact"/>
              <w:rPr>
                <w:sz w:val="20"/>
                <w:szCs w:val="20"/>
                <w:color w:val="auto"/>
              </w:rPr>
            </w:pPr>
            <w:r>
              <w:rPr>
                <w:rFonts w:ascii="Arial" w:cs="Arial" w:eastAsia="Arial" w:hAnsi="Arial"/>
                <w:sz w:val="17"/>
                <w:szCs w:val="17"/>
                <w:color w:val="auto"/>
              </w:rPr>
              <w:t>88,734</w:t>
            </w:r>
          </w:p>
        </w:tc>
        <w:tc>
          <w:tcPr>
            <w:tcW w:w="1940" w:type="dxa"/>
            <w:vAlign w:val="bottom"/>
            <w:shd w:val="clear" w:color="auto" w:fill="CCEEFF"/>
          </w:tcPr>
          <w:p>
            <w:pPr>
              <w:jc w:val="right"/>
              <w:ind w:right="153"/>
              <w:spacing w:after="0" w:line="194" w:lineRule="exact"/>
              <w:rPr>
                <w:sz w:val="20"/>
                <w:szCs w:val="20"/>
                <w:color w:val="auto"/>
              </w:rPr>
            </w:pPr>
            <w:r>
              <w:rPr>
                <w:rFonts w:ascii="Arial" w:cs="Arial" w:eastAsia="Arial" w:hAnsi="Arial"/>
                <w:sz w:val="17"/>
                <w:szCs w:val="17"/>
                <w:color w:val="auto"/>
              </w:rPr>
              <w:t>100,000</w:t>
            </w:r>
            <w:r>
              <w:rPr>
                <w:rFonts w:ascii="Arial" w:cs="Arial" w:eastAsia="Arial" w:hAnsi="Arial"/>
                <w:sz w:val="11"/>
                <w:szCs w:val="11"/>
                <w:color w:val="auto"/>
              </w:rPr>
              <w:t>(3)</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188,734</w:t>
            </w:r>
          </w:p>
        </w:tc>
        <w:tc>
          <w:tcPr>
            <w:tcW w:w="60" w:type="dxa"/>
            <w:vAlign w:val="bottom"/>
            <w:shd w:val="clear" w:color="auto" w:fill="CCEEFF"/>
          </w:tcPr>
          <w:p>
            <w:pPr>
              <w:spacing w:after="0"/>
              <w:rPr>
                <w:sz w:val="16"/>
                <w:szCs w:val="16"/>
                <w:color w:val="auto"/>
              </w:rPr>
            </w:pPr>
          </w:p>
        </w:tc>
      </w:tr>
      <w:tr>
        <w:trPr>
          <w:trHeight w:val="200"/>
        </w:trPr>
        <w:tc>
          <w:tcPr>
            <w:tcW w:w="3900" w:type="dxa"/>
            <w:vAlign w:val="bottom"/>
          </w:tcPr>
          <w:p>
            <w:pPr>
              <w:spacing w:after="0"/>
              <w:rPr>
                <w:sz w:val="20"/>
                <w:szCs w:val="20"/>
                <w:color w:val="auto"/>
              </w:rPr>
            </w:pPr>
            <w:r>
              <w:rPr>
                <w:rFonts w:ascii="Arial" w:cs="Arial" w:eastAsia="Arial" w:hAnsi="Arial"/>
                <w:sz w:val="17"/>
                <w:szCs w:val="17"/>
                <w:color w:val="auto"/>
              </w:rPr>
              <w:t>Arthur A. Levin, Ph.D.</w:t>
            </w:r>
          </w:p>
        </w:tc>
        <w:tc>
          <w:tcPr>
            <w:tcW w:w="2960" w:type="dxa"/>
            <w:vAlign w:val="bottom"/>
          </w:tcPr>
          <w:p>
            <w:pPr>
              <w:jc w:val="right"/>
              <w:ind w:right="33"/>
              <w:spacing w:after="0"/>
              <w:rPr>
                <w:sz w:val="20"/>
                <w:szCs w:val="20"/>
                <w:color w:val="auto"/>
              </w:rPr>
            </w:pPr>
            <w:r>
              <w:rPr>
                <w:rFonts w:ascii="Arial" w:cs="Arial" w:eastAsia="Arial" w:hAnsi="Arial"/>
                <w:sz w:val="17"/>
                <w:szCs w:val="17"/>
                <w:color w:val="auto"/>
              </w:rPr>
              <w:t>30,000</w:t>
            </w:r>
          </w:p>
        </w:tc>
        <w:tc>
          <w:tcPr>
            <w:tcW w:w="1120" w:type="dxa"/>
            <w:vAlign w:val="bottom"/>
          </w:tcPr>
          <w:p>
            <w:pPr>
              <w:jc w:val="right"/>
              <w:ind w:right="293"/>
              <w:spacing w:after="0"/>
              <w:rPr>
                <w:sz w:val="20"/>
                <w:szCs w:val="20"/>
                <w:color w:val="auto"/>
              </w:rPr>
            </w:pPr>
            <w:r>
              <w:rPr>
                <w:rFonts w:ascii="Arial" w:cs="Arial" w:eastAsia="Arial" w:hAnsi="Arial"/>
                <w:sz w:val="17"/>
                <w:szCs w:val="17"/>
                <w:color w:val="auto"/>
              </w:rPr>
              <w:t>36,536</w:t>
            </w:r>
          </w:p>
        </w:tc>
        <w:tc>
          <w:tcPr>
            <w:tcW w:w="194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66,536</w:t>
            </w:r>
          </w:p>
        </w:tc>
      </w:tr>
      <w:tr>
        <w:trPr>
          <w:trHeight w:val="200"/>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Seth L. Harrison, M.D.</w:t>
            </w:r>
          </w:p>
        </w:tc>
        <w:tc>
          <w:tcPr>
            <w:tcW w:w="29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0"/>
        </w:trPr>
        <w:tc>
          <w:tcPr>
            <w:tcW w:w="3900" w:type="dxa"/>
            <w:vAlign w:val="bottom"/>
          </w:tcPr>
          <w:p>
            <w:pPr>
              <w:spacing w:after="0"/>
              <w:rPr>
                <w:sz w:val="20"/>
                <w:szCs w:val="20"/>
                <w:color w:val="auto"/>
              </w:rPr>
            </w:pPr>
            <w:r>
              <w:rPr>
                <w:rFonts w:ascii="Arial" w:cs="Arial" w:eastAsia="Arial" w:hAnsi="Arial"/>
                <w:sz w:val="17"/>
                <w:szCs w:val="17"/>
                <w:color w:val="auto"/>
              </w:rPr>
              <w:t>Samuel W. Hall, Ph.D.</w:t>
            </w:r>
          </w:p>
        </w:tc>
        <w:tc>
          <w:tcPr>
            <w:tcW w:w="29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0"/>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Arthur O. Tzianabos, Ph.D.</w:t>
            </w:r>
          </w:p>
        </w:tc>
        <w:tc>
          <w:tcPr>
            <w:tcW w:w="29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7,500</w:t>
            </w:r>
          </w:p>
        </w:tc>
        <w:tc>
          <w:tcPr>
            <w:tcW w:w="11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79,206</w:t>
            </w:r>
          </w:p>
        </w:tc>
        <w:tc>
          <w:tcPr>
            <w:tcW w:w="194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86,706</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 w:lineRule="exact"/>
        <w:rPr>
          <w:sz w:val="20"/>
          <w:szCs w:val="20"/>
          <w:color w:val="auto"/>
        </w:rPr>
      </w:pPr>
    </w:p>
    <w:p>
      <w:pPr>
        <w:ind w:left="600" w:right="20" w:hanging="327"/>
        <w:spacing w:after="0" w:line="241" w:lineRule="auto"/>
        <w:tabs>
          <w:tab w:leader="none" w:pos="6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amounts reported in this column represent the aggregate grant date fair value of the awards granted under our 2014 Plan to our directors during the year ended December 31, 2018 as computed in accordance with FASB ASC Topic 718. The assumptions used in calculating the grant date fair value of the awards reported in the Option Awards column are set forth in Note 10 to our consolidated financial statements included elsewhere in this prospectus. Note that the amounts reported in this column reflect the aggregate accounting cost for these awards, and do not necessarily correspond to the actual economic value that may be received by the director from the awards.</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160"/>
          </w:cols>
          <w:pgMar w:left="240" w:top="455"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600" w:hanging="327"/>
        <w:spacing w:after="0"/>
        <w:tabs>
          <w:tab w:leader="none" w:pos="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following table sets forth the aggregate number of shares of our common stock subject to outstanding options held by our non-employee directors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74930</wp:posOffset>
            </wp:positionV>
            <wp:extent cx="66979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97980" cy="17145"/>
                    </a:xfrm>
                    <a:prstGeom prst="rect">
                      <a:avLst/>
                    </a:prstGeom>
                    <a:noFill/>
                  </pic:spPr>
                </pic:pic>
              </a:graphicData>
            </a:graphic>
          </wp:anchor>
        </w:drawing>
      </w:r>
    </w:p>
    <w:p>
      <w:pPr>
        <w:spacing w:after="0" w:line="145"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49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Number of shares</w:t>
            </w:r>
          </w:p>
        </w:tc>
      </w:tr>
      <w:tr>
        <w:trPr>
          <w:trHeight w:val="147"/>
        </w:trPr>
        <w:tc>
          <w:tcPr>
            <w:tcW w:w="5580" w:type="dxa"/>
            <w:vAlign w:val="bottom"/>
          </w:tcPr>
          <w:p>
            <w:pPr>
              <w:spacing w:after="0"/>
              <w:rPr>
                <w:sz w:val="12"/>
                <w:szCs w:val="12"/>
                <w:color w:val="auto"/>
              </w:rPr>
            </w:pPr>
          </w:p>
        </w:tc>
        <w:tc>
          <w:tcPr>
            <w:tcW w:w="4980" w:type="dxa"/>
            <w:vAlign w:val="bottom"/>
            <w:gridSpan w:val="2"/>
          </w:tcPr>
          <w:p>
            <w:pPr>
              <w:jc w:val="right"/>
              <w:ind w:right="40"/>
              <w:spacing w:after="0" w:line="147" w:lineRule="exact"/>
              <w:rPr>
                <w:sz w:val="20"/>
                <w:szCs w:val="20"/>
                <w:color w:val="auto"/>
              </w:rPr>
            </w:pPr>
            <w:r>
              <w:rPr>
                <w:rFonts w:ascii="Arial" w:cs="Arial" w:eastAsia="Arial" w:hAnsi="Arial"/>
                <w:sz w:val="13"/>
                <w:szCs w:val="13"/>
                <w:b w:val="1"/>
                <w:bCs w:val="1"/>
                <w:color w:val="auto"/>
              </w:rPr>
              <w:t>underlying</w:t>
            </w:r>
          </w:p>
        </w:tc>
      </w:tr>
      <w:tr>
        <w:trPr>
          <w:trHeight w:val="147"/>
        </w:trPr>
        <w:tc>
          <w:tcPr>
            <w:tcW w:w="5580" w:type="dxa"/>
            <w:vAlign w:val="bottom"/>
          </w:tcPr>
          <w:p>
            <w:pPr>
              <w:spacing w:after="0"/>
              <w:rPr>
                <w:sz w:val="12"/>
                <w:szCs w:val="12"/>
                <w:color w:val="auto"/>
              </w:rPr>
            </w:pPr>
          </w:p>
        </w:tc>
        <w:tc>
          <w:tcPr>
            <w:tcW w:w="4980" w:type="dxa"/>
            <w:vAlign w:val="bottom"/>
            <w:gridSpan w:val="2"/>
          </w:tcPr>
          <w:p>
            <w:pPr>
              <w:jc w:val="right"/>
              <w:ind w:right="40"/>
              <w:spacing w:after="0" w:line="147" w:lineRule="exact"/>
              <w:rPr>
                <w:sz w:val="20"/>
                <w:szCs w:val="20"/>
                <w:color w:val="auto"/>
              </w:rPr>
            </w:pPr>
            <w:r>
              <w:rPr>
                <w:rFonts w:ascii="Arial" w:cs="Arial" w:eastAsia="Arial" w:hAnsi="Arial"/>
                <w:sz w:val="13"/>
                <w:szCs w:val="13"/>
                <w:b w:val="1"/>
                <w:bCs w:val="1"/>
                <w:color w:val="auto"/>
              </w:rPr>
              <w:t>options held as</w:t>
            </w:r>
          </w:p>
        </w:tc>
      </w:tr>
      <w:tr>
        <w:trPr>
          <w:trHeight w:val="147"/>
        </w:trPr>
        <w:tc>
          <w:tcPr>
            <w:tcW w:w="5580" w:type="dxa"/>
            <w:vAlign w:val="bottom"/>
          </w:tcPr>
          <w:p>
            <w:pPr>
              <w:spacing w:after="0"/>
              <w:rPr>
                <w:sz w:val="12"/>
                <w:szCs w:val="12"/>
                <w:color w:val="auto"/>
              </w:rPr>
            </w:pPr>
          </w:p>
        </w:tc>
        <w:tc>
          <w:tcPr>
            <w:tcW w:w="4980" w:type="dxa"/>
            <w:vAlign w:val="bottom"/>
            <w:gridSpan w:val="2"/>
          </w:tcPr>
          <w:p>
            <w:pPr>
              <w:jc w:val="right"/>
              <w:ind w:right="40"/>
              <w:spacing w:after="0" w:line="147" w:lineRule="exact"/>
              <w:rPr>
                <w:sz w:val="20"/>
                <w:szCs w:val="20"/>
                <w:color w:val="auto"/>
              </w:rPr>
            </w:pPr>
            <w:r>
              <w:rPr>
                <w:rFonts w:ascii="Arial" w:cs="Arial" w:eastAsia="Arial" w:hAnsi="Arial"/>
                <w:sz w:val="13"/>
                <w:szCs w:val="13"/>
                <w:b w:val="1"/>
                <w:bCs w:val="1"/>
                <w:color w:val="auto"/>
              </w:rPr>
              <w:t>of December 31,</w:t>
            </w:r>
          </w:p>
        </w:tc>
      </w:tr>
      <w:tr>
        <w:trPr>
          <w:trHeight w:val="163"/>
        </w:trPr>
        <w:tc>
          <w:tcPr>
            <w:tcW w:w="5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Director name</w:t>
            </w:r>
          </w:p>
        </w:tc>
        <w:tc>
          <w:tcPr>
            <w:tcW w:w="4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2018(1)</w:t>
            </w:r>
          </w:p>
        </w:tc>
      </w:tr>
      <w:tr>
        <w:trPr>
          <w:trHeight w:val="140"/>
        </w:trPr>
        <w:tc>
          <w:tcPr>
            <w:tcW w:w="55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Adrian R. Krainer, Ph.D.(2)</w:t>
            </w:r>
          </w:p>
        </w:tc>
        <w:tc>
          <w:tcPr>
            <w:tcW w:w="49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217,711</w:t>
            </w:r>
          </w:p>
        </w:tc>
        <w:tc>
          <w:tcPr>
            <w:tcW w:w="40" w:type="dxa"/>
            <w:vAlign w:val="bottom"/>
            <w:shd w:val="clear" w:color="auto" w:fill="CCEEFF"/>
          </w:tcPr>
          <w:p>
            <w:pPr>
              <w:spacing w:after="0"/>
              <w:rPr>
                <w:sz w:val="12"/>
                <w:szCs w:val="12"/>
                <w:color w:val="auto"/>
              </w:rPr>
            </w:pPr>
          </w:p>
        </w:tc>
      </w:tr>
      <w:tr>
        <w:trPr>
          <w:trHeight w:val="147"/>
        </w:trPr>
        <w:tc>
          <w:tcPr>
            <w:tcW w:w="5580" w:type="dxa"/>
            <w:vAlign w:val="bottom"/>
          </w:tcPr>
          <w:p>
            <w:pPr>
              <w:spacing w:after="0" w:line="147" w:lineRule="exact"/>
              <w:rPr>
                <w:sz w:val="20"/>
                <w:szCs w:val="20"/>
                <w:color w:val="auto"/>
              </w:rPr>
            </w:pPr>
            <w:r>
              <w:rPr>
                <w:rFonts w:ascii="Arial" w:cs="Arial" w:eastAsia="Arial" w:hAnsi="Arial"/>
                <w:sz w:val="13"/>
                <w:szCs w:val="13"/>
                <w:color w:val="auto"/>
              </w:rPr>
              <w:t>Arthur A. Levin, Ph.D.(3)</w:t>
            </w:r>
          </w:p>
        </w:tc>
        <w:tc>
          <w:tcPr>
            <w:tcW w:w="4940" w:type="dxa"/>
            <w:vAlign w:val="bottom"/>
          </w:tcPr>
          <w:p>
            <w:pPr>
              <w:jc w:val="right"/>
              <w:spacing w:after="0" w:line="147" w:lineRule="exact"/>
              <w:rPr>
                <w:sz w:val="20"/>
                <w:szCs w:val="20"/>
                <w:color w:val="auto"/>
              </w:rPr>
            </w:pPr>
            <w:r>
              <w:rPr>
                <w:rFonts w:ascii="Arial" w:cs="Arial" w:eastAsia="Arial" w:hAnsi="Arial"/>
                <w:sz w:val="13"/>
                <w:szCs w:val="13"/>
                <w:color w:val="auto"/>
              </w:rPr>
              <w:t>43,754</w:t>
            </w:r>
          </w:p>
        </w:tc>
        <w:tc>
          <w:tcPr>
            <w:tcW w:w="40" w:type="dxa"/>
            <w:vAlign w:val="bottom"/>
          </w:tcPr>
          <w:p>
            <w:pPr>
              <w:spacing w:after="0"/>
              <w:rPr>
                <w:sz w:val="12"/>
                <w:szCs w:val="12"/>
                <w:color w:val="auto"/>
              </w:rPr>
            </w:pPr>
          </w:p>
        </w:tc>
      </w:tr>
      <w:tr>
        <w:trPr>
          <w:trHeight w:val="147"/>
        </w:trPr>
        <w:tc>
          <w:tcPr>
            <w:tcW w:w="55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Seth L. Harrison, M.D.</w:t>
            </w:r>
          </w:p>
        </w:tc>
        <w:tc>
          <w:tcPr>
            <w:tcW w:w="49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w:t>
            </w:r>
          </w:p>
        </w:tc>
      </w:tr>
      <w:tr>
        <w:trPr>
          <w:trHeight w:val="147"/>
        </w:trPr>
        <w:tc>
          <w:tcPr>
            <w:tcW w:w="5580" w:type="dxa"/>
            <w:vAlign w:val="bottom"/>
          </w:tcPr>
          <w:p>
            <w:pPr>
              <w:spacing w:after="0" w:line="147" w:lineRule="exact"/>
              <w:rPr>
                <w:sz w:val="20"/>
                <w:szCs w:val="20"/>
                <w:color w:val="auto"/>
              </w:rPr>
            </w:pPr>
            <w:r>
              <w:rPr>
                <w:rFonts w:ascii="Arial" w:cs="Arial" w:eastAsia="Arial" w:hAnsi="Arial"/>
                <w:sz w:val="13"/>
                <w:szCs w:val="13"/>
                <w:color w:val="auto"/>
              </w:rPr>
              <w:t>Samuel W. Hall, Ph.D.</w:t>
            </w:r>
          </w:p>
        </w:tc>
        <w:tc>
          <w:tcPr>
            <w:tcW w:w="49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w:t>
            </w:r>
          </w:p>
        </w:tc>
      </w:tr>
      <w:tr>
        <w:trPr>
          <w:trHeight w:val="147"/>
        </w:trPr>
        <w:tc>
          <w:tcPr>
            <w:tcW w:w="55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Arthur O. Tzianabos, Ph.D.(4)</w:t>
            </w:r>
          </w:p>
        </w:tc>
        <w:tc>
          <w:tcPr>
            <w:tcW w:w="49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61,739</w:t>
            </w:r>
          </w:p>
        </w:tc>
        <w:tc>
          <w:tcPr>
            <w:tcW w:w="40" w:type="dxa"/>
            <w:vAlign w:val="bottom"/>
            <w:shd w:val="clear" w:color="auto" w:fill="CCEEFF"/>
          </w:tcPr>
          <w:p>
            <w:pPr>
              <w:spacing w:after="0"/>
              <w:rPr>
                <w:sz w:val="12"/>
                <w:szCs w:val="1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6" w:lineRule="exact"/>
        <w:rPr>
          <w:sz w:val="20"/>
          <w:szCs w:val="20"/>
          <w:color w:val="auto"/>
        </w:rPr>
      </w:pPr>
    </w:p>
    <w:p>
      <w:pPr>
        <w:ind w:left="920" w:hanging="327"/>
        <w:spacing w:after="0"/>
        <w:tabs>
          <w:tab w:leader="none" w:pos="9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All of the outstanding equity awards were granted under our 2014 Plan.</w:t>
      </w:r>
    </w:p>
    <w:p>
      <w:pPr>
        <w:spacing w:after="0" w:line="44" w:lineRule="exact"/>
        <w:rPr>
          <w:rFonts w:ascii="Arial" w:cs="Arial" w:eastAsia="Arial" w:hAnsi="Arial"/>
          <w:sz w:val="13"/>
          <w:szCs w:val="13"/>
          <w:color w:val="auto"/>
        </w:rPr>
      </w:pPr>
    </w:p>
    <w:p>
      <w:pPr>
        <w:ind w:left="920" w:right="20" w:hanging="327"/>
        <w:spacing w:after="0" w:line="195" w:lineRule="auto"/>
        <w:tabs>
          <w:tab w:leader="none" w:pos="9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This amount reflects (i) options to purchase 149,112 shares, all of which are fully vested and (ii) options to purchase 68,599 shares, 1/48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which vest monthly following the October 22, 2018 vesting commencement date.</w:t>
      </w:r>
    </w:p>
    <w:p>
      <w:pPr>
        <w:spacing w:after="0" w:line="33" w:lineRule="exact"/>
        <w:rPr>
          <w:rFonts w:ascii="Arial" w:cs="Arial" w:eastAsia="Arial" w:hAnsi="Arial"/>
          <w:sz w:val="13"/>
          <w:szCs w:val="13"/>
          <w:color w:val="auto"/>
        </w:rPr>
      </w:pPr>
    </w:p>
    <w:p>
      <w:pPr>
        <w:ind w:left="920" w:right="80" w:hanging="327"/>
        <w:spacing w:after="0" w:line="215" w:lineRule="auto"/>
        <w:tabs>
          <w:tab w:leader="none" w:pos="920" w:val="left"/>
        </w:tabs>
        <w:numPr>
          <w:ilvl w:val="1"/>
          <w:numId w:val="66"/>
        </w:numPr>
        <w:rPr>
          <w:rFonts w:ascii="Arial" w:cs="Arial" w:eastAsia="Arial" w:hAnsi="Arial"/>
          <w:sz w:val="12"/>
          <w:szCs w:val="12"/>
          <w:color w:val="auto"/>
        </w:rPr>
      </w:pPr>
      <w:r>
        <w:rPr>
          <w:rFonts w:ascii="Arial" w:cs="Arial" w:eastAsia="Arial" w:hAnsi="Arial"/>
          <w:sz w:val="12"/>
          <w:szCs w:val="12"/>
          <w:color w:val="auto"/>
        </w:rPr>
        <w:t>This amount reflects (i) options to purchase 2,775 shares, 1/48</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of which vest monthly following the October 6, 2015 vesting commencement date, (ii) options to purchase 1,841 shares, 1/48</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of which vest monthly following the August 1, 2016 vesting commencement date, (iii) options to purchase 16,645 shares, 1/48</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of which vest monthly following the January 31, 2018 vesting commencement date and (iv) options to purchase 22,493 shares, 1/48</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of which vest monthly following the October 22, 2018 vesting commencement date.</w:t>
      </w:r>
    </w:p>
    <w:p>
      <w:pPr>
        <w:spacing w:after="0" w:line="15" w:lineRule="exact"/>
        <w:rPr>
          <w:rFonts w:ascii="Arial" w:cs="Arial" w:eastAsia="Arial" w:hAnsi="Arial"/>
          <w:sz w:val="12"/>
          <w:szCs w:val="12"/>
          <w:color w:val="auto"/>
        </w:rPr>
      </w:pPr>
    </w:p>
    <w:p>
      <w:pPr>
        <w:ind w:left="920" w:hanging="327"/>
        <w:spacing w:after="0"/>
        <w:tabs>
          <w:tab w:leader="none" w:pos="9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This amount reflects options to purchase 61,739 shares, 1/48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which vest monthly following the September 4, 2018 vesting commencement date.</w:t>
      </w:r>
    </w:p>
    <w:p>
      <w:pPr>
        <w:ind w:left="600" w:right="720" w:hanging="327"/>
        <w:spacing w:after="0" w:line="253" w:lineRule="auto"/>
        <w:tabs>
          <w:tab w:leader="none" w:pos="6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Represents fees paid to Professor Krainer pursuant to Professor Krainer’s consulting agreement. See “Certain relationships and related party transactions—Consulting agreement.”</w:t>
      </w:r>
    </w:p>
    <w:p>
      <w:pPr>
        <w:spacing w:after="0" w:line="89" w:lineRule="exact"/>
        <w:rPr>
          <w:sz w:val="20"/>
          <w:szCs w:val="20"/>
          <w:color w:val="auto"/>
        </w:rPr>
      </w:pPr>
    </w:p>
    <w:p>
      <w:pPr>
        <w:ind w:left="280" w:right="540"/>
        <w:spacing w:after="0" w:line="262" w:lineRule="auto"/>
        <w:rPr>
          <w:sz w:val="20"/>
          <w:szCs w:val="20"/>
          <w:color w:val="auto"/>
        </w:rPr>
      </w:pPr>
      <w:r>
        <w:rPr>
          <w:rFonts w:ascii="Arial" w:cs="Arial" w:eastAsia="Arial" w:hAnsi="Arial"/>
          <w:sz w:val="17"/>
          <w:szCs w:val="17"/>
          <w:color w:val="auto"/>
        </w:rPr>
        <w:t>Prior to this offering, we did not have a formal policy to provide any cash or equity compensation to our non-employee directors for their service on our board of directors or committees of our board of directors.</w:t>
      </w:r>
    </w:p>
    <w:p>
      <w:pPr>
        <w:spacing w:after="0" w:line="80" w:lineRule="exact"/>
        <w:rPr>
          <w:sz w:val="20"/>
          <w:szCs w:val="20"/>
          <w:color w:val="auto"/>
        </w:rPr>
      </w:pPr>
    </w:p>
    <w:p>
      <w:pPr>
        <w:ind w:left="280" w:right="160"/>
        <w:spacing w:after="0" w:line="376" w:lineRule="auto"/>
        <w:rPr>
          <w:sz w:val="20"/>
          <w:szCs w:val="20"/>
          <w:color w:val="auto"/>
        </w:rPr>
      </w:pPr>
      <w:r>
        <w:rPr>
          <w:rFonts w:ascii="Arial" w:cs="Arial" w:eastAsia="Arial" w:hAnsi="Arial"/>
          <w:sz w:val="17"/>
          <w:szCs w:val="17"/>
          <w:color w:val="auto"/>
        </w:rPr>
        <w:t xml:space="preserve">In June 2019, our board of directors approved compensation for our non-employee directors, to be effective upon completion of this offering. </w:t>
      </w:r>
      <w:r>
        <w:rPr>
          <w:rFonts w:ascii="Arial" w:cs="Arial" w:eastAsia="Arial" w:hAnsi="Arial"/>
          <w:sz w:val="17"/>
          <w:szCs w:val="17"/>
          <w:b w:val="1"/>
          <w:bCs w:val="1"/>
          <w:i w:val="1"/>
          <w:iCs w:val="1"/>
          <w:color w:val="auto"/>
        </w:rPr>
        <w:t>Non-Employee Director Cash Compensation</w:t>
      </w:r>
    </w:p>
    <w:p>
      <w:pPr>
        <w:spacing w:after="0" w:line="1" w:lineRule="exact"/>
        <w:rPr>
          <w:sz w:val="20"/>
          <w:szCs w:val="20"/>
          <w:color w:val="auto"/>
        </w:rPr>
      </w:pPr>
    </w:p>
    <w:p>
      <w:pPr>
        <w:ind w:left="280" w:right="140"/>
        <w:spacing w:after="0" w:line="253" w:lineRule="auto"/>
        <w:rPr>
          <w:sz w:val="20"/>
          <w:szCs w:val="20"/>
          <w:color w:val="auto"/>
        </w:rPr>
      </w:pPr>
      <w:r>
        <w:rPr>
          <w:rFonts w:ascii="Arial" w:cs="Arial" w:eastAsia="Arial" w:hAnsi="Arial"/>
          <w:sz w:val="17"/>
          <w:szCs w:val="17"/>
          <w:color w:val="auto"/>
        </w:rPr>
        <w:t>Beginning after this offering, our non-employee directors will receive annual cash compensation of $35,000 for service on the board of directors, and additional cash compensation for the chairperson and committee members as set forth below. All cash payments will be made quarterly in arrears and will be pro-rated for any partial quarters of service.</w:t>
      </w:r>
    </w:p>
    <w:p>
      <w:pPr>
        <w:spacing w:after="0" w:line="102" w:lineRule="exact"/>
        <w:rPr>
          <w:sz w:val="20"/>
          <w:szCs w:val="20"/>
          <w:color w:val="auto"/>
        </w:rPr>
      </w:pPr>
    </w:p>
    <w:p>
      <w:pPr>
        <w:ind w:left="480" w:hanging="207"/>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Board Chairperson: $30,000</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Audit Committee Chair: $15,000</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Audit Committee Member (Non-Chair): $7,500</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Compensation Committee Chair: $10,000</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Compensation Committee Member (Non-Chair): $5,000</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Nominating and Corporate Governance Committee Chair: $8,000</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Nominating and Corporate Governance Committee Member (Non-Chair): $4,000</w:t>
      </w:r>
    </w:p>
    <w:p>
      <w:pPr>
        <w:spacing w:after="0" w:line="91" w:lineRule="exact"/>
        <w:rPr>
          <w:rFonts w:ascii="Arial" w:cs="Arial" w:eastAsia="Arial" w:hAnsi="Arial"/>
          <w:sz w:val="17"/>
          <w:szCs w:val="17"/>
          <w:color w:val="auto"/>
        </w:rPr>
      </w:pPr>
    </w:p>
    <w:p>
      <w:pPr>
        <w:ind w:left="280" w:right="7780"/>
        <w:spacing w:after="0" w:line="388"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Non-Employee Director Equity Grants </w:t>
      </w:r>
      <w:r>
        <w:rPr>
          <w:rFonts w:ascii="Arial" w:cs="Arial" w:eastAsia="Arial" w:hAnsi="Arial"/>
          <w:sz w:val="17"/>
          <w:szCs w:val="17"/>
          <w:i w:val="1"/>
          <w:iCs w:val="1"/>
          <w:color w:val="auto"/>
        </w:rPr>
        <w:t>Initial public offering option grant</w:t>
      </w:r>
    </w:p>
    <w:p>
      <w:pPr>
        <w:spacing w:after="0" w:line="1"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Following this offering, each non-employee director who is serving on the board of directors at the completion of the offering and who continues to serve on the board of directors at the date of grant will be granted 29,555 shares of our common stock, referred to as the Initial IPO Grant. Each Initial IPO Grant will vest in 12 substantially equal installments on each quarterly anniversary of the grant date, subject to the director’s continued service on each applicable vesting date.</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160"/>
          </w:cols>
          <w:pgMar w:left="240" w:top="455"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Initial appointment option grant</w:t>
      </w:r>
    </w:p>
    <w:p>
      <w:pPr>
        <w:spacing w:after="0" w:line="129"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In addition, each non-employee director who is elected or appointed to our board of directors after completion of this offering will, unless the board of directors determines that such grant will not be made automatically, be automatically granted an option to purchase 29,555 shares of our common stock upon the director’s initial appointment to our board of directors, referred to as the Initial Grant. The Initial Grant will vest in 12 substantially equal quarterly installments on each quarterly anniversary of the date of grant, such that the Initial Grant will become fully vested and exercisable on the three-year anniversary of the date of grant, subject to the director’s continued service on each applicable vesting date.</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Annual option grant</w:t>
      </w:r>
    </w:p>
    <w:p>
      <w:pPr>
        <w:spacing w:after="0" w:line="12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Each non-employee director who is serving on our board of directors immediately prior to, and will continue to service on the Board following, our annual meeting of stockholders, will, unless the board of directors determines that such grant will not be made automatically, be automatically granted an option to purchase 14,777 shares of our common stock on the date of such annual meeting of stockholders, referred to as the Annual Grant. Each Annual Grant will vest on the one-year anniversary of the date of grant, such that the Annual Grant will become fully vested and exercisable on the one-year anniversary of the date of grant, or if earlier, the next annual meeting of stockholders, subject to the director’s continued service on the applicable vesting date.</w:t>
      </w:r>
    </w:p>
    <w:p>
      <w:pPr>
        <w:spacing w:after="0" w:line="95" w:lineRule="exact"/>
        <w:rPr>
          <w:sz w:val="20"/>
          <w:szCs w:val="20"/>
          <w:color w:val="auto"/>
        </w:rPr>
      </w:pPr>
    </w:p>
    <w:p>
      <w:pPr>
        <w:jc w:val="both"/>
        <w:ind w:left="280" w:right="200"/>
        <w:spacing w:after="0" w:line="253" w:lineRule="auto"/>
        <w:rPr>
          <w:sz w:val="20"/>
          <w:szCs w:val="20"/>
          <w:color w:val="auto"/>
        </w:rPr>
      </w:pPr>
      <w:r>
        <w:rPr>
          <w:rFonts w:ascii="Arial" w:cs="Arial" w:eastAsia="Arial" w:hAnsi="Arial"/>
          <w:sz w:val="17"/>
          <w:szCs w:val="17"/>
          <w:color w:val="auto"/>
        </w:rPr>
        <w:t>The Initial IPO Grants, the Initial Grants and the Annual Grants will be subject to the terms and conditions of the 2019 Equity Incentive Plan and will fully vest and become exercisable upon the consummation of a corporate transaction (as defined in our 2019 Equity Incentive Plan and pursuant to the terms of our 2019 Equity Incentive Plan).</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120"/>
          </w:cols>
          <w:pgMar w:left="240" w:top="455"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Executive compensation</w:t>
      </w:r>
    </w:p>
    <w:p>
      <w:pPr>
        <w:spacing w:after="0" w:line="151" w:lineRule="exact"/>
        <w:rPr>
          <w:sz w:val="20"/>
          <w:szCs w:val="20"/>
          <w:color w:val="auto"/>
        </w:rPr>
      </w:pPr>
    </w:p>
    <w:p>
      <w:pPr>
        <w:ind w:left="280" w:right="300"/>
        <w:spacing w:after="0" w:line="251" w:lineRule="auto"/>
        <w:rPr>
          <w:sz w:val="20"/>
          <w:szCs w:val="20"/>
          <w:color w:val="auto"/>
        </w:rPr>
      </w:pPr>
      <w:r>
        <w:rPr>
          <w:rFonts w:ascii="Arial" w:cs="Arial" w:eastAsia="Arial" w:hAnsi="Arial"/>
          <w:sz w:val="17"/>
          <w:szCs w:val="17"/>
          <w:color w:val="auto"/>
        </w:rPr>
        <w:t>The following tables and accompanying narrative disclosure set forth information about the compensation earned by our named executive officers during the year ended December 31, 2018. Our named executive officers, who are our principal executive officer and the two most highly-compensated executive officers (other than our principal executive officer) serving as executive officers as of December 31, 2018, were:</w:t>
      </w:r>
    </w:p>
    <w:p>
      <w:pPr>
        <w:spacing w:after="0" w:line="102" w:lineRule="exact"/>
        <w:rPr>
          <w:sz w:val="20"/>
          <w:szCs w:val="20"/>
          <w:color w:val="auto"/>
        </w:rPr>
      </w:pPr>
    </w:p>
    <w:p>
      <w:pPr>
        <w:ind w:left="480" w:hanging="207"/>
        <w:spacing w:after="0"/>
        <w:tabs>
          <w:tab w:leader="none" w:pos="4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Edward M. Kaye, M.D., Chief Executive Officer and Director;</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Huw M. Nash, Ph.D., Chief Operating Officer and Chief Business Officer;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Barry S. Ticho, M.D., Ph.D., FACC, Chief Medical Officer.</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Summary compensation table</w:t>
      </w:r>
    </w:p>
    <w:p>
      <w:pPr>
        <w:spacing w:after="0" w:line="141" w:lineRule="exact"/>
        <w:rPr>
          <w:sz w:val="20"/>
          <w:szCs w:val="20"/>
          <w:color w:val="auto"/>
        </w:rPr>
      </w:pPr>
    </w:p>
    <w:p>
      <w:pPr>
        <w:ind w:left="280" w:right="180"/>
        <w:spacing w:after="0" w:line="262" w:lineRule="auto"/>
        <w:rPr>
          <w:sz w:val="20"/>
          <w:szCs w:val="20"/>
          <w:color w:val="auto"/>
        </w:rPr>
      </w:pPr>
      <w:r>
        <w:rPr>
          <w:rFonts w:ascii="Arial" w:cs="Arial" w:eastAsia="Arial" w:hAnsi="Arial"/>
          <w:sz w:val="17"/>
          <w:szCs w:val="17"/>
          <w:color w:val="auto"/>
        </w:rPr>
        <w:t>The following table presents summary information regarding the total compensation for services rendered in all capacities that was awarded to and earned by our named executive officers during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4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60" w:type="dxa"/>
            <w:vAlign w:val="bottom"/>
          </w:tcPr>
          <w:p>
            <w:pPr>
              <w:jc w:val="right"/>
              <w:ind w:right="133"/>
              <w:spacing w:after="0"/>
              <w:rPr>
                <w:sz w:val="20"/>
                <w:szCs w:val="20"/>
                <w:color w:val="auto"/>
              </w:rPr>
            </w:pPr>
            <w:r>
              <w:rPr>
                <w:rFonts w:ascii="Arial" w:cs="Arial" w:eastAsia="Arial" w:hAnsi="Arial"/>
                <w:sz w:val="17"/>
                <w:szCs w:val="17"/>
                <w:b w:val="1"/>
                <w:bCs w:val="1"/>
                <w:color w:val="auto"/>
              </w:rPr>
              <w:t>Non-equity</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4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60" w:type="dxa"/>
            <w:vAlign w:val="bottom"/>
          </w:tcPr>
          <w:p>
            <w:pPr>
              <w:jc w:val="right"/>
              <w:ind w:right="133"/>
              <w:spacing w:after="0"/>
              <w:rPr>
                <w:sz w:val="20"/>
                <w:szCs w:val="20"/>
                <w:color w:val="auto"/>
              </w:rPr>
            </w:pPr>
            <w:r>
              <w:rPr>
                <w:rFonts w:ascii="Arial" w:cs="Arial" w:eastAsia="Arial" w:hAnsi="Arial"/>
                <w:sz w:val="17"/>
                <w:szCs w:val="17"/>
                <w:b w:val="1"/>
                <w:bCs w:val="1"/>
                <w:color w:val="auto"/>
              </w:rPr>
              <w:t>incentive plan</w:t>
            </w: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4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60" w:type="dxa"/>
            <w:vAlign w:val="bottom"/>
          </w:tcPr>
          <w:p>
            <w:pPr>
              <w:jc w:val="right"/>
              <w:ind w:right="133"/>
              <w:spacing w:after="0"/>
              <w:rPr>
                <w:sz w:val="20"/>
                <w:szCs w:val="20"/>
                <w:color w:val="auto"/>
              </w:rPr>
            </w:pPr>
            <w:r>
              <w:rPr>
                <w:rFonts w:ascii="Arial" w:cs="Arial" w:eastAsia="Arial" w:hAnsi="Arial"/>
                <w:sz w:val="17"/>
                <w:szCs w:val="17"/>
                <w:b w:val="1"/>
                <w:bCs w:val="1"/>
                <w:color w:val="auto"/>
              </w:rPr>
              <w:t>compensation ($)</w:t>
            </w:r>
          </w:p>
        </w:tc>
        <w:tc>
          <w:tcPr>
            <w:tcW w:w="1520" w:type="dxa"/>
            <w:vAlign w:val="bottom"/>
          </w:tcPr>
          <w:p>
            <w:pPr>
              <w:jc w:val="right"/>
              <w:ind w:right="153"/>
              <w:spacing w:after="0"/>
              <w:rPr>
                <w:sz w:val="20"/>
                <w:szCs w:val="20"/>
                <w:color w:val="auto"/>
              </w:rPr>
            </w:pPr>
            <w:r>
              <w:rPr>
                <w:rFonts w:ascii="Arial" w:cs="Arial" w:eastAsia="Arial" w:hAnsi="Arial"/>
                <w:sz w:val="17"/>
                <w:szCs w:val="17"/>
                <w:b w:val="1"/>
                <w:bCs w:val="1"/>
                <w:color w:val="auto"/>
              </w:rPr>
              <w:t>Option</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2"/>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principal position</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Salary($)</w:t>
            </w:r>
          </w:p>
        </w:tc>
        <w:tc>
          <w:tcPr>
            <w:tcW w:w="1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(1)</w:t>
            </w:r>
          </w:p>
        </w:tc>
        <w:tc>
          <w:tcPr>
            <w:tcW w:w="15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awards ($)(2)</w:t>
            </w:r>
          </w:p>
        </w:tc>
        <w:tc>
          <w:tcPr>
            <w:tcW w:w="1080" w:type="dxa"/>
            <w:vAlign w:val="bottom"/>
            <w:tcBorders>
              <w:bottom w:val="single" w:sz="8" w:color="auto"/>
            </w:tcBorders>
            <w:gridSpan w:val="2"/>
          </w:tcPr>
          <w:p>
            <w:pPr>
              <w:ind w:left="360"/>
              <w:spacing w:after="0"/>
              <w:rPr>
                <w:sz w:val="20"/>
                <w:szCs w:val="20"/>
                <w:color w:val="auto"/>
              </w:rPr>
            </w:pPr>
            <w:r>
              <w:rPr>
                <w:rFonts w:ascii="Arial" w:cs="Arial" w:eastAsia="Arial" w:hAnsi="Arial"/>
                <w:sz w:val="17"/>
                <w:szCs w:val="17"/>
                <w:b w:val="1"/>
                <w:bCs w:val="1"/>
                <w:color w:val="auto"/>
              </w:rPr>
              <w:t>Total ($)</w:t>
            </w:r>
          </w:p>
        </w:tc>
      </w:tr>
      <w:tr>
        <w:trPr>
          <w:trHeight w:val="178"/>
        </w:trPr>
        <w:tc>
          <w:tcPr>
            <w:tcW w:w="478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Edward M. Kaye, M.D.</w:t>
            </w:r>
          </w:p>
        </w:tc>
        <w:tc>
          <w:tcPr>
            <w:tcW w:w="1640" w:type="dxa"/>
            <w:vAlign w:val="bottom"/>
            <w:shd w:val="clear" w:color="auto" w:fill="CCEEFF"/>
          </w:tcPr>
          <w:p>
            <w:pPr>
              <w:jc w:val="right"/>
              <w:ind w:right="133"/>
              <w:spacing w:after="0" w:line="179" w:lineRule="exact"/>
              <w:rPr>
                <w:sz w:val="20"/>
                <w:szCs w:val="20"/>
                <w:color w:val="auto"/>
              </w:rPr>
            </w:pPr>
            <w:r>
              <w:rPr>
                <w:rFonts w:ascii="Arial" w:cs="Arial" w:eastAsia="Arial" w:hAnsi="Arial"/>
                <w:sz w:val="17"/>
                <w:szCs w:val="17"/>
                <w:color w:val="auto"/>
              </w:rPr>
              <w:t>463,500</w:t>
            </w:r>
          </w:p>
        </w:tc>
        <w:tc>
          <w:tcPr>
            <w:tcW w:w="1860" w:type="dxa"/>
            <w:vAlign w:val="bottom"/>
            <w:shd w:val="clear" w:color="auto" w:fill="CCEEFF"/>
          </w:tcPr>
          <w:p>
            <w:pPr>
              <w:jc w:val="right"/>
              <w:ind w:right="133"/>
              <w:spacing w:after="0" w:line="179" w:lineRule="exact"/>
              <w:rPr>
                <w:sz w:val="20"/>
                <w:szCs w:val="20"/>
                <w:color w:val="auto"/>
              </w:rPr>
            </w:pPr>
            <w:r>
              <w:rPr>
                <w:rFonts w:ascii="Arial" w:cs="Arial" w:eastAsia="Arial" w:hAnsi="Arial"/>
                <w:sz w:val="17"/>
                <w:szCs w:val="17"/>
                <w:color w:val="auto"/>
              </w:rPr>
              <w:t>185,400</w:t>
            </w:r>
          </w:p>
        </w:tc>
        <w:tc>
          <w:tcPr>
            <w:tcW w:w="1520" w:type="dxa"/>
            <w:vAlign w:val="bottom"/>
            <w:shd w:val="clear" w:color="auto" w:fill="CCEEFF"/>
          </w:tcPr>
          <w:p>
            <w:pPr>
              <w:jc w:val="right"/>
              <w:ind w:right="153"/>
              <w:spacing w:after="0" w:line="179" w:lineRule="exact"/>
              <w:rPr>
                <w:sz w:val="20"/>
                <w:szCs w:val="20"/>
                <w:color w:val="auto"/>
              </w:rPr>
            </w:pPr>
            <w:r>
              <w:rPr>
                <w:rFonts w:ascii="Arial" w:cs="Arial" w:eastAsia="Arial" w:hAnsi="Arial"/>
                <w:sz w:val="17"/>
                <w:szCs w:val="17"/>
                <w:color w:val="auto"/>
              </w:rPr>
              <w:t>837,748</w:t>
            </w:r>
          </w:p>
        </w:tc>
        <w:tc>
          <w:tcPr>
            <w:tcW w:w="102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rPr>
              <w:t>1,486,648</w:t>
            </w:r>
          </w:p>
        </w:tc>
        <w:tc>
          <w:tcPr>
            <w:tcW w:w="60" w:type="dxa"/>
            <w:vAlign w:val="bottom"/>
            <w:shd w:val="clear" w:color="auto" w:fill="CCEEFF"/>
          </w:tcPr>
          <w:p>
            <w:pPr>
              <w:spacing w:after="0"/>
              <w:rPr>
                <w:sz w:val="15"/>
                <w:szCs w:val="15"/>
                <w:color w:val="auto"/>
              </w:rPr>
            </w:pPr>
          </w:p>
        </w:tc>
      </w:tr>
      <w:tr>
        <w:trPr>
          <w:trHeight w:val="228"/>
        </w:trPr>
        <w:tc>
          <w:tcPr>
            <w:tcW w:w="4780" w:type="dxa"/>
            <w:vAlign w:val="bottom"/>
            <w:shd w:val="clear" w:color="auto" w:fill="CCEEFF"/>
          </w:tcPr>
          <w:p>
            <w:pPr>
              <w:ind w:left="200"/>
              <w:spacing w:after="0"/>
              <w:rPr>
                <w:sz w:val="20"/>
                <w:szCs w:val="20"/>
                <w:color w:val="auto"/>
              </w:rPr>
            </w:pPr>
            <w:r>
              <w:rPr>
                <w:rFonts w:ascii="Arial" w:cs="Arial" w:eastAsia="Arial" w:hAnsi="Arial"/>
                <w:sz w:val="17"/>
                <w:szCs w:val="17"/>
                <w:i w:val="1"/>
                <w:iCs w:val="1"/>
                <w:color w:val="auto"/>
              </w:rPr>
              <w:t>Chief Executive Officer</w:t>
            </w:r>
          </w:p>
        </w:tc>
        <w:tc>
          <w:tcPr>
            <w:tcW w:w="16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52"/>
        </w:trPr>
        <w:tc>
          <w:tcPr>
            <w:tcW w:w="4780" w:type="dxa"/>
            <w:vAlign w:val="bottom"/>
          </w:tcPr>
          <w:p>
            <w:pPr>
              <w:spacing w:after="0"/>
              <w:rPr>
                <w:sz w:val="20"/>
                <w:szCs w:val="20"/>
                <w:color w:val="auto"/>
              </w:rPr>
            </w:pPr>
            <w:r>
              <w:rPr>
                <w:rFonts w:ascii="Arial" w:cs="Arial" w:eastAsia="Arial" w:hAnsi="Arial"/>
                <w:sz w:val="17"/>
                <w:szCs w:val="17"/>
                <w:color w:val="auto"/>
              </w:rPr>
              <w:t>Huw M. Nash, Ph.D.</w:t>
            </w:r>
          </w:p>
        </w:tc>
        <w:tc>
          <w:tcPr>
            <w:tcW w:w="1640" w:type="dxa"/>
            <w:vAlign w:val="bottom"/>
          </w:tcPr>
          <w:p>
            <w:pPr>
              <w:jc w:val="right"/>
              <w:ind w:right="133"/>
              <w:spacing w:after="0"/>
              <w:rPr>
                <w:sz w:val="20"/>
                <w:szCs w:val="20"/>
                <w:color w:val="auto"/>
              </w:rPr>
            </w:pPr>
            <w:r>
              <w:rPr>
                <w:rFonts w:ascii="Arial" w:cs="Arial" w:eastAsia="Arial" w:hAnsi="Arial"/>
                <w:sz w:val="17"/>
                <w:szCs w:val="17"/>
                <w:color w:val="auto"/>
              </w:rPr>
              <w:t>318,270</w:t>
            </w:r>
          </w:p>
        </w:tc>
        <w:tc>
          <w:tcPr>
            <w:tcW w:w="1860" w:type="dxa"/>
            <w:vAlign w:val="bottom"/>
          </w:tcPr>
          <w:p>
            <w:pPr>
              <w:jc w:val="right"/>
              <w:ind w:right="133"/>
              <w:spacing w:after="0"/>
              <w:rPr>
                <w:sz w:val="20"/>
                <w:szCs w:val="20"/>
                <w:color w:val="auto"/>
              </w:rPr>
            </w:pPr>
            <w:r>
              <w:rPr>
                <w:rFonts w:ascii="Arial" w:cs="Arial" w:eastAsia="Arial" w:hAnsi="Arial"/>
                <w:sz w:val="17"/>
                <w:szCs w:val="17"/>
                <w:color w:val="auto"/>
              </w:rPr>
              <w:t>111,395</w:t>
            </w:r>
          </w:p>
        </w:tc>
        <w:tc>
          <w:tcPr>
            <w:tcW w:w="1520" w:type="dxa"/>
            <w:vAlign w:val="bottom"/>
          </w:tcPr>
          <w:p>
            <w:pPr>
              <w:jc w:val="right"/>
              <w:ind w:right="153"/>
              <w:spacing w:after="0"/>
              <w:rPr>
                <w:sz w:val="20"/>
                <w:szCs w:val="20"/>
                <w:color w:val="auto"/>
              </w:rPr>
            </w:pPr>
            <w:r>
              <w:rPr>
                <w:rFonts w:ascii="Arial" w:cs="Arial" w:eastAsia="Arial" w:hAnsi="Arial"/>
                <w:sz w:val="17"/>
                <w:szCs w:val="17"/>
                <w:color w:val="auto"/>
              </w:rPr>
              <w:t>440,190</w:t>
            </w:r>
          </w:p>
        </w:tc>
        <w:tc>
          <w:tcPr>
            <w:tcW w:w="1020" w:type="dxa"/>
            <w:vAlign w:val="bottom"/>
          </w:tcPr>
          <w:p>
            <w:pPr>
              <w:jc w:val="right"/>
              <w:spacing w:after="0"/>
              <w:rPr>
                <w:sz w:val="20"/>
                <w:szCs w:val="20"/>
                <w:color w:val="auto"/>
              </w:rPr>
            </w:pPr>
            <w:r>
              <w:rPr>
                <w:rFonts w:ascii="Arial" w:cs="Arial" w:eastAsia="Arial" w:hAnsi="Arial"/>
                <w:sz w:val="17"/>
                <w:szCs w:val="17"/>
                <w:color w:val="auto"/>
              </w:rPr>
              <w:t>869,855</w:t>
            </w:r>
          </w:p>
        </w:tc>
        <w:tc>
          <w:tcPr>
            <w:tcW w:w="60" w:type="dxa"/>
            <w:vAlign w:val="bottom"/>
          </w:tcPr>
          <w:p>
            <w:pPr>
              <w:spacing w:after="0"/>
              <w:rPr>
                <w:sz w:val="21"/>
                <w:szCs w:val="21"/>
                <w:color w:val="auto"/>
              </w:rPr>
            </w:pPr>
          </w:p>
        </w:tc>
      </w:tr>
      <w:tr>
        <w:trPr>
          <w:trHeight w:val="227"/>
        </w:trPr>
        <w:tc>
          <w:tcPr>
            <w:tcW w:w="4780" w:type="dxa"/>
            <w:vAlign w:val="bottom"/>
          </w:tcPr>
          <w:p>
            <w:pPr>
              <w:ind w:left="200"/>
              <w:spacing w:after="0"/>
              <w:rPr>
                <w:sz w:val="20"/>
                <w:szCs w:val="20"/>
                <w:color w:val="auto"/>
              </w:rPr>
            </w:pPr>
            <w:r>
              <w:rPr>
                <w:rFonts w:ascii="Arial" w:cs="Arial" w:eastAsia="Arial" w:hAnsi="Arial"/>
                <w:sz w:val="17"/>
                <w:szCs w:val="17"/>
                <w:i w:val="1"/>
                <w:iCs w:val="1"/>
                <w:color w:val="auto"/>
              </w:rPr>
              <w:t>Chief Operating Officer and Chief Business Officer</w:t>
            </w:r>
          </w:p>
        </w:tc>
        <w:tc>
          <w:tcPr>
            <w:tcW w:w="1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68"/>
        </w:trPr>
        <w:tc>
          <w:tcPr>
            <w:tcW w:w="4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5"/>
        </w:trPr>
        <w:tc>
          <w:tcPr>
            <w:tcW w:w="47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Barry S. Ticho, M.D., Ph.D., FACC</w:t>
            </w:r>
          </w:p>
        </w:tc>
        <w:tc>
          <w:tcPr>
            <w:tcW w:w="1640" w:type="dxa"/>
            <w:vAlign w:val="bottom"/>
            <w:shd w:val="clear" w:color="auto" w:fill="CCEEFF"/>
          </w:tcPr>
          <w:p>
            <w:pPr>
              <w:jc w:val="right"/>
              <w:ind w:right="133"/>
              <w:spacing w:after="0" w:line="185" w:lineRule="exact"/>
              <w:rPr>
                <w:sz w:val="20"/>
                <w:szCs w:val="20"/>
                <w:color w:val="auto"/>
              </w:rPr>
            </w:pPr>
            <w:r>
              <w:rPr>
                <w:rFonts w:ascii="Arial" w:cs="Arial" w:eastAsia="Arial" w:hAnsi="Arial"/>
                <w:sz w:val="17"/>
                <w:szCs w:val="17"/>
                <w:color w:val="auto"/>
              </w:rPr>
              <w:t>360,500</w:t>
            </w:r>
          </w:p>
        </w:tc>
        <w:tc>
          <w:tcPr>
            <w:tcW w:w="1860" w:type="dxa"/>
            <w:vAlign w:val="bottom"/>
            <w:shd w:val="clear" w:color="auto" w:fill="CCEEFF"/>
          </w:tcPr>
          <w:p>
            <w:pPr>
              <w:jc w:val="right"/>
              <w:ind w:right="133"/>
              <w:spacing w:after="0" w:line="185" w:lineRule="exact"/>
              <w:rPr>
                <w:sz w:val="20"/>
                <w:szCs w:val="20"/>
                <w:color w:val="auto"/>
              </w:rPr>
            </w:pPr>
            <w:r>
              <w:rPr>
                <w:rFonts w:ascii="Arial" w:cs="Arial" w:eastAsia="Arial" w:hAnsi="Arial"/>
                <w:sz w:val="17"/>
                <w:szCs w:val="17"/>
                <w:color w:val="auto"/>
              </w:rPr>
              <w:t>140,650</w:t>
            </w:r>
          </w:p>
        </w:tc>
        <w:tc>
          <w:tcPr>
            <w:tcW w:w="1520" w:type="dxa"/>
            <w:vAlign w:val="bottom"/>
            <w:shd w:val="clear" w:color="auto" w:fill="CCEEFF"/>
          </w:tcPr>
          <w:p>
            <w:pPr>
              <w:jc w:val="right"/>
              <w:ind w:right="153"/>
              <w:spacing w:after="0" w:line="185" w:lineRule="exact"/>
              <w:rPr>
                <w:sz w:val="20"/>
                <w:szCs w:val="20"/>
                <w:color w:val="auto"/>
              </w:rPr>
            </w:pPr>
            <w:r>
              <w:rPr>
                <w:rFonts w:ascii="Arial" w:cs="Arial" w:eastAsia="Arial" w:hAnsi="Arial"/>
                <w:sz w:val="17"/>
                <w:szCs w:val="17"/>
                <w:color w:val="auto"/>
              </w:rPr>
              <w:t>239,940</w:t>
            </w:r>
          </w:p>
        </w:tc>
        <w:tc>
          <w:tcPr>
            <w:tcW w:w="102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741,090</w:t>
            </w:r>
          </w:p>
        </w:tc>
        <w:tc>
          <w:tcPr>
            <w:tcW w:w="60" w:type="dxa"/>
            <w:vAlign w:val="bottom"/>
            <w:shd w:val="clear" w:color="auto" w:fill="CCEEFF"/>
          </w:tcPr>
          <w:p>
            <w:pPr>
              <w:spacing w:after="0"/>
              <w:rPr>
                <w:sz w:val="16"/>
                <w:szCs w:val="16"/>
                <w:color w:val="auto"/>
              </w:rPr>
            </w:pPr>
          </w:p>
        </w:tc>
      </w:tr>
      <w:tr>
        <w:trPr>
          <w:trHeight w:val="228"/>
        </w:trPr>
        <w:tc>
          <w:tcPr>
            <w:tcW w:w="4780" w:type="dxa"/>
            <w:vAlign w:val="bottom"/>
            <w:shd w:val="clear" w:color="auto" w:fill="CCEEFF"/>
          </w:tcPr>
          <w:p>
            <w:pPr>
              <w:ind w:left="200"/>
              <w:spacing w:after="0"/>
              <w:rPr>
                <w:sz w:val="20"/>
                <w:szCs w:val="20"/>
                <w:color w:val="auto"/>
              </w:rPr>
            </w:pPr>
            <w:r>
              <w:rPr>
                <w:rFonts w:ascii="Arial" w:cs="Arial" w:eastAsia="Arial" w:hAnsi="Arial"/>
                <w:sz w:val="17"/>
                <w:szCs w:val="17"/>
                <w:i w:val="1"/>
                <w:iCs w:val="1"/>
                <w:color w:val="auto"/>
              </w:rPr>
              <w:t>Chief Medical Officer</w:t>
            </w:r>
          </w:p>
        </w:tc>
        <w:tc>
          <w:tcPr>
            <w:tcW w:w="16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0" w:hanging="327"/>
        <w:spacing w:after="0"/>
        <w:tabs>
          <w:tab w:leader="none" w:pos="6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For additional information regarding non-equity incentive plan compensation, see the section entitled “Non-equity incentive plan.”</w:t>
      </w:r>
    </w:p>
    <w:p>
      <w:pPr>
        <w:ind w:left="600" w:right="80" w:hanging="327"/>
        <w:spacing w:after="0" w:line="241" w:lineRule="auto"/>
        <w:tabs>
          <w:tab w:leader="none" w:pos="6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the grant date fair value of options awarded during the year ended December 31, 2018 as computed in accordance with FASB ASC Topic 718. The assumptions used in calculating the grant date fair value of the stock options reported in the Options Award column are set forth in Note 10 to our consolidated financial statements included elsewhere in this prospectus. Note that the amounts reported in this column reflect the aggregate accounting cost for these awards, and do not necessarily correspond to the actual economic value that may be received by each named executive officer from the options.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Non-equity incentive plan</w:t>
      </w:r>
    </w:p>
    <w:p>
      <w:pPr>
        <w:spacing w:after="0" w:line="141" w:lineRule="exact"/>
        <w:rPr>
          <w:sz w:val="20"/>
          <w:szCs w:val="20"/>
          <w:color w:val="auto"/>
        </w:rPr>
      </w:pPr>
    </w:p>
    <w:p>
      <w:pPr>
        <w:ind w:left="280" w:right="80"/>
        <w:spacing w:after="0" w:line="253" w:lineRule="auto"/>
        <w:rPr>
          <w:sz w:val="20"/>
          <w:szCs w:val="20"/>
          <w:color w:val="auto"/>
        </w:rPr>
      </w:pPr>
      <w:r>
        <w:rPr>
          <w:rFonts w:ascii="Arial" w:cs="Arial" w:eastAsia="Arial" w:hAnsi="Arial"/>
          <w:sz w:val="17"/>
          <w:szCs w:val="17"/>
          <w:color w:val="auto"/>
        </w:rPr>
        <w:t>Annual bonuses for our executive officers are based on the achievement of corporate and individual performance objectives. In February 2019, based on the achievement of these goals with respect to 2018 performance, our board of directors determined to award bonuses equal to 100% of target.</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Outstanding equity awards at 2018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95885</wp:posOffset>
            </wp:positionV>
            <wp:extent cx="690943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jc w:val="right"/>
              <w:ind w:right="1053"/>
              <w:spacing w:after="0"/>
              <w:rPr>
                <w:sz w:val="20"/>
                <w:szCs w:val="20"/>
                <w:color w:val="auto"/>
              </w:rPr>
            </w:pPr>
            <w:r>
              <w:rPr>
                <w:rFonts w:ascii="Arial" w:cs="Arial" w:eastAsia="Arial" w:hAnsi="Arial"/>
                <w:sz w:val="17"/>
                <w:szCs w:val="17"/>
                <w:b w:val="1"/>
                <w:bCs w:val="1"/>
                <w:color w:val="auto"/>
              </w:rPr>
              <w:t>Option awards</w:t>
            </w:r>
          </w:p>
        </w:tc>
        <w:tc>
          <w:tcPr>
            <w:tcW w:w="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4"/>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60" w:type="dxa"/>
            <w:vAlign w:val="bottom"/>
          </w:tcPr>
          <w:p>
            <w:pPr>
              <w:jc w:val="right"/>
              <w:ind w:right="33"/>
              <w:spacing w:after="0" w:line="175" w:lineRule="exact"/>
              <w:rPr>
                <w:sz w:val="20"/>
                <w:szCs w:val="20"/>
                <w:color w:val="auto"/>
              </w:rPr>
            </w:pPr>
            <w:r>
              <w:rPr>
                <w:rFonts w:ascii="Arial" w:cs="Arial" w:eastAsia="Arial" w:hAnsi="Arial"/>
                <w:sz w:val="17"/>
                <w:szCs w:val="17"/>
                <w:b w:val="1"/>
                <w:bCs w:val="1"/>
                <w:color w:val="auto"/>
              </w:rPr>
              <w:t>Number of</w:t>
            </w:r>
          </w:p>
        </w:tc>
        <w:tc>
          <w:tcPr>
            <w:tcW w:w="1400" w:type="dxa"/>
            <w:vAlign w:val="bottom"/>
          </w:tcPr>
          <w:p>
            <w:pPr>
              <w:jc w:val="right"/>
              <w:ind w:right="33"/>
              <w:spacing w:after="0" w:line="175" w:lineRule="exact"/>
              <w:rPr>
                <w:sz w:val="20"/>
                <w:szCs w:val="20"/>
                <w:color w:val="auto"/>
              </w:rPr>
            </w:pPr>
            <w:r>
              <w:rPr>
                <w:rFonts w:ascii="Arial" w:cs="Arial" w:eastAsia="Arial" w:hAnsi="Arial"/>
                <w:sz w:val="17"/>
                <w:szCs w:val="17"/>
                <w:b w:val="1"/>
                <w:bCs w:val="1"/>
                <w:color w:val="auto"/>
              </w:rPr>
              <w:t>Number of</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0"/>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Arial" w:cs="Arial" w:eastAsia="Arial" w:hAnsi="Arial"/>
                <w:sz w:val="17"/>
                <w:szCs w:val="17"/>
                <w:b w:val="1"/>
                <w:bCs w:val="1"/>
                <w:color w:val="auto"/>
              </w:rPr>
              <w:t>securities</w:t>
            </w:r>
          </w:p>
        </w:tc>
        <w:tc>
          <w:tcPr>
            <w:tcW w:w="1400" w:type="dxa"/>
            <w:vAlign w:val="bottom"/>
          </w:tcPr>
          <w:p>
            <w:pPr>
              <w:jc w:val="right"/>
              <w:ind w:right="33"/>
              <w:spacing w:after="0"/>
              <w:rPr>
                <w:sz w:val="20"/>
                <w:szCs w:val="20"/>
                <w:color w:val="auto"/>
              </w:rPr>
            </w:pPr>
            <w:r>
              <w:rPr>
                <w:rFonts w:ascii="Arial" w:cs="Arial" w:eastAsia="Arial" w:hAnsi="Arial"/>
                <w:sz w:val="17"/>
                <w:szCs w:val="17"/>
                <w:b w:val="1"/>
                <w:bCs w:val="1"/>
                <w:color w:val="auto"/>
              </w:rPr>
              <w:t>securities</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Arial" w:cs="Arial" w:eastAsia="Arial" w:hAnsi="Arial"/>
                <w:sz w:val="17"/>
                <w:szCs w:val="17"/>
                <w:b w:val="1"/>
                <w:bCs w:val="1"/>
                <w:color w:val="auto"/>
              </w:rPr>
              <w:t>underlying</w:t>
            </w:r>
          </w:p>
        </w:tc>
        <w:tc>
          <w:tcPr>
            <w:tcW w:w="1400" w:type="dxa"/>
            <w:vAlign w:val="bottom"/>
          </w:tcPr>
          <w:p>
            <w:pPr>
              <w:jc w:val="right"/>
              <w:ind w:right="33"/>
              <w:spacing w:after="0"/>
              <w:rPr>
                <w:sz w:val="20"/>
                <w:szCs w:val="20"/>
                <w:color w:val="auto"/>
              </w:rPr>
            </w:pPr>
            <w:r>
              <w:rPr>
                <w:rFonts w:ascii="Arial" w:cs="Arial" w:eastAsia="Arial" w:hAnsi="Arial"/>
                <w:sz w:val="17"/>
                <w:szCs w:val="17"/>
                <w:b w:val="1"/>
                <w:bCs w:val="1"/>
                <w:color w:val="auto"/>
              </w:rPr>
              <w:t>underlying</w:t>
            </w:r>
          </w:p>
        </w:tc>
        <w:tc>
          <w:tcPr>
            <w:tcW w:w="980" w:type="dxa"/>
            <w:vAlign w:val="bottom"/>
          </w:tcPr>
          <w:p>
            <w:pPr>
              <w:jc w:val="right"/>
              <w:ind w:right="73"/>
              <w:spacing w:after="0"/>
              <w:rPr>
                <w:sz w:val="20"/>
                <w:szCs w:val="20"/>
                <w:color w:val="auto"/>
              </w:rPr>
            </w:pPr>
            <w:r>
              <w:rPr>
                <w:rFonts w:ascii="Arial" w:cs="Arial" w:eastAsia="Arial" w:hAnsi="Arial"/>
                <w:sz w:val="17"/>
                <w:szCs w:val="17"/>
                <w:b w:val="1"/>
                <w:bCs w:val="1"/>
                <w:color w:val="auto"/>
              </w:rPr>
              <w:t>Option</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jc w:val="right"/>
              <w:ind w:right="33"/>
              <w:spacing w:after="0"/>
              <w:rPr>
                <w:sz w:val="20"/>
                <w:szCs w:val="20"/>
                <w:color w:val="auto"/>
              </w:rPr>
            </w:pPr>
            <w:r>
              <w:rPr>
                <w:rFonts w:ascii="Arial" w:cs="Arial" w:eastAsia="Arial" w:hAnsi="Arial"/>
                <w:sz w:val="17"/>
                <w:szCs w:val="17"/>
                <w:b w:val="1"/>
                <w:bCs w:val="1"/>
                <w:color w:val="auto"/>
              </w:rPr>
              <w:t>Vesting</w:t>
            </w:r>
          </w:p>
        </w:tc>
        <w:tc>
          <w:tcPr>
            <w:tcW w:w="1260" w:type="dxa"/>
            <w:vAlign w:val="bottom"/>
          </w:tcPr>
          <w:p>
            <w:pPr>
              <w:jc w:val="right"/>
              <w:ind w:right="33"/>
              <w:spacing w:after="0"/>
              <w:rPr>
                <w:sz w:val="20"/>
                <w:szCs w:val="20"/>
                <w:color w:val="auto"/>
              </w:rPr>
            </w:pPr>
            <w:r>
              <w:rPr>
                <w:rFonts w:ascii="Arial" w:cs="Arial" w:eastAsia="Arial" w:hAnsi="Arial"/>
                <w:sz w:val="17"/>
                <w:szCs w:val="17"/>
                <w:b w:val="1"/>
                <w:bCs w:val="1"/>
                <w:color w:val="auto"/>
              </w:rPr>
              <w:t>unexercised</w:t>
            </w:r>
          </w:p>
        </w:tc>
        <w:tc>
          <w:tcPr>
            <w:tcW w:w="1400" w:type="dxa"/>
            <w:vAlign w:val="bottom"/>
          </w:tcPr>
          <w:p>
            <w:pPr>
              <w:jc w:val="right"/>
              <w:ind w:right="33"/>
              <w:spacing w:after="0"/>
              <w:rPr>
                <w:sz w:val="20"/>
                <w:szCs w:val="20"/>
                <w:color w:val="auto"/>
              </w:rPr>
            </w:pPr>
            <w:r>
              <w:rPr>
                <w:rFonts w:ascii="Arial" w:cs="Arial" w:eastAsia="Arial" w:hAnsi="Arial"/>
                <w:sz w:val="17"/>
                <w:szCs w:val="17"/>
                <w:b w:val="1"/>
                <w:bCs w:val="1"/>
                <w:color w:val="auto"/>
              </w:rPr>
              <w:t>unexercised</w:t>
            </w:r>
          </w:p>
        </w:tc>
        <w:tc>
          <w:tcPr>
            <w:tcW w:w="980" w:type="dxa"/>
            <w:vAlign w:val="bottom"/>
          </w:tcPr>
          <w:p>
            <w:pPr>
              <w:jc w:val="right"/>
              <w:ind w:right="73"/>
              <w:spacing w:after="0"/>
              <w:rPr>
                <w:sz w:val="20"/>
                <w:szCs w:val="20"/>
                <w:color w:val="auto"/>
              </w:rPr>
            </w:pPr>
            <w:r>
              <w:rPr>
                <w:rFonts w:ascii="Arial" w:cs="Arial" w:eastAsia="Arial" w:hAnsi="Arial"/>
                <w:sz w:val="17"/>
                <w:szCs w:val="17"/>
                <w:b w:val="1"/>
                <w:bCs w:val="1"/>
                <w:color w:val="auto"/>
              </w:rPr>
              <w:t>exercise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Option</w:t>
            </w:r>
          </w:p>
        </w:tc>
      </w:tr>
      <w:tr>
        <w:trPr>
          <w:trHeight w:val="200"/>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Arial" w:cs="Arial" w:eastAsia="Arial" w:hAnsi="Arial"/>
                <w:sz w:val="17"/>
                <w:szCs w:val="17"/>
                <w:b w:val="1"/>
                <w:bCs w:val="1"/>
                <w:color w:val="auto"/>
              </w:rPr>
              <w:t>Grant</w:t>
            </w:r>
          </w:p>
        </w:tc>
        <w:tc>
          <w:tcPr>
            <w:tcW w:w="1560" w:type="dxa"/>
            <w:vAlign w:val="bottom"/>
          </w:tcPr>
          <w:p>
            <w:pPr>
              <w:jc w:val="right"/>
              <w:ind w:right="33"/>
              <w:spacing w:after="0"/>
              <w:rPr>
                <w:sz w:val="20"/>
                <w:szCs w:val="20"/>
                <w:color w:val="auto"/>
              </w:rPr>
            </w:pPr>
            <w:r>
              <w:rPr>
                <w:rFonts w:ascii="Arial" w:cs="Arial" w:eastAsia="Arial" w:hAnsi="Arial"/>
                <w:sz w:val="17"/>
                <w:szCs w:val="17"/>
                <w:b w:val="1"/>
                <w:bCs w:val="1"/>
                <w:color w:val="auto"/>
              </w:rPr>
              <w:t>commencement</w:t>
            </w:r>
          </w:p>
        </w:tc>
        <w:tc>
          <w:tcPr>
            <w:tcW w:w="1260" w:type="dxa"/>
            <w:vAlign w:val="bottom"/>
          </w:tcPr>
          <w:p>
            <w:pPr>
              <w:jc w:val="right"/>
              <w:ind w:right="33"/>
              <w:spacing w:after="0"/>
              <w:rPr>
                <w:sz w:val="20"/>
                <w:szCs w:val="20"/>
                <w:color w:val="auto"/>
              </w:rPr>
            </w:pPr>
            <w:r>
              <w:rPr>
                <w:rFonts w:ascii="Arial" w:cs="Arial" w:eastAsia="Arial" w:hAnsi="Arial"/>
                <w:sz w:val="17"/>
                <w:szCs w:val="17"/>
                <w:b w:val="1"/>
                <w:bCs w:val="1"/>
                <w:color w:val="auto"/>
              </w:rPr>
              <w:t>options</w:t>
            </w:r>
          </w:p>
        </w:tc>
        <w:tc>
          <w:tcPr>
            <w:tcW w:w="1400" w:type="dxa"/>
            <w:vAlign w:val="bottom"/>
          </w:tcPr>
          <w:p>
            <w:pPr>
              <w:jc w:val="right"/>
              <w:ind w:right="33"/>
              <w:spacing w:after="0"/>
              <w:rPr>
                <w:sz w:val="20"/>
                <w:szCs w:val="20"/>
                <w:color w:val="auto"/>
              </w:rPr>
            </w:pPr>
            <w:r>
              <w:rPr>
                <w:rFonts w:ascii="Arial" w:cs="Arial" w:eastAsia="Arial" w:hAnsi="Arial"/>
                <w:sz w:val="17"/>
                <w:szCs w:val="17"/>
                <w:b w:val="1"/>
                <w:bCs w:val="1"/>
                <w:color w:val="auto"/>
              </w:rPr>
              <w:t>options</w:t>
            </w:r>
          </w:p>
        </w:tc>
        <w:tc>
          <w:tcPr>
            <w:tcW w:w="980" w:type="dxa"/>
            <w:vAlign w:val="bottom"/>
          </w:tcPr>
          <w:p>
            <w:pPr>
              <w:jc w:val="right"/>
              <w:ind w:right="73"/>
              <w:spacing w:after="0"/>
              <w:rPr>
                <w:sz w:val="20"/>
                <w:szCs w:val="20"/>
                <w:color w:val="auto"/>
              </w:rPr>
            </w:pPr>
            <w:r>
              <w:rPr>
                <w:rFonts w:ascii="Arial" w:cs="Arial" w:eastAsia="Arial" w:hAnsi="Arial"/>
                <w:sz w:val="17"/>
                <w:szCs w:val="17"/>
                <w:b w:val="1"/>
                <w:bCs w:val="1"/>
                <w:color w:val="auto"/>
              </w:rPr>
              <w:t>price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expiration</w:t>
            </w:r>
          </w:p>
        </w:tc>
      </w:tr>
      <w:tr>
        <w:trPr>
          <w:trHeight w:val="219"/>
        </w:trPr>
        <w:tc>
          <w:tcPr>
            <w:tcW w:w="3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date(1)</w:t>
            </w:r>
          </w:p>
        </w:tc>
        <w:tc>
          <w:tcPr>
            <w:tcW w:w="15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date</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exercisable</w:t>
            </w: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unexercisable</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date</w:t>
            </w:r>
          </w:p>
        </w:tc>
      </w:tr>
      <w:tr>
        <w:trPr>
          <w:trHeight w:val="193"/>
        </w:trPr>
        <w:tc>
          <w:tcPr>
            <w:tcW w:w="3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Edward M. Kaye</w:t>
            </w:r>
          </w:p>
        </w:tc>
        <w:tc>
          <w:tcPr>
            <w:tcW w:w="1440" w:type="dxa"/>
            <w:vAlign w:val="bottom"/>
            <w:gridSpan w:val="2"/>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4/2/2018(2)</w:t>
            </w:r>
          </w:p>
        </w:tc>
        <w:tc>
          <w:tcPr>
            <w:tcW w:w="156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10/17/2017</w:t>
            </w:r>
          </w:p>
        </w:tc>
        <w:tc>
          <w:tcPr>
            <w:tcW w:w="126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203,524</w:t>
            </w:r>
          </w:p>
        </w:tc>
        <w:tc>
          <w:tcPr>
            <w:tcW w:w="140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494,277</w:t>
            </w:r>
          </w:p>
        </w:tc>
        <w:tc>
          <w:tcPr>
            <w:tcW w:w="980" w:type="dxa"/>
            <w:vAlign w:val="bottom"/>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0.60</w:t>
            </w:r>
          </w:p>
        </w:tc>
        <w:tc>
          <w:tcPr>
            <w:tcW w:w="10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4/2/2028</w:t>
            </w:r>
          </w:p>
        </w:tc>
      </w:tr>
      <w:tr>
        <w:trPr>
          <w:trHeight w:val="200"/>
        </w:trPr>
        <w:tc>
          <w:tcPr>
            <w:tcW w:w="3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12/12/2018(3)</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10/22/2018</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19,515</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448,867</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2.19</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12/12/2028</w:t>
            </w:r>
          </w:p>
        </w:tc>
        <w:tc>
          <w:tcPr>
            <w:tcW w:w="60" w:type="dxa"/>
            <w:vAlign w:val="bottom"/>
            <w:shd w:val="clear" w:color="auto" w:fill="CCEEFF"/>
          </w:tcPr>
          <w:p>
            <w:pPr>
              <w:spacing w:after="0"/>
              <w:rPr>
                <w:sz w:val="17"/>
                <w:szCs w:val="17"/>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7"/>
                <w:szCs w:val="17"/>
                <w:color w:val="auto"/>
              </w:rPr>
              <w:t>Huw M. Nash</w:t>
            </w:r>
          </w:p>
        </w:tc>
        <w:tc>
          <w:tcPr>
            <w:tcW w:w="1440" w:type="dxa"/>
            <w:vAlign w:val="bottom"/>
            <w:gridSpan w:val="2"/>
          </w:tcPr>
          <w:p>
            <w:pPr>
              <w:jc w:val="right"/>
              <w:ind w:right="33"/>
              <w:spacing w:after="0"/>
              <w:rPr>
                <w:sz w:val="20"/>
                <w:szCs w:val="20"/>
                <w:color w:val="auto"/>
              </w:rPr>
            </w:pPr>
            <w:r>
              <w:rPr>
                <w:rFonts w:ascii="Arial" w:cs="Arial" w:eastAsia="Arial" w:hAnsi="Arial"/>
                <w:sz w:val="17"/>
                <w:szCs w:val="17"/>
                <w:color w:val="auto"/>
              </w:rPr>
              <w:t>2/11/2016(4)</w:t>
            </w:r>
          </w:p>
        </w:tc>
        <w:tc>
          <w:tcPr>
            <w:tcW w:w="1560" w:type="dxa"/>
            <w:vAlign w:val="bottom"/>
          </w:tcPr>
          <w:p>
            <w:pPr>
              <w:jc w:val="right"/>
              <w:ind w:right="33"/>
              <w:spacing w:after="0"/>
              <w:rPr>
                <w:sz w:val="20"/>
                <w:szCs w:val="20"/>
                <w:color w:val="auto"/>
              </w:rPr>
            </w:pPr>
            <w:r>
              <w:rPr>
                <w:rFonts w:ascii="Arial" w:cs="Arial" w:eastAsia="Arial" w:hAnsi="Arial"/>
                <w:sz w:val="17"/>
                <w:szCs w:val="17"/>
                <w:color w:val="auto"/>
              </w:rPr>
              <w:t>12/1/2015</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152,324</w:t>
            </w:r>
          </w:p>
        </w:tc>
        <w:tc>
          <w:tcPr>
            <w:tcW w:w="14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3"/>
              <w:spacing w:after="0"/>
              <w:rPr>
                <w:sz w:val="20"/>
                <w:szCs w:val="20"/>
                <w:color w:val="auto"/>
              </w:rPr>
            </w:pPr>
            <w:r>
              <w:rPr>
                <w:rFonts w:ascii="Arial" w:cs="Arial" w:eastAsia="Arial" w:hAnsi="Arial"/>
                <w:sz w:val="17"/>
                <w:szCs w:val="17"/>
                <w:color w:val="auto"/>
              </w:rPr>
              <w:t>0.40</w:t>
            </w:r>
          </w:p>
        </w:tc>
        <w:tc>
          <w:tcPr>
            <w:tcW w:w="1020" w:type="dxa"/>
            <w:vAlign w:val="bottom"/>
          </w:tcPr>
          <w:p>
            <w:pPr>
              <w:jc w:val="right"/>
              <w:spacing w:after="0"/>
              <w:rPr>
                <w:sz w:val="20"/>
                <w:szCs w:val="20"/>
                <w:color w:val="auto"/>
              </w:rPr>
            </w:pPr>
            <w:r>
              <w:rPr>
                <w:rFonts w:ascii="Arial" w:cs="Arial" w:eastAsia="Arial" w:hAnsi="Arial"/>
                <w:sz w:val="17"/>
                <w:szCs w:val="17"/>
                <w:color w:val="auto"/>
              </w:rPr>
              <w:t>2/11/2026</w:t>
            </w:r>
          </w:p>
        </w:tc>
        <w:tc>
          <w:tcPr>
            <w:tcW w:w="60" w:type="dxa"/>
            <w:vAlign w:val="bottom"/>
          </w:tcPr>
          <w:p>
            <w:pPr>
              <w:spacing w:after="0"/>
              <w:rPr>
                <w:sz w:val="23"/>
                <w:szCs w:val="23"/>
                <w:color w:val="auto"/>
              </w:rPr>
            </w:pPr>
          </w:p>
        </w:tc>
      </w:tr>
      <w:tr>
        <w:trPr>
          <w:trHeight w:val="200"/>
        </w:trPr>
        <w:tc>
          <w:tcPr>
            <w:tcW w:w="3160" w:type="dxa"/>
            <w:vAlign w:val="bottom"/>
          </w:tcPr>
          <w:p>
            <w:pPr>
              <w:spacing w:after="0"/>
              <w:rPr>
                <w:sz w:val="17"/>
                <w:szCs w:val="17"/>
                <w:color w:val="auto"/>
              </w:rPr>
            </w:pPr>
          </w:p>
        </w:tc>
        <w:tc>
          <w:tcPr>
            <w:tcW w:w="1440" w:type="dxa"/>
            <w:vAlign w:val="bottom"/>
            <w:gridSpan w:val="2"/>
          </w:tcPr>
          <w:p>
            <w:pPr>
              <w:jc w:val="right"/>
              <w:ind w:right="33"/>
              <w:spacing w:after="0"/>
              <w:rPr>
                <w:sz w:val="20"/>
                <w:szCs w:val="20"/>
                <w:color w:val="auto"/>
              </w:rPr>
            </w:pPr>
            <w:r>
              <w:rPr>
                <w:rFonts w:ascii="Arial" w:cs="Arial" w:eastAsia="Arial" w:hAnsi="Arial"/>
                <w:sz w:val="17"/>
                <w:szCs w:val="17"/>
                <w:color w:val="auto"/>
              </w:rPr>
              <w:t>2/2/2017(5)</w:t>
            </w:r>
          </w:p>
        </w:tc>
        <w:tc>
          <w:tcPr>
            <w:tcW w:w="1560" w:type="dxa"/>
            <w:vAlign w:val="bottom"/>
          </w:tcPr>
          <w:p>
            <w:pPr>
              <w:jc w:val="right"/>
              <w:ind w:right="33"/>
              <w:spacing w:after="0"/>
              <w:rPr>
                <w:sz w:val="20"/>
                <w:szCs w:val="20"/>
                <w:color w:val="auto"/>
              </w:rPr>
            </w:pPr>
            <w:r>
              <w:rPr>
                <w:rFonts w:ascii="Arial" w:cs="Arial" w:eastAsia="Arial" w:hAnsi="Arial"/>
                <w:sz w:val="17"/>
                <w:szCs w:val="17"/>
                <w:color w:val="auto"/>
              </w:rPr>
              <w:t>8/1/2016</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29,413</w:t>
            </w:r>
          </w:p>
        </w:tc>
        <w:tc>
          <w:tcPr>
            <w:tcW w:w="1400" w:type="dxa"/>
            <w:vAlign w:val="bottom"/>
          </w:tcPr>
          <w:p>
            <w:pPr>
              <w:jc w:val="right"/>
              <w:ind w:right="33"/>
              <w:spacing w:after="0"/>
              <w:rPr>
                <w:sz w:val="20"/>
                <w:szCs w:val="20"/>
                <w:color w:val="auto"/>
              </w:rPr>
            </w:pPr>
            <w:r>
              <w:rPr>
                <w:rFonts w:ascii="Arial" w:cs="Arial" w:eastAsia="Arial" w:hAnsi="Arial"/>
                <w:sz w:val="17"/>
                <w:szCs w:val="17"/>
                <w:color w:val="auto"/>
              </w:rPr>
              <w:t>21,010</w:t>
            </w:r>
          </w:p>
        </w:tc>
        <w:tc>
          <w:tcPr>
            <w:tcW w:w="980" w:type="dxa"/>
            <w:vAlign w:val="bottom"/>
          </w:tcPr>
          <w:p>
            <w:pPr>
              <w:jc w:val="right"/>
              <w:ind w:right="73"/>
              <w:spacing w:after="0"/>
              <w:rPr>
                <w:sz w:val="20"/>
                <w:szCs w:val="20"/>
                <w:color w:val="auto"/>
              </w:rPr>
            </w:pPr>
            <w:r>
              <w:rPr>
                <w:rFonts w:ascii="Arial" w:cs="Arial" w:eastAsia="Arial" w:hAnsi="Arial"/>
                <w:sz w:val="17"/>
                <w:szCs w:val="17"/>
                <w:color w:val="auto"/>
              </w:rPr>
              <w:t>0.40</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2/2/2027</w:t>
            </w:r>
          </w:p>
        </w:tc>
      </w:tr>
      <w:tr>
        <w:trPr>
          <w:trHeight w:val="200"/>
        </w:trPr>
        <w:tc>
          <w:tcPr>
            <w:tcW w:w="3160" w:type="dxa"/>
            <w:vAlign w:val="bottom"/>
          </w:tcPr>
          <w:p>
            <w:pPr>
              <w:spacing w:after="0"/>
              <w:rPr>
                <w:sz w:val="17"/>
                <w:szCs w:val="17"/>
                <w:color w:val="auto"/>
              </w:rPr>
            </w:pPr>
          </w:p>
        </w:tc>
        <w:tc>
          <w:tcPr>
            <w:tcW w:w="1440" w:type="dxa"/>
            <w:vAlign w:val="bottom"/>
            <w:gridSpan w:val="2"/>
          </w:tcPr>
          <w:p>
            <w:pPr>
              <w:jc w:val="right"/>
              <w:ind w:right="33"/>
              <w:spacing w:after="0"/>
              <w:rPr>
                <w:sz w:val="20"/>
                <w:szCs w:val="20"/>
                <w:color w:val="auto"/>
              </w:rPr>
            </w:pPr>
            <w:r>
              <w:rPr>
                <w:rFonts w:ascii="Arial" w:cs="Arial" w:eastAsia="Arial" w:hAnsi="Arial"/>
                <w:sz w:val="17"/>
                <w:szCs w:val="17"/>
                <w:color w:val="auto"/>
              </w:rPr>
              <w:t>4/2/2018(5)</w:t>
            </w:r>
          </w:p>
        </w:tc>
        <w:tc>
          <w:tcPr>
            <w:tcW w:w="1560" w:type="dxa"/>
            <w:vAlign w:val="bottom"/>
          </w:tcPr>
          <w:p>
            <w:pPr>
              <w:jc w:val="right"/>
              <w:ind w:right="33"/>
              <w:spacing w:after="0"/>
              <w:rPr>
                <w:sz w:val="20"/>
                <w:szCs w:val="20"/>
                <w:color w:val="auto"/>
              </w:rPr>
            </w:pPr>
            <w:r>
              <w:rPr>
                <w:rFonts w:ascii="Arial" w:cs="Arial" w:eastAsia="Arial" w:hAnsi="Arial"/>
                <w:sz w:val="17"/>
                <w:szCs w:val="17"/>
                <w:color w:val="auto"/>
              </w:rPr>
              <w:t>1/31/2018</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59,344</w:t>
            </w:r>
          </w:p>
        </w:tc>
        <w:tc>
          <w:tcPr>
            <w:tcW w:w="1400" w:type="dxa"/>
            <w:vAlign w:val="bottom"/>
          </w:tcPr>
          <w:p>
            <w:pPr>
              <w:jc w:val="right"/>
              <w:ind w:right="33"/>
              <w:spacing w:after="0"/>
              <w:rPr>
                <w:sz w:val="20"/>
                <w:szCs w:val="20"/>
                <w:color w:val="auto"/>
              </w:rPr>
            </w:pPr>
            <w:r>
              <w:rPr>
                <w:rFonts w:ascii="Arial" w:cs="Arial" w:eastAsia="Arial" w:hAnsi="Arial"/>
                <w:sz w:val="17"/>
                <w:szCs w:val="17"/>
                <w:color w:val="auto"/>
              </w:rPr>
              <w:t>199,613</w:t>
            </w:r>
          </w:p>
        </w:tc>
        <w:tc>
          <w:tcPr>
            <w:tcW w:w="980" w:type="dxa"/>
            <w:vAlign w:val="bottom"/>
          </w:tcPr>
          <w:p>
            <w:pPr>
              <w:jc w:val="right"/>
              <w:ind w:right="73"/>
              <w:spacing w:after="0"/>
              <w:rPr>
                <w:sz w:val="20"/>
                <w:szCs w:val="20"/>
                <w:color w:val="auto"/>
              </w:rPr>
            </w:pPr>
            <w:r>
              <w:rPr>
                <w:rFonts w:ascii="Arial" w:cs="Arial" w:eastAsia="Arial" w:hAnsi="Arial"/>
                <w:sz w:val="17"/>
                <w:szCs w:val="17"/>
                <w:color w:val="auto"/>
              </w:rPr>
              <w:t>0.60</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4/2/2028</w:t>
            </w:r>
          </w:p>
        </w:tc>
      </w:tr>
      <w:tr>
        <w:trPr>
          <w:trHeight w:val="209"/>
        </w:trPr>
        <w:tc>
          <w:tcPr>
            <w:tcW w:w="3160" w:type="dxa"/>
            <w:vAlign w:val="bottom"/>
          </w:tcPr>
          <w:p>
            <w:pPr>
              <w:spacing w:after="0"/>
              <w:rPr>
                <w:sz w:val="18"/>
                <w:szCs w:val="18"/>
                <w:color w:val="auto"/>
              </w:rPr>
            </w:pPr>
          </w:p>
        </w:tc>
        <w:tc>
          <w:tcPr>
            <w:tcW w:w="1440" w:type="dxa"/>
            <w:vAlign w:val="bottom"/>
            <w:gridSpan w:val="2"/>
          </w:tcPr>
          <w:p>
            <w:pPr>
              <w:jc w:val="right"/>
              <w:ind w:right="33"/>
              <w:spacing w:after="0"/>
              <w:rPr>
                <w:sz w:val="20"/>
                <w:szCs w:val="20"/>
                <w:color w:val="auto"/>
              </w:rPr>
            </w:pPr>
            <w:r>
              <w:rPr>
                <w:rFonts w:ascii="Arial" w:cs="Arial" w:eastAsia="Arial" w:hAnsi="Arial"/>
                <w:sz w:val="17"/>
                <w:szCs w:val="17"/>
                <w:color w:val="auto"/>
              </w:rPr>
              <w:t>12/12/2018(5)</w:t>
            </w:r>
          </w:p>
        </w:tc>
        <w:tc>
          <w:tcPr>
            <w:tcW w:w="1560" w:type="dxa"/>
            <w:vAlign w:val="bottom"/>
          </w:tcPr>
          <w:p>
            <w:pPr>
              <w:jc w:val="right"/>
              <w:ind w:right="33"/>
              <w:spacing w:after="0"/>
              <w:rPr>
                <w:sz w:val="20"/>
                <w:szCs w:val="20"/>
                <w:color w:val="auto"/>
              </w:rPr>
            </w:pPr>
            <w:r>
              <w:rPr>
                <w:rFonts w:ascii="Arial" w:cs="Arial" w:eastAsia="Arial" w:hAnsi="Arial"/>
                <w:sz w:val="17"/>
                <w:szCs w:val="17"/>
                <w:color w:val="auto"/>
              </w:rPr>
              <w:t>10/22/2018</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11,399</w:t>
            </w:r>
          </w:p>
        </w:tc>
        <w:tc>
          <w:tcPr>
            <w:tcW w:w="1400" w:type="dxa"/>
            <w:vAlign w:val="bottom"/>
          </w:tcPr>
          <w:p>
            <w:pPr>
              <w:jc w:val="right"/>
              <w:ind w:right="33"/>
              <w:spacing w:after="0"/>
              <w:rPr>
                <w:sz w:val="20"/>
                <w:szCs w:val="20"/>
                <w:color w:val="auto"/>
              </w:rPr>
            </w:pPr>
            <w:r>
              <w:rPr>
                <w:rFonts w:ascii="Arial" w:cs="Arial" w:eastAsia="Arial" w:hAnsi="Arial"/>
                <w:sz w:val="17"/>
                <w:szCs w:val="17"/>
                <w:color w:val="auto"/>
              </w:rPr>
              <w:t>262,198</w:t>
            </w:r>
          </w:p>
        </w:tc>
        <w:tc>
          <w:tcPr>
            <w:tcW w:w="980" w:type="dxa"/>
            <w:vAlign w:val="bottom"/>
          </w:tcPr>
          <w:p>
            <w:pPr>
              <w:jc w:val="right"/>
              <w:ind w:right="73"/>
              <w:spacing w:after="0"/>
              <w:rPr>
                <w:sz w:val="20"/>
                <w:szCs w:val="20"/>
                <w:color w:val="auto"/>
              </w:rPr>
            </w:pPr>
            <w:r>
              <w:rPr>
                <w:rFonts w:ascii="Arial" w:cs="Arial" w:eastAsia="Arial" w:hAnsi="Arial"/>
                <w:sz w:val="17"/>
                <w:szCs w:val="17"/>
                <w:color w:val="auto"/>
              </w:rPr>
              <w:t>2.19</w:t>
            </w:r>
          </w:p>
        </w:tc>
        <w:tc>
          <w:tcPr>
            <w:tcW w:w="1020" w:type="dxa"/>
            <w:vAlign w:val="bottom"/>
          </w:tcPr>
          <w:p>
            <w:pPr>
              <w:jc w:val="right"/>
              <w:spacing w:after="0"/>
              <w:rPr>
                <w:sz w:val="20"/>
                <w:szCs w:val="20"/>
                <w:color w:val="auto"/>
              </w:rPr>
            </w:pPr>
            <w:r>
              <w:rPr>
                <w:rFonts w:ascii="Arial" w:cs="Arial" w:eastAsia="Arial" w:hAnsi="Arial"/>
                <w:sz w:val="17"/>
                <w:szCs w:val="17"/>
                <w:color w:val="auto"/>
              </w:rPr>
              <w:t>12/12/2028</w:t>
            </w:r>
          </w:p>
        </w:tc>
        <w:tc>
          <w:tcPr>
            <w:tcW w:w="60" w:type="dxa"/>
            <w:vAlign w:val="bottom"/>
          </w:tcPr>
          <w:p>
            <w:pPr>
              <w:spacing w:after="0"/>
              <w:rPr>
                <w:sz w:val="18"/>
                <w:szCs w:val="18"/>
                <w:color w:val="auto"/>
              </w:rPr>
            </w:pPr>
          </w:p>
        </w:tc>
      </w:tr>
      <w:tr>
        <w:trPr>
          <w:trHeight w:val="55"/>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0"/>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Barry S. Ticho</w:t>
            </w:r>
          </w:p>
        </w:tc>
        <w:tc>
          <w:tcPr>
            <w:tcW w:w="14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4/2/2018(2)</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10/2/2017</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63,318</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153,775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0.60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4/2/2028</w:t>
            </w:r>
          </w:p>
        </w:tc>
      </w:tr>
      <w:tr>
        <w:trPr>
          <w:trHeight w:val="200"/>
        </w:trPr>
        <w:tc>
          <w:tcPr>
            <w:tcW w:w="3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12/12/2018(3)</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10/22/2018</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5,360</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123,284</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2.19</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12/12/2028</w:t>
            </w:r>
          </w:p>
        </w:tc>
        <w:tc>
          <w:tcPr>
            <w:tcW w:w="60" w:type="dxa"/>
            <w:vAlign w:val="bottom"/>
            <w:shd w:val="clear" w:color="auto" w:fill="CCEEFF"/>
          </w:tcPr>
          <w:p>
            <w:pPr>
              <w:spacing w:after="0"/>
              <w:rPr>
                <w:sz w:val="17"/>
                <w:szCs w:val="17"/>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 w:lineRule="exact"/>
        <w:rPr>
          <w:sz w:val="20"/>
          <w:szCs w:val="20"/>
          <w:color w:val="auto"/>
        </w:rPr>
      </w:pPr>
    </w:p>
    <w:p>
      <w:pPr>
        <w:ind w:left="600" w:hanging="327"/>
        <w:spacing w:after="0"/>
        <w:tabs>
          <w:tab w:leader="none" w:pos="6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All of the outstanding equity awards were granted under the 2014 Plan.</w:t>
      </w:r>
    </w:p>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160"/>
          </w:cols>
          <w:pgMar w:left="240" w:top="455"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600" w:right="140" w:hanging="327"/>
        <w:spacing w:after="0" w:line="206" w:lineRule="auto"/>
        <w:tabs>
          <w:tab w:leader="none" w:pos="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1/4</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the option vested on the one-year anniversary of the vesting commencement date and an additional 1/48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vests monthly thereafter, subject to the executive’s continued service to us. The options are also subject to double trigger acceleration as described in greater detail in the section entitled “Potential payments upon termination or change in control.”</w:t>
      </w:r>
    </w:p>
    <w:p>
      <w:pPr>
        <w:spacing w:after="0" w:line="32" w:lineRule="exact"/>
        <w:rPr>
          <w:rFonts w:ascii="Arial" w:cs="Arial" w:eastAsia="Arial" w:hAnsi="Arial"/>
          <w:sz w:val="13"/>
          <w:szCs w:val="13"/>
          <w:color w:val="auto"/>
        </w:rPr>
      </w:pPr>
    </w:p>
    <w:p>
      <w:pPr>
        <w:ind w:left="600" w:right="160" w:hanging="327"/>
        <w:spacing w:after="0" w:line="195" w:lineRule="auto"/>
        <w:tabs>
          <w:tab w:leader="none" w:pos="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1/48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the option vests on each one-month anniversary of the vesting commencement date, subject to the executive’s continued service to us. The options are also subject to double trigger acceleration as described in greater detail in the section entitled “Potential payments upon termination or change in control.”</w:t>
      </w:r>
    </w:p>
    <w:p>
      <w:pPr>
        <w:spacing w:after="0" w:line="52" w:lineRule="exact"/>
        <w:rPr>
          <w:rFonts w:ascii="Arial" w:cs="Arial" w:eastAsia="Arial" w:hAnsi="Arial"/>
          <w:sz w:val="13"/>
          <w:szCs w:val="13"/>
          <w:color w:val="auto"/>
        </w:rPr>
      </w:pPr>
    </w:p>
    <w:p>
      <w:pPr>
        <w:ind w:left="600" w:hanging="327"/>
        <w:spacing w:after="0"/>
        <w:tabs>
          <w:tab w:leader="none" w:pos="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option is 100% vested.</w:t>
      </w:r>
    </w:p>
    <w:p>
      <w:pPr>
        <w:spacing w:after="0" w:line="44" w:lineRule="exact"/>
        <w:rPr>
          <w:rFonts w:ascii="Arial" w:cs="Arial" w:eastAsia="Arial" w:hAnsi="Arial"/>
          <w:sz w:val="13"/>
          <w:szCs w:val="13"/>
          <w:color w:val="auto"/>
        </w:rPr>
      </w:pPr>
    </w:p>
    <w:p>
      <w:pPr>
        <w:ind w:left="600" w:hanging="327"/>
        <w:spacing w:after="0" w:line="206" w:lineRule="auto"/>
        <w:tabs>
          <w:tab w:leader="none" w:pos="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1/48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the option vests on each one-month anniversary of the vesting commencement date, subject to the executive’s continued service to us. 100% of the shares subject to the option will vest upon a “change in control” as defined in Dr. Nash’s option agreements and </w:t>
      </w:r>
      <w:r>
        <w:rPr>
          <w:rFonts w:ascii="Arial" w:cs="Arial" w:eastAsia="Arial" w:hAnsi="Arial"/>
          <w:sz w:val="13"/>
          <w:szCs w:val="13"/>
          <w:b w:val="1"/>
          <w:bCs w:val="1"/>
          <w:color w:val="auto"/>
        </w:rPr>
        <w:t>as</w:t>
      </w:r>
      <w:r>
        <w:rPr>
          <w:rFonts w:ascii="Arial" w:cs="Arial" w:eastAsia="Arial" w:hAnsi="Arial"/>
          <w:sz w:val="13"/>
          <w:szCs w:val="13"/>
          <w:color w:val="auto"/>
        </w:rPr>
        <w:t xml:space="preserve"> described in greater detail in the section entitled “Potential payments upon termination or change in control.”</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Employment agreements</w:t>
      </w:r>
    </w:p>
    <w:p>
      <w:pPr>
        <w:spacing w:after="0" w:line="141" w:lineRule="exact"/>
        <w:rPr>
          <w:sz w:val="20"/>
          <w:szCs w:val="20"/>
          <w:color w:val="auto"/>
        </w:rPr>
      </w:pPr>
    </w:p>
    <w:p>
      <w:pPr>
        <w:jc w:val="both"/>
        <w:ind w:left="280" w:right="180"/>
        <w:spacing w:after="0" w:line="253" w:lineRule="auto"/>
        <w:rPr>
          <w:sz w:val="20"/>
          <w:szCs w:val="20"/>
          <w:color w:val="auto"/>
        </w:rPr>
      </w:pPr>
      <w:r>
        <w:rPr>
          <w:rFonts w:ascii="Arial" w:cs="Arial" w:eastAsia="Arial" w:hAnsi="Arial"/>
          <w:sz w:val="17"/>
          <w:szCs w:val="17"/>
          <w:color w:val="auto"/>
        </w:rPr>
        <w:t>We have entered into employment agreements with each of our named executive officers that provide for “at-will” employment and include each named executive officer’s base salary, target discretionary annual incentive bonus opportunity, and initial option grant, or Initial Option Grant. These agreements also provide for severance benefits upon certain involuntary terminations of employment, as described below.</w:t>
      </w:r>
    </w:p>
    <w:p>
      <w:pPr>
        <w:spacing w:after="0" w:line="89"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Pursuant to the employment agreements, upon a termination of each named executive officer’s employment without “cause” or for “good reason” (each as defined in the applicable executive’s employment agreement and as described below), subject to the executive’s execution and non-revocation of a release of claims in favor of the company, the executive will be entitled to continued salary payments and COBRA reimbursement for 12 months following termination of employment, in the case of Drs. Nash and Kaye, and six months following termination of employment, in the case of Dr. Ticho.</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Each named executive officer is also entitled to his earned but unpaid bonus upon a termination for any reason other than for cause.</w:t>
      </w:r>
    </w:p>
    <w:p>
      <w:pPr>
        <w:spacing w:after="0" w:line="111"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Additionally, upon a termination without cause or for good reason within the 90-day period prior to the execution of a definitive agreement providing for the consummation of a “change in control” (as defined in the employment agreement) or the one-year period following a change in control, Drs. Kaye and Ticho will be entitled to full acceleration of the Initial Option Grant.</w:t>
      </w:r>
    </w:p>
    <w:p>
      <w:pPr>
        <w:spacing w:after="0" w:line="89" w:lineRule="exact"/>
        <w:rPr>
          <w:sz w:val="20"/>
          <w:szCs w:val="20"/>
          <w:color w:val="auto"/>
        </w:rPr>
      </w:pPr>
    </w:p>
    <w:p>
      <w:pPr>
        <w:ind w:left="280" w:right="220"/>
        <w:spacing w:after="0" w:line="251" w:lineRule="auto"/>
        <w:rPr>
          <w:sz w:val="20"/>
          <w:szCs w:val="20"/>
          <w:color w:val="auto"/>
        </w:rPr>
      </w:pPr>
      <w:r>
        <w:rPr>
          <w:rFonts w:ascii="Arial" w:cs="Arial" w:eastAsia="Arial" w:hAnsi="Arial"/>
          <w:sz w:val="17"/>
          <w:szCs w:val="17"/>
          <w:color w:val="auto"/>
        </w:rPr>
        <w:t>Pursuant to the employment agreements, each named executive officer is also subject to a post-termination non-competition covenant that extends for 12 months following termination of employment, in the case of Drs. Kaye and Nash, and six months following termination of employment, in the case of Dr. Ticho. In the event the named executive officer breaches his non-competition covenant, such executive will forfeit any unpaid severance benefits.</w:t>
      </w:r>
    </w:p>
    <w:p>
      <w:pPr>
        <w:spacing w:after="0" w:line="89" w:lineRule="exact"/>
        <w:rPr>
          <w:sz w:val="20"/>
          <w:szCs w:val="20"/>
          <w:color w:val="auto"/>
        </w:rPr>
      </w:pPr>
    </w:p>
    <w:p>
      <w:pPr>
        <w:ind w:left="280" w:right="160"/>
        <w:spacing w:after="0" w:line="262" w:lineRule="auto"/>
        <w:rPr>
          <w:sz w:val="20"/>
          <w:szCs w:val="20"/>
          <w:color w:val="auto"/>
        </w:rPr>
      </w:pPr>
      <w:r>
        <w:rPr>
          <w:rFonts w:ascii="Arial" w:cs="Arial" w:eastAsia="Arial" w:hAnsi="Arial"/>
          <w:sz w:val="17"/>
          <w:szCs w:val="17"/>
          <w:color w:val="auto"/>
        </w:rPr>
        <w:t>We have also entered into employee invention assignment and confidentiality agreements with each of our named executive officers, which agreements include a 12-month post-termination non-solicitation covenant.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For purposes of the employment agreements “cause” generally means:</w:t>
      </w:r>
    </w:p>
    <w:p>
      <w:pPr>
        <w:spacing w:after="0" w:line="125" w:lineRule="exact"/>
        <w:rPr>
          <w:sz w:val="20"/>
          <w:szCs w:val="20"/>
          <w:color w:val="auto"/>
        </w:rPr>
      </w:pPr>
    </w:p>
    <w:p>
      <w:pPr>
        <w:ind w:left="480" w:right="120" w:hanging="207"/>
        <w:spacing w:after="0" w:line="262" w:lineRule="auto"/>
        <w:tabs>
          <w:tab w:leader="none" w:pos="4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executive willfully engages in conduct that is in bad faith and materially injurious to us, including but not limited to, misappropriation of trade secrets, fraud or embezzlement;</w:t>
      </w:r>
    </w:p>
    <w:p>
      <w:pPr>
        <w:spacing w:after="0" w:line="93" w:lineRule="exact"/>
        <w:rPr>
          <w:rFonts w:ascii="Arial" w:cs="Arial" w:eastAsia="Arial" w:hAnsi="Arial"/>
          <w:sz w:val="17"/>
          <w:szCs w:val="17"/>
          <w:color w:val="auto"/>
        </w:rPr>
      </w:pPr>
    </w:p>
    <w:p>
      <w:pPr>
        <w:ind w:left="480" w:right="80" w:hanging="207"/>
        <w:spacing w:after="0" w:line="262" w:lineRule="auto"/>
        <w:tabs>
          <w:tab w:leader="none" w:pos="4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executive commits a material breach of any written agreement between the executive and us that causes harm to the company, which breach is not timely cured;</w:t>
      </w:r>
    </w:p>
    <w:p>
      <w:pPr>
        <w:spacing w:after="0" w:line="93" w:lineRule="exact"/>
        <w:rPr>
          <w:rFonts w:ascii="Arial" w:cs="Arial" w:eastAsia="Arial" w:hAnsi="Arial"/>
          <w:sz w:val="17"/>
          <w:szCs w:val="17"/>
          <w:color w:val="auto"/>
        </w:rPr>
      </w:pPr>
    </w:p>
    <w:p>
      <w:pPr>
        <w:ind w:left="480" w:right="220" w:hanging="207"/>
        <w:spacing w:after="0" w:line="262" w:lineRule="auto"/>
        <w:tabs>
          <w:tab w:leader="none" w:pos="4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executive willfully refuses to implement or follow a directive by the board of directors, directly related to the executive’s duties, which breach is not timely cured; or</w:t>
      </w:r>
    </w:p>
    <w:p>
      <w:pPr>
        <w:spacing w:after="0" w:line="93" w:lineRule="exact"/>
        <w:rPr>
          <w:rFonts w:ascii="Arial" w:cs="Arial" w:eastAsia="Arial" w:hAnsi="Arial"/>
          <w:sz w:val="17"/>
          <w:szCs w:val="17"/>
          <w:color w:val="auto"/>
        </w:rPr>
      </w:pPr>
    </w:p>
    <w:p>
      <w:pPr>
        <w:ind w:left="480" w:right="400" w:hanging="207"/>
        <w:spacing w:after="0" w:line="262" w:lineRule="auto"/>
        <w:tabs>
          <w:tab w:leader="none" w:pos="4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executive engages in material misfeasance or malfeasance demonstrated by a continued pattern of material failure to perform the essential job duties associated with executive’s position, which breach is not timely cured.</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For purposes of the employment agreements “good reason” generally means:</w:t>
      </w:r>
    </w:p>
    <w:p>
      <w:pPr>
        <w:spacing w:after="0" w:line="125" w:lineRule="exact"/>
        <w:rPr>
          <w:sz w:val="20"/>
          <w:szCs w:val="20"/>
          <w:color w:val="auto"/>
        </w:rPr>
      </w:pPr>
    </w:p>
    <w:p>
      <w:pPr>
        <w:ind w:left="5560" w:right="2100" w:hanging="5287"/>
        <w:spacing w:after="0" w:line="442" w:lineRule="auto"/>
        <w:tabs>
          <w:tab w:leader="none" w:pos="47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material reduction in the executive’s duties or responsibilities that is inconsistent with the executive’s position; 136</w:t>
      </w:r>
    </w:p>
    <w:p>
      <w:pPr>
        <w:sectPr>
          <w:pgSz w:w="11900" w:h="16838" w:orient="portrait"/>
          <w:cols w:equalWidth="0" w:num="1">
            <w:col w:w="11100"/>
          </w:cols>
          <w:pgMar w:left="240" w:top="455" w:right="5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560" w:hanging="207"/>
        <w:spacing w:after="0" w:line="262" w:lineRule="auto"/>
        <w:tabs>
          <w:tab w:leader="none" w:pos="4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requirement that the executive change his principal office to a facility that increases his commute by more than 40 miles from his commute to the location at which he was employed prior to such change, or</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material reduction in the executive’s base salary or a material reduction in the executive’s employee benefits.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Potential payments upon termination or change in control</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131" w:lineRule="exact"/>
        <w:rPr>
          <w:sz w:val="20"/>
          <w:szCs w:val="20"/>
          <w:color w:val="auto"/>
        </w:rPr>
      </w:pPr>
    </w:p>
    <w:p>
      <w:pPr>
        <w:ind w:left="280" w:right="280"/>
        <w:spacing w:after="0" w:line="253" w:lineRule="auto"/>
        <w:rPr>
          <w:sz w:val="20"/>
          <w:szCs w:val="20"/>
          <w:color w:val="auto"/>
        </w:rPr>
      </w:pPr>
      <w:r>
        <w:rPr>
          <w:rFonts w:ascii="Arial" w:cs="Arial" w:eastAsia="Arial" w:hAnsi="Arial"/>
          <w:sz w:val="17"/>
          <w:szCs w:val="17"/>
          <w:color w:val="auto"/>
        </w:rPr>
        <w:t>As described in greater detail above in the section entitled “—Employment agreements”, each named executive officer is eligible to receive certain severance and/or acceleration benefits upon a qualifying termination of employment pursuant to such named executive officer’s employment agreement.</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Option Grant Agreements</w:t>
      </w:r>
    </w:p>
    <w:p>
      <w:pPr>
        <w:spacing w:after="0" w:line="131" w:lineRule="exact"/>
        <w:rPr>
          <w:sz w:val="20"/>
          <w:szCs w:val="20"/>
          <w:color w:val="auto"/>
        </w:rPr>
      </w:pPr>
    </w:p>
    <w:p>
      <w:pPr>
        <w:ind w:left="280" w:right="420"/>
        <w:spacing w:after="0" w:line="262" w:lineRule="auto"/>
        <w:rPr>
          <w:sz w:val="20"/>
          <w:szCs w:val="20"/>
          <w:color w:val="auto"/>
        </w:rPr>
      </w:pPr>
      <w:r>
        <w:rPr>
          <w:rFonts w:ascii="Arial" w:cs="Arial" w:eastAsia="Arial" w:hAnsi="Arial"/>
          <w:sz w:val="17"/>
          <w:szCs w:val="17"/>
          <w:color w:val="auto"/>
        </w:rPr>
        <w:t>Pursuant to Dr. Nash’s option grant agreements with us, Dr. Nash is also entitled to receive acceleration of vesting of 100% of the shares subject to each of his outstanding and unvested options upon a change in control.</w:t>
      </w:r>
    </w:p>
    <w:p>
      <w:pPr>
        <w:spacing w:after="0" w:line="80"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Pursuant to each of Dr. Kaye’s and Dr. Ticho’s option grant agreements with us, upon a termination of the executive’s employment without cause or for good reason (each as defined above under the section entitled “—Employment agreements”) within the period beginning 90 days prior to execution of a definitive agreement providing for the consummation of a change in control and ending 12 months following a change in control, the executive will be entitled to 100% acceleration of any outstanding and unvested options subject to such option grant agreements.</w:t>
      </w:r>
    </w:p>
    <w:p>
      <w:pPr>
        <w:spacing w:after="0" w:line="89" w:lineRule="exact"/>
        <w:rPr>
          <w:sz w:val="20"/>
          <w:szCs w:val="20"/>
          <w:color w:val="auto"/>
        </w:rPr>
      </w:pPr>
    </w:p>
    <w:p>
      <w:pPr>
        <w:ind w:left="280" w:right="140"/>
        <w:spacing w:after="0" w:line="248" w:lineRule="auto"/>
        <w:rPr>
          <w:sz w:val="20"/>
          <w:szCs w:val="20"/>
          <w:color w:val="auto"/>
        </w:rPr>
      </w:pPr>
      <w:r>
        <w:rPr>
          <w:rFonts w:ascii="Arial" w:cs="Arial" w:eastAsia="Arial" w:hAnsi="Arial"/>
          <w:sz w:val="17"/>
          <w:szCs w:val="17"/>
          <w:color w:val="auto"/>
        </w:rPr>
        <w:t>For purposes of the option grant agreements, change in control generally means (i) a transaction or series of transactions resulting in our liquidation, dissolution or winding up, (ii) a sale of all or substantially all of our assets, followed by a liquidation, dissolution or winding up, (iii) any sale or exchange of our capital stock by our stockholders where more than 50% of the outstanding voting power of the company is acquired by a person or entity or group of related persons or entities (other than pursuant to a recapitalization solely with our equity holders), or (iv) any merger or consolidation in which our pre-merger or pre-consolidation shareholders do not possess at least a majority of the total voting power of the surviving entity.</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Equity compensation plans and other benefit plans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2014 equity incentive plan</w:t>
      </w:r>
    </w:p>
    <w:p>
      <w:pPr>
        <w:spacing w:after="0" w:line="131" w:lineRule="exact"/>
        <w:rPr>
          <w:sz w:val="20"/>
          <w:szCs w:val="20"/>
          <w:color w:val="auto"/>
        </w:rPr>
      </w:pPr>
    </w:p>
    <w:p>
      <w:pPr>
        <w:ind w:left="280" w:right="160"/>
        <w:spacing w:after="0" w:line="251" w:lineRule="auto"/>
        <w:rPr>
          <w:sz w:val="20"/>
          <w:szCs w:val="20"/>
          <w:color w:val="auto"/>
        </w:rPr>
      </w:pPr>
      <w:r>
        <w:rPr>
          <w:rFonts w:ascii="Arial" w:cs="Arial" w:eastAsia="Arial" w:hAnsi="Arial"/>
          <w:sz w:val="17"/>
          <w:szCs w:val="17"/>
          <w:color w:val="auto"/>
        </w:rPr>
        <w:t>In 2014, we adopted the 2014 Equity Incentive Plan, or the 2014 Plan, as most recently amended on October 15, 2018. The purposes of the 2014 Plan are to attract and retain the best available personnel for positions of substantial responsibility, to provide additional incentive to employees, directors and consultants and to promote the success of our business. The material terms of the 2014 Plan are summarized below:</w:t>
      </w:r>
    </w:p>
    <w:p>
      <w:pPr>
        <w:spacing w:after="0" w:line="71" w:lineRule="exact"/>
        <w:rPr>
          <w:sz w:val="20"/>
          <w:szCs w:val="20"/>
          <w:color w:val="auto"/>
        </w:rPr>
      </w:pPr>
    </w:p>
    <w:p>
      <w:pPr>
        <w:ind w:left="280" w:right="100"/>
        <w:spacing w:after="0" w:line="255"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March 31, 2019, we had 4,652,098 shares of our common stock reserved for issuance pursuant to grants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2014 Plan of which 395,316 shares remained available for grant. As of March 31, 2019, options to purchase 222,133 shares had been exercised and options to purchase 4,034,649 of shares remained outstanding, with a weighted-average exercise price of $1.64 per share. As of March 31, 2019, no shares of restricted stock, no restricted stock units and no stock appreciation rights were granted under the 2014 Plan. No new awards will be granted under the 2014 Plan after the offering.</w:t>
      </w:r>
    </w:p>
    <w:p>
      <w:pPr>
        <w:spacing w:after="0" w:line="68" w:lineRule="exact"/>
        <w:rPr>
          <w:sz w:val="20"/>
          <w:szCs w:val="20"/>
          <w:color w:val="auto"/>
        </w:rPr>
      </w:pPr>
    </w:p>
    <w:p>
      <w:pPr>
        <w:jc w:val="both"/>
        <w:ind w:left="280" w:right="440"/>
        <w:spacing w:after="0" w:line="264"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2014 Plan is administered by our board of directors or a committee appointed by our board of directors, referred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herein as the “administrator”. Subject to the terms of the 2014 Plan, the administrator has the authority to, among other things, select the persons to whom awards will be granted,</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160"/>
          </w:cols>
          <w:pgMar w:left="240" w:top="455"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80"/>
        <w:spacing w:after="0" w:line="262" w:lineRule="auto"/>
        <w:rPr>
          <w:sz w:val="20"/>
          <w:szCs w:val="20"/>
          <w:color w:val="auto"/>
        </w:rPr>
      </w:pPr>
      <w:r>
        <w:rPr>
          <w:rFonts w:ascii="Arial" w:cs="Arial" w:eastAsia="Arial" w:hAnsi="Arial"/>
          <w:sz w:val="17"/>
          <w:szCs w:val="17"/>
          <w:color w:val="auto"/>
        </w:rPr>
        <w:t>construe and interpret our 2014 Plan as well as to prescribe, amend and rescind rules and regulations relating to the 2014 Plan and awards granted thereunder. The administrator may modify awards subject to the terms of the 2014 Plan.</w:t>
      </w:r>
    </w:p>
    <w:p>
      <w:pPr>
        <w:spacing w:after="0" w:line="62" w:lineRule="exact"/>
        <w:rPr>
          <w:sz w:val="20"/>
          <w:szCs w:val="20"/>
          <w:color w:val="auto"/>
        </w:rPr>
      </w:pPr>
    </w:p>
    <w:p>
      <w:pPr>
        <w:jc w:val="both"/>
        <w:ind w:left="280" w:right="80"/>
        <w:spacing w:after="0" w:line="264"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Pursuant to the 2014 Plan, we may grant incentive stock options only to our employees (including officers and directors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also employees). We may grant non-statutory stock options and stock purchase rights to our employees (including officers and directors who are also employees), non-employee directors and consultants.</w:t>
      </w:r>
    </w:p>
    <w:p>
      <w:pPr>
        <w:spacing w:after="0" w:line="62" w:lineRule="exact"/>
        <w:rPr>
          <w:sz w:val="20"/>
          <w:szCs w:val="20"/>
          <w:color w:val="auto"/>
        </w:rPr>
      </w:pPr>
    </w:p>
    <w:p>
      <w:pPr>
        <w:ind w:left="280" w:right="20"/>
        <w:spacing w:after="0" w:line="253"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2014 Plan provides for the grant of both (i) incentive stock options, which are intended to qualify for tax treatment as set forth</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422 of the Code, as amended, or the Code, and (ii) non-statutory stock options to purchase shares of our common stock, each at a stated exercise price. The exercise price of each option must be at least equal to the fair market value of our common stock on the date of grant (unless otherwise determined by the administrator). However, the exercise price of any incentive stock option granted to an individual who owns more than ten percent of the total combined voting power of all classes of our capital stock must be at least equal to 110% of the fair market value of our common stock on the date of grant.</w:t>
      </w:r>
    </w:p>
    <w:p>
      <w:pPr>
        <w:spacing w:after="0" w:line="88"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The administrator will determine the vesting schedule applicable to each option. The maximum permitted term of options granted under our 2014 Plan is ten years from the date of grant, except that the maximum permitted term of incentive stock options granted to an individual who owns more than ten percent of the total combined voting power of all classes of our capital stock is five years from the date of grant.</w:t>
      </w:r>
    </w:p>
    <w:p>
      <w:pPr>
        <w:spacing w:after="0" w:line="71" w:lineRule="exact"/>
        <w:rPr>
          <w:sz w:val="20"/>
          <w:szCs w:val="20"/>
          <w:color w:val="auto"/>
        </w:rPr>
      </w:pPr>
    </w:p>
    <w:p>
      <w:pPr>
        <w:ind w:left="280" w:right="180"/>
        <w:spacing w:after="0" w:line="258" w:lineRule="auto"/>
        <w:rPr>
          <w:sz w:val="20"/>
          <w:szCs w:val="20"/>
          <w:color w:val="auto"/>
        </w:rPr>
      </w:pPr>
      <w:r>
        <w:rPr>
          <w:rFonts w:ascii="Arial" w:cs="Arial" w:eastAsia="Arial" w:hAnsi="Arial"/>
          <w:sz w:val="17"/>
          <w:szCs w:val="17"/>
          <w:i w:val="1"/>
          <w:iCs w:val="1"/>
          <w:color w:val="auto"/>
        </w:rPr>
        <w:t xml:space="preserve">Restricted stock, restricted stock units, stock appreciation rights. </w:t>
      </w:r>
      <w:r>
        <w:rPr>
          <w:rFonts w:ascii="Arial" w:cs="Arial" w:eastAsia="Arial" w:hAnsi="Arial"/>
          <w:sz w:val="17"/>
          <w:szCs w:val="17"/>
          <w:color w:val="auto"/>
        </w:rPr>
        <w:t>In addition, the 2014 Plan allows for the grant of restricted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and stock appreciation rights, with terms as generally determined by the administrator (in accordance with the 2014 Plan) and to be set forth in an award agreement. We have not granted any shares of restricted stock, any restricted stock units or any stock appreciation rights under the 2014 Plan.</w:t>
      </w:r>
    </w:p>
    <w:p>
      <w:pPr>
        <w:spacing w:after="0" w:line="66" w:lineRule="exact"/>
        <w:rPr>
          <w:sz w:val="20"/>
          <w:szCs w:val="20"/>
          <w:color w:val="auto"/>
        </w:rPr>
      </w:pPr>
    </w:p>
    <w:p>
      <w:pPr>
        <w:ind w:left="280"/>
        <w:spacing w:after="0" w:line="264" w:lineRule="auto"/>
        <w:rPr>
          <w:sz w:val="20"/>
          <w:szCs w:val="20"/>
          <w:color w:val="auto"/>
        </w:rPr>
      </w:pPr>
      <w:r>
        <w:rPr>
          <w:rFonts w:ascii="Arial" w:cs="Arial" w:eastAsia="Arial" w:hAnsi="Arial"/>
          <w:sz w:val="17"/>
          <w:szCs w:val="17"/>
          <w:i w:val="1"/>
          <w:iCs w:val="1"/>
          <w:color w:val="auto"/>
        </w:rPr>
        <w:t>Limited transferability</w:t>
      </w:r>
      <w:r>
        <w:rPr>
          <w:rFonts w:ascii="Arial" w:cs="Arial" w:eastAsia="Arial" w:hAnsi="Arial"/>
          <w:sz w:val="17"/>
          <w:szCs w:val="17"/>
          <w:color w:val="auto"/>
        </w:rPr>
        <w:t>. Unless otherwise determined by the Administrator, awards under the 2014 Plan generally may not be sold, pledged,</w:t>
      </w:r>
      <w:r>
        <w:rPr>
          <w:rFonts w:ascii="Arial" w:cs="Arial" w:eastAsia="Arial" w:hAnsi="Arial"/>
          <w:sz w:val="17"/>
          <w:szCs w:val="17"/>
          <w:i w:val="1"/>
          <w:iCs w:val="1"/>
          <w:color w:val="auto"/>
        </w:rPr>
        <w:t xml:space="preserve"> </w:t>
      </w:r>
      <w:r>
        <w:rPr>
          <w:rFonts w:ascii="Arial" w:cs="Arial" w:eastAsia="Arial" w:hAnsi="Arial"/>
          <w:sz w:val="17"/>
          <w:szCs w:val="17"/>
          <w:color w:val="auto"/>
        </w:rPr>
        <w:t>assigned, hypothecated, transferred or disposed of in any manner other than by will, the laws of descent and distribution or qualified domestic relations orders.</w:t>
      </w:r>
    </w:p>
    <w:p>
      <w:pPr>
        <w:spacing w:after="0" w:line="62" w:lineRule="exact"/>
        <w:rPr>
          <w:sz w:val="20"/>
          <w:szCs w:val="20"/>
          <w:color w:val="auto"/>
        </w:rPr>
      </w:pPr>
    </w:p>
    <w:p>
      <w:pPr>
        <w:ind w:left="280" w:right="140"/>
        <w:spacing w:after="0" w:line="252"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In the event that we are subject to an “acquisition” or “other combination” (as defined in the 2014 Plan and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collectively, a merger, a sale or transfer of more than 50% of the voting power of all of our outstanding securities, or a sale of all or substantially all of the assets of ours), the 2014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the acceleration of vesting of awards, the settlement of awards (whether or not vested) in cash, securities or other consideration, or the cancellation of such awards for no consideration.</w:t>
      </w:r>
    </w:p>
    <w:p>
      <w:pPr>
        <w:spacing w:after="0" w:line="70" w:lineRule="exact"/>
        <w:rPr>
          <w:sz w:val="20"/>
          <w:szCs w:val="20"/>
          <w:color w:val="auto"/>
        </w:rPr>
      </w:pPr>
    </w:p>
    <w:p>
      <w:pPr>
        <w:ind w:left="280" w:right="180"/>
        <w:spacing w:after="0" w:line="253"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In the event of a dividend or other distribution, recapitalization, stock split, reverse stock split, reorganization,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split-up, spin-off, combination, repurchase or exchange of any of our securities, or other change in our corporate structure affecting the shares of common stock issued under the 2014 Plan, the number and class of shares that may be delivered under 2014 Plan and/or the number, class and price of shares covered by each outstanding award will (to the extent appropriate) be appropriately adjusted (subject to required action by the board), in order to prevent diminution or enlargement of benefits or potential benefits intended to be made available under the 2014 Plan or otherwise as required by applicable law.</w:t>
      </w:r>
    </w:p>
    <w:p>
      <w:pPr>
        <w:spacing w:after="0" w:line="70" w:lineRule="exact"/>
        <w:rPr>
          <w:sz w:val="20"/>
          <w:szCs w:val="20"/>
          <w:color w:val="auto"/>
        </w:rPr>
      </w:pPr>
    </w:p>
    <w:p>
      <w:pPr>
        <w:ind w:left="280" w:right="400"/>
        <w:spacing w:after="0" w:line="284" w:lineRule="auto"/>
        <w:rPr>
          <w:sz w:val="20"/>
          <w:szCs w:val="20"/>
          <w:color w:val="auto"/>
        </w:rPr>
      </w:pPr>
      <w:r>
        <w:rPr>
          <w:rFonts w:ascii="Arial" w:cs="Arial" w:eastAsia="Arial" w:hAnsi="Arial"/>
          <w:sz w:val="17"/>
          <w:szCs w:val="17"/>
          <w:i w:val="1"/>
          <w:iCs w:val="1"/>
          <w:color w:val="auto"/>
        </w:rPr>
        <w:t xml:space="preserve">Exchange, repricing and buyout of awards. </w:t>
      </w:r>
      <w:r>
        <w:rPr>
          <w:rFonts w:ascii="Arial" w:cs="Arial" w:eastAsia="Arial" w:hAnsi="Arial"/>
          <w:sz w:val="17"/>
          <w:szCs w:val="17"/>
          <w:color w:val="auto"/>
        </w:rPr>
        <w:t>The administrator may, with the consent of the respective participants, issue new awards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the surrender and cancelation of any or all outstanding awards.</w:t>
      </w:r>
    </w:p>
    <w:p>
      <w:pPr>
        <w:spacing w:after="0" w:line="10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120"/>
          </w:cols>
          <w:pgMar w:left="240" w:top="455" w:right="5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The administrator may also reduce the exercise price of options or stock appreciation rights or buy an award previously granted with payment in cash, shares or other consideration, in each case, subject to the terms of the 2014 Plan.</w:t>
      </w:r>
    </w:p>
    <w:p>
      <w:pPr>
        <w:spacing w:after="0" w:line="62" w:lineRule="exact"/>
        <w:rPr>
          <w:sz w:val="20"/>
          <w:szCs w:val="20"/>
          <w:color w:val="auto"/>
        </w:rPr>
      </w:pPr>
    </w:p>
    <w:p>
      <w:pPr>
        <w:ind w:left="280" w:right="80"/>
        <w:spacing w:after="0" w:line="253" w:lineRule="auto"/>
        <w:rPr>
          <w:sz w:val="20"/>
          <w:szCs w:val="20"/>
          <w:color w:val="auto"/>
        </w:rPr>
      </w:pPr>
      <w:r>
        <w:rPr>
          <w:rFonts w:ascii="Arial" w:cs="Arial" w:eastAsia="Arial" w:hAnsi="Arial"/>
          <w:sz w:val="17"/>
          <w:szCs w:val="17"/>
          <w:i w:val="1"/>
          <w:iCs w:val="1"/>
          <w:color w:val="auto"/>
        </w:rPr>
        <w:t xml:space="preserve">Amendment/termination. </w:t>
      </w:r>
      <w:r>
        <w:rPr>
          <w:rFonts w:ascii="Arial" w:cs="Arial" w:eastAsia="Arial" w:hAnsi="Arial"/>
          <w:sz w:val="17"/>
          <w:szCs w:val="17"/>
          <w:color w:val="auto"/>
        </w:rPr>
        <w:t>The Board may amend or terminate the 2014 Plan at any time and may terminate any and all outstanding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stock appreciation rights upon a dissolution or liquidation of us, provided that certain amendments will require shareholder approval. We expect to terminate the 2014 Plan and will cease issuing awards thereunder upon the effective date of our 2019 Equity Incentive Plan (described below), which is the date immediately prior to the date of the effectiveness of the registration statement of which this prospectus forms a part. Any outstanding awards granted under the 2014 Plan will remain outstanding following the offering, subject to the terms of our 2014 Plan and applicable award agreements, until such awards are exercised or until they terminate or expire by their terms.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2019 equity incentive plan</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have adopted our 2019 Equity Incentive Plan, or the 2019 Plan, that will become effective on the date immediately prior to the date of the effectiveness of the registration of which this prospectus forms a part and will serve as the successor to our 2014 Plan. Our 2019 Plan authorizes the award of stock options, restricted stock awards, or RSAs, stock appreciation rights, or SARs, restricted stock units, or RSUs, performance awards, cash awards and stock bonus awards. We have initially reserved 2,200,000 shares of our common stock, plus any reserved shares not issued or subject to outstanding grants under the 2014 Plan on the effective date of the 2019 Plan, for issuance pursuant to awards granted under our 2019 Plan. The number of shares reserved for issuance under our 2019 Plan will increase automatically on January 1 of each of 2020 through 2029 by the number of shares equal to 4% of the aggregate number of outstanding shares of our common stock as of the immediately preceding December 31, or a lesser number as may be determined by our board of directors.</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addition, the following shares will again be available for issuance pursuant to awards granted under our 2019 Plan:</w:t>
      </w:r>
    </w:p>
    <w:p>
      <w:pPr>
        <w:spacing w:after="0" w:line="125" w:lineRule="exact"/>
        <w:rPr>
          <w:sz w:val="20"/>
          <w:szCs w:val="20"/>
          <w:color w:val="auto"/>
        </w:rPr>
      </w:pPr>
    </w:p>
    <w:p>
      <w:pPr>
        <w:ind w:left="480" w:right="280" w:hanging="207"/>
        <w:spacing w:after="0" w:line="262" w:lineRule="auto"/>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shares subject to options or SARs granted under our 2019 Plan that cease to be subject to the option or SAR for any reason other than exercise of the option or SAR;</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shares subject to awards granted under our 2019 Plan that are subsequently forfeited or repurchased by us at the original issue price;</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shares subject to awards granted under our 2019 Plan that otherwise terminate without such shares being issued;</w:t>
      </w:r>
    </w:p>
    <w:p>
      <w:pPr>
        <w:spacing w:after="0" w:line="124" w:lineRule="exact"/>
        <w:rPr>
          <w:rFonts w:ascii="Arial" w:cs="Arial" w:eastAsia="Arial" w:hAnsi="Arial"/>
          <w:sz w:val="17"/>
          <w:szCs w:val="17"/>
          <w:color w:val="auto"/>
        </w:rPr>
      </w:pPr>
    </w:p>
    <w:p>
      <w:pPr>
        <w:ind w:left="480" w:right="440" w:hanging="207"/>
        <w:spacing w:after="0" w:line="262" w:lineRule="auto"/>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shares subject to awards granted under our 2019 Plan that are surrendered, cancelled or exchanged for cash or a different award (or combination thereof);</w:t>
      </w:r>
    </w:p>
    <w:p>
      <w:pPr>
        <w:spacing w:after="0" w:line="93" w:lineRule="exact"/>
        <w:rPr>
          <w:rFonts w:ascii="Arial" w:cs="Arial" w:eastAsia="Arial" w:hAnsi="Arial"/>
          <w:sz w:val="17"/>
          <w:szCs w:val="17"/>
          <w:color w:val="auto"/>
        </w:rPr>
      </w:pPr>
    </w:p>
    <w:p>
      <w:pPr>
        <w:ind w:left="480" w:right="400" w:hanging="207"/>
        <w:spacing w:after="0" w:line="262" w:lineRule="auto"/>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shares issuable upon the exercise of options or subject to other awards granted under our 2014 Plan that cease to be subject to such options or other awards, by forfeiture or otherwise, after the termination of the 2014 Plan;</w:t>
      </w:r>
    </w:p>
    <w:p>
      <w:pPr>
        <w:spacing w:after="0" w:line="93" w:lineRule="exact"/>
        <w:rPr>
          <w:rFonts w:ascii="Arial" w:cs="Arial" w:eastAsia="Arial" w:hAnsi="Arial"/>
          <w:sz w:val="17"/>
          <w:szCs w:val="17"/>
          <w:color w:val="auto"/>
        </w:rPr>
      </w:pPr>
    </w:p>
    <w:p>
      <w:pPr>
        <w:ind w:left="480" w:right="160" w:hanging="207"/>
        <w:spacing w:after="0" w:line="262" w:lineRule="auto"/>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shares subject to awards granted under our 2014 Plan that are forfeited or repurchased by us at the original price after the termination of the 2014 Plan; and</w:t>
      </w:r>
    </w:p>
    <w:p>
      <w:pPr>
        <w:spacing w:after="0" w:line="93" w:lineRule="exact"/>
        <w:rPr>
          <w:rFonts w:ascii="Arial" w:cs="Arial" w:eastAsia="Arial" w:hAnsi="Arial"/>
          <w:sz w:val="17"/>
          <w:szCs w:val="17"/>
          <w:color w:val="auto"/>
        </w:rPr>
      </w:pPr>
    </w:p>
    <w:p>
      <w:pPr>
        <w:ind w:left="480" w:right="180" w:hanging="207"/>
        <w:spacing w:after="0" w:line="262" w:lineRule="auto"/>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shares subject to awards under our 2014 Plan or our 2019 Plan that are used to pay the exercise price of an option or withheld to satisfy the tax withholding obligations related to any award.</w:t>
      </w:r>
    </w:p>
    <w:p>
      <w:pPr>
        <w:spacing w:after="0" w:line="62" w:lineRule="exact"/>
        <w:rPr>
          <w:sz w:val="20"/>
          <w:szCs w:val="20"/>
          <w:color w:val="auto"/>
        </w:rPr>
      </w:pPr>
    </w:p>
    <w:p>
      <w:pPr>
        <w:ind w:left="280" w:right="140"/>
        <w:spacing w:after="0" w:line="284"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2019 Plan is expected to be administered by our compensation committee, or by our board of directors acting in place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compensation committee. Subject to the terms and conditions of the</w:t>
      </w:r>
    </w:p>
    <w:p>
      <w:pPr>
        <w:spacing w:after="0" w:line="10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100"/>
          </w:cols>
          <w:pgMar w:left="240" w:top="455" w:right="5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80"/>
        <w:spacing w:after="0" w:line="249" w:lineRule="auto"/>
        <w:rPr>
          <w:sz w:val="20"/>
          <w:szCs w:val="20"/>
          <w:color w:val="auto"/>
        </w:rPr>
      </w:pPr>
      <w:r>
        <w:rPr>
          <w:rFonts w:ascii="Arial" w:cs="Arial" w:eastAsia="Arial" w:hAnsi="Arial"/>
          <w:sz w:val="17"/>
          <w:szCs w:val="17"/>
          <w:color w:val="auto"/>
        </w:rPr>
        <w:t>2019 Plan, the compensation committee will have the authority, among other things, to select the persons to whom awards may be granted, construe and interpret our 2019 Plan as well as to determine the terms of such awards and prescribe, amend and rescind the rules and regulations relating to the plan or any award granted thereunder. The 2019 Plan provides that the board or compensation committee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75" w:lineRule="exact"/>
        <w:rPr>
          <w:sz w:val="20"/>
          <w:szCs w:val="20"/>
          <w:color w:val="auto"/>
        </w:rPr>
      </w:pPr>
    </w:p>
    <w:p>
      <w:pPr>
        <w:ind w:left="280"/>
        <w:spacing w:after="0" w:line="258"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Our 2019 Plan provides for the grant of awards to our employees, directors, consultants, independent contractors and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No non-employee director may receive awards under our 2019 Plan that, when combined with cash compensation received for services as a non-employee director, exceed $500,000 in a calendar year or $1,000,000 in the calendar year of his or her initial services as a non-employee director with us.</w:t>
      </w:r>
    </w:p>
    <w:p>
      <w:pPr>
        <w:spacing w:after="0" w:line="66"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2019 Plan provides for the grant of both incentive stock options intended to qualify under Section 422 of the Code, and</w:t>
      </w:r>
      <w:r>
        <w:rPr>
          <w:rFonts w:ascii="Arial" w:cs="Arial" w:eastAsia="Arial" w:hAnsi="Arial"/>
          <w:sz w:val="17"/>
          <w:szCs w:val="17"/>
          <w:i w:val="1"/>
          <w:iCs w:val="1"/>
          <w:color w:val="auto"/>
        </w:rPr>
        <w:t xml:space="preserve"> </w:t>
      </w:r>
      <w:r>
        <w:rPr>
          <w:rFonts w:ascii="Arial" w:cs="Arial" w:eastAsia="Arial" w:hAnsi="Arial"/>
          <w:sz w:val="17"/>
          <w:szCs w:val="17"/>
          <w:color w:val="auto"/>
        </w:rPr>
        <w:t>non-statutory stock options to purchase shares of our common stock at a stated exercise price. Incentive stock options may only be granted to employees, including officers and directors who are also employees. The exercise price of stock options granted under the 2019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 Subject to stock splits, dividends, recapitalizations or similar events, no more than 22,000,000 shares may be issued pursuant to the exercise of incentive stock options granted under the 2019 Plan.</w:t>
      </w:r>
    </w:p>
    <w:p>
      <w:pPr>
        <w:spacing w:after="0" w:line="294"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Options may vest based on service or achievement of performance conditions. Our compensation committee may provide for options to be exercised only as they vest or to be immediately exercisable, with any shares issued on exercise being subject to our right of repurchase that lapses as the shares vest. The maximum term of options granted under our 2019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75"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An RSA is an offer by us to sell shares of our common stock subject to restrictions, which may lapse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service or achievement of performance conditions. The price, if any, of an RSA will be determined by the compensation committee. Holders of RSAs, unlike holders of options, will have the right to vote and any dividends or stock distributions paid pursuant to RSAs will be accrued and paid when the restrictions on such shares lapse. Unless otherwise determined by the compensation committee at the time of award, vesting will cease on the date the participant no longer provides services to us and unvested shares may be forfeited to or repurchased by us.</w:t>
      </w:r>
    </w:p>
    <w:p>
      <w:pPr>
        <w:spacing w:after="0" w:line="70" w:lineRule="exact"/>
        <w:rPr>
          <w:sz w:val="20"/>
          <w:szCs w:val="20"/>
          <w:color w:val="auto"/>
        </w:rPr>
      </w:pPr>
    </w:p>
    <w:p>
      <w:pPr>
        <w:ind w:left="280" w:right="100"/>
        <w:spacing w:after="0" w:line="25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 SAR provides for a payment, in cash or shares of our common stock (up to a specified maximum of shares, if</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compensation committee), to the holder based upon the difference between the fair market value of our common stock on the date of exercise and a predetermined exercise price, multiplied by the number of shares. The exercise price of a SAR must be at least equal to the fair market value of a share of our common stock on the date of grant. SARs may vest based on service or achievement of performance conditions, and may not have a term that is longer than ten years from the date of grant.</w:t>
      </w:r>
    </w:p>
    <w:p>
      <w:pPr>
        <w:spacing w:after="0" w:line="68" w:lineRule="exact"/>
        <w:rPr>
          <w:sz w:val="20"/>
          <w:szCs w:val="20"/>
          <w:color w:val="auto"/>
        </w:rPr>
      </w:pPr>
    </w:p>
    <w:p>
      <w:pPr>
        <w:ind w:left="280" w:right="20"/>
        <w:spacing w:after="0" w:line="264"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RSUs represent the right to receive shares of our common stock at a specified date in the future, and may be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vesting based on service or achievement of performance conditions. Payment of earned RSUs will be made as soon as practicable on a date determined at the time of grant, and may be</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140"/>
          </w:cols>
          <w:pgMar w:left="240" w:top="455"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settled in cash, shares of our common stock or a combination of both. No RSU may have a term that is longer than ten years from the date of grant.</w:t>
      </w:r>
    </w:p>
    <w:p>
      <w:pPr>
        <w:spacing w:after="0" w:line="62" w:lineRule="exact"/>
        <w:rPr>
          <w:sz w:val="20"/>
          <w:szCs w:val="20"/>
          <w:color w:val="auto"/>
        </w:rPr>
      </w:pPr>
    </w:p>
    <w:p>
      <w:pPr>
        <w:ind w:left="280" w:right="20"/>
        <w:spacing w:after="0" w:line="264"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Performance awards granted to pursuant to the 2019 Plan may be in the form of a cash bonus, or an award of</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shares or performance units denominated in shares of our common stock that may be settled in cash, property or by issuance of those shares subject to the satisfaction or achievement of specified performance conditions.</w:t>
      </w:r>
    </w:p>
    <w:p>
      <w:pPr>
        <w:spacing w:after="0" w:line="62" w:lineRule="exact"/>
        <w:rPr>
          <w:sz w:val="20"/>
          <w:szCs w:val="20"/>
          <w:color w:val="auto"/>
        </w:rPr>
      </w:pPr>
    </w:p>
    <w:p>
      <w:pPr>
        <w:ind w:left="280" w:right="80"/>
        <w:spacing w:after="0" w:line="258" w:lineRule="auto"/>
        <w:rPr>
          <w:sz w:val="20"/>
          <w:szCs w:val="20"/>
          <w:color w:val="auto"/>
        </w:rPr>
      </w:pPr>
      <w:r>
        <w:rPr>
          <w:rFonts w:ascii="Arial" w:cs="Arial" w:eastAsia="Arial" w:hAnsi="Arial"/>
          <w:sz w:val="17"/>
          <w:szCs w:val="17"/>
          <w:i w:val="1"/>
          <w:iCs w:val="1"/>
          <w:color w:val="auto"/>
        </w:rPr>
        <w:t>Stock bonus awards</w:t>
      </w:r>
      <w:r>
        <w:rPr>
          <w:rFonts w:ascii="Arial" w:cs="Arial" w:eastAsia="Arial" w:hAnsi="Arial"/>
          <w:sz w:val="17"/>
          <w:szCs w:val="17"/>
          <w:color w:val="auto"/>
        </w:rPr>
        <w:t>. A stock bonus award provides for payment in the form of cash, shares of our common stock or a combination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fair market value of shares subject to such award as determined by our compensation committee. The awards may be granted as consideration for services already rendered, or at the discretion of the compensation committee, may be subject to vesting restrictions based on continued service or performance conditions.</w:t>
      </w:r>
    </w:p>
    <w:p>
      <w:pPr>
        <w:spacing w:after="0" w:line="66" w:lineRule="exact"/>
        <w:rPr>
          <w:sz w:val="20"/>
          <w:szCs w:val="20"/>
          <w:color w:val="auto"/>
        </w:rPr>
      </w:pPr>
    </w:p>
    <w:p>
      <w:pPr>
        <w:ind w:left="280"/>
        <w:spacing w:after="0"/>
        <w:tabs>
          <w:tab w:leader="none" w:pos="1560" w:val="left"/>
        </w:tabs>
        <w:rPr>
          <w:sz w:val="20"/>
          <w:szCs w:val="20"/>
          <w:color w:val="auto"/>
        </w:rPr>
      </w:pPr>
      <w:r>
        <w:rPr>
          <w:rFonts w:ascii="Arial" w:cs="Arial" w:eastAsia="Arial" w:hAnsi="Arial"/>
          <w:sz w:val="17"/>
          <w:szCs w:val="17"/>
          <w:i w:val="1"/>
          <w:iCs w:val="1"/>
          <w:color w:val="auto"/>
        </w:rPr>
        <w:t>Cash awards</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 cash award is an award that is denominated in, or payable to an eligible participant solely in, cash.</w:t>
      </w:r>
    </w:p>
    <w:p>
      <w:pPr>
        <w:spacing w:after="0" w:line="111" w:lineRule="exact"/>
        <w:rPr>
          <w:sz w:val="20"/>
          <w:szCs w:val="20"/>
          <w:color w:val="auto"/>
        </w:rPr>
      </w:pPr>
    </w:p>
    <w:p>
      <w:pPr>
        <w:ind w:left="280" w:right="40"/>
        <w:spacing w:after="0" w:line="255" w:lineRule="auto"/>
        <w:rPr>
          <w:sz w:val="20"/>
          <w:szCs w:val="20"/>
          <w:color w:val="auto"/>
        </w:rPr>
      </w:pPr>
      <w:r>
        <w:rPr>
          <w:rFonts w:ascii="Arial" w:cs="Arial" w:eastAsia="Arial" w:hAnsi="Arial"/>
          <w:sz w:val="17"/>
          <w:szCs w:val="17"/>
          <w:i w:val="1"/>
          <w:iCs w:val="1"/>
          <w:color w:val="auto"/>
        </w:rPr>
        <w:t>Dividend equivalents rights</w:t>
      </w:r>
      <w:r>
        <w:rPr>
          <w:rFonts w:ascii="Arial" w:cs="Arial" w:eastAsia="Arial" w:hAnsi="Arial"/>
          <w:sz w:val="17"/>
          <w:szCs w:val="17"/>
          <w:color w:val="auto"/>
        </w:rPr>
        <w:t>. Dividend equivalent rights may be granted at the discretion of our compensation committee, and represent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 to receive the value of dividends, if any, paid by us in respect of the number of shares of our common stock underlying an award. Dividend equivalent rights will be subject to the same vesting or performance conditions as the underlying award and will be paid only at such time as the underlying award has become fully vested. Dividend equivalent rights may be settled in cash, shares or other property, or a combination of thereof as determined by the compensation committee.</w:t>
      </w:r>
    </w:p>
    <w:p>
      <w:pPr>
        <w:spacing w:after="0" w:line="68"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of a “corporate transaction” (as defined in the 2019 Plan), awards may be assumed, converted, replaced,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substituted by the successor corporation, which assumption, conversion, replacement or substitution will be binding on all participants. In the event of a substitution, the successor corporation may substitute equivalent awards or provide substantially similar consideration to participants as was provided to stockholders (after taking into account the existing provisions of the awards). In the event such successor or acquiring corporation (if any) refuses to assume, convert, replace, or substitute awards, as provided above, pursuant to a corporate transaction, then notwithstanding any other provision in the 2019 Plan to the contrary, such awards shall have their vesting accelerate as to all shares or cash subject to such awards (and any applicable right of repurchase shall fully lapse) immediately prior to the corporate transaction and all such awards shall expire on such corporate transaction at such time and on such conditions as our board of directors determine. In addition, in the event such successor or acquiring corporation (if any) refuses to assume, convert, replace, or substitute awards, as provided above, pursuant to a corporate transaction, the committee will notify the participant in writing or electronically that such participant’s award will, if exercisable, be exercisable for a period of time determined by the committee in its sole discretion, and such award will terminate upon the expiration of such period. Awards need not all be treated in the same manner in a corporate transaction, and treatment may vary from award to award and/or from participant to participant.</w:t>
      </w:r>
    </w:p>
    <w:p>
      <w:pPr>
        <w:spacing w:after="0" w:line="81" w:lineRule="exact"/>
        <w:rPr>
          <w:sz w:val="20"/>
          <w:szCs w:val="20"/>
          <w:color w:val="auto"/>
        </w:rPr>
      </w:pPr>
    </w:p>
    <w:p>
      <w:pPr>
        <w:ind w:left="280" w:right="140"/>
        <w:spacing w:after="0" w:line="253"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of outstanding shares of our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recapitalization, stock split, reverse stock split, subdivision, combination, consolidation reclassification, spin-off or similar change in our capital structure, appropriate proportional adjustments will be made to the number of shares reserved for issuance under our 2019 Plan; the exercise prices, number and class of shares subject to outstanding options or SARs; the number and class of shares subject to other outstanding awards; and any applicable maximum award limits with respect to incentive stock options.</w:t>
      </w:r>
    </w:p>
    <w:p>
      <w:pPr>
        <w:spacing w:after="0" w:line="70" w:lineRule="exact"/>
        <w:rPr>
          <w:sz w:val="20"/>
          <w:szCs w:val="20"/>
          <w:color w:val="auto"/>
        </w:rPr>
      </w:pPr>
    </w:p>
    <w:p>
      <w:pPr>
        <w:ind w:left="280" w:right="420"/>
        <w:spacing w:after="0" w:line="284" w:lineRule="auto"/>
        <w:rPr>
          <w:sz w:val="20"/>
          <w:szCs w:val="20"/>
          <w:color w:val="auto"/>
        </w:rPr>
      </w:pPr>
      <w:r>
        <w:rPr>
          <w:rFonts w:ascii="Arial" w:cs="Arial" w:eastAsia="Arial" w:hAnsi="Arial"/>
          <w:sz w:val="17"/>
          <w:szCs w:val="17"/>
          <w:i w:val="1"/>
          <w:iCs w:val="1"/>
          <w:color w:val="auto"/>
        </w:rPr>
        <w:t xml:space="preserve">Clawback; transferability. </w:t>
      </w:r>
      <w:r>
        <w:rPr>
          <w:rFonts w:ascii="Arial" w:cs="Arial" w:eastAsia="Arial" w:hAnsi="Arial"/>
          <w:sz w:val="17"/>
          <w:szCs w:val="17"/>
          <w:color w:val="auto"/>
        </w:rPr>
        <w:t>All awards will be subject to clawback or recoupment pursuant to any compensation clawback or recoupment</w:t>
      </w:r>
      <w:r>
        <w:rPr>
          <w:rFonts w:ascii="Arial" w:cs="Arial" w:eastAsia="Arial" w:hAnsi="Arial"/>
          <w:sz w:val="17"/>
          <w:szCs w:val="17"/>
          <w:i w:val="1"/>
          <w:iCs w:val="1"/>
          <w:color w:val="auto"/>
        </w:rPr>
        <w:t xml:space="preserve"> </w:t>
      </w:r>
      <w:r>
        <w:rPr>
          <w:rFonts w:ascii="Arial" w:cs="Arial" w:eastAsia="Arial" w:hAnsi="Arial"/>
          <w:sz w:val="17"/>
          <w:szCs w:val="17"/>
          <w:color w:val="auto"/>
        </w:rPr>
        <w:t>policy adopted by our board of directors or required by law during the term of service</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140"/>
          </w:cols>
          <w:pgMar w:left="240" w:top="455"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80"/>
        <w:spacing w:after="0" w:line="262" w:lineRule="auto"/>
        <w:rPr>
          <w:sz w:val="20"/>
          <w:szCs w:val="20"/>
          <w:color w:val="auto"/>
        </w:rPr>
      </w:pPr>
      <w:r>
        <w:rPr>
          <w:rFonts w:ascii="Arial" w:cs="Arial" w:eastAsia="Arial" w:hAnsi="Arial"/>
          <w:sz w:val="17"/>
          <w:szCs w:val="17"/>
          <w:color w:val="auto"/>
        </w:rPr>
        <w:t>of the award holder, to the extent set forth in such policy or applicable agreement. Except in limited circumstances, awards granted under our 2019 Plan may generally not be transferred in any manner prior to vesting other than by will or by the laws of descent and distribution.</w:t>
      </w:r>
    </w:p>
    <w:p>
      <w:pPr>
        <w:spacing w:after="0" w:line="62" w:lineRule="exact"/>
        <w:rPr>
          <w:sz w:val="20"/>
          <w:szCs w:val="20"/>
          <w:color w:val="auto"/>
        </w:rPr>
      </w:pPr>
    </w:p>
    <w:p>
      <w:pPr>
        <w:ind w:left="280" w:right="260"/>
        <w:spacing w:after="0" w:line="258"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Our board of directors may amend our 2019 Plan at any time, subject to stockholder approval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Our 2019 Plan will terminate ten years from the date our board of directors adopts the plan, unless it is terminated earlier by our board of directors. No termination or amendment of the 2019 Plan may adversely affect any then-outstanding award without the consent of the affected participant, except as is necessary to comply with applicable laws.</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2019 employee stock purchase plan</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have adopted a 2019 Employee Stock Purchase Plan that will become effective on the date of this prospectus and will enable eligible employees to purchase shares of our common stock at a discount beginning on a date determined by our board of directors or our compensation committee. Purchases will be accomplished through participation in discrete offering periods. We initially reserved 315,000 shares of our common stock for issuance under our 2019 Employee Stock Purchase Plan. The number of shares reserved for issuance under our 2019 Employee Stock Purchase Plan will increase automatically on January 1st of each of the first 10 calendar years following the first offering date by the number of shares equal to the lesser of 1% of the total outstanding shares of our common stock as of the immediately preceding December 31 or a lower amount determined by our board of directors. The aggregate number of shares issued over the term of our 2019 Employee Stock Purchase Plan will not exceed 3,150,000 shares of our common stock. Our 2019 Employee Stock Purchase Plan is intended to qualify as an employee stock purchase plan under Section 423 of the Code.</w:t>
      </w:r>
    </w:p>
    <w:p>
      <w:pPr>
        <w:spacing w:after="0" w:line="96"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Our compensation committee will administer our 2019 Employee Stock Purchase Plan. While our employees generally are eligible to participate in our 2019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2019 Employee Stock Purchase Plan, are ineligible to participate in our 2019 Employee Stock Purchase Plan. We may impose additional restrictions on eligibility within the limits permitted by the Code. Under our 2019 Employee Stock Purchase Plan, eligible employees will be able to acquire shares of our common stock by accumulating funds through payroll deductions.</w:t>
      </w:r>
    </w:p>
    <w:p>
      <w:pPr>
        <w:spacing w:after="0" w:line="295"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When a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subsequent offering periods. Each offering period will be determined by our compensation committee. An employee’s participation automatically ends upon termination of employment for any reason.</w:t>
      </w:r>
    </w:p>
    <w:p>
      <w:pPr>
        <w:spacing w:after="0" w:line="89" w:lineRule="exact"/>
        <w:rPr>
          <w:sz w:val="20"/>
          <w:szCs w:val="20"/>
          <w:color w:val="auto"/>
        </w:rPr>
      </w:pPr>
    </w:p>
    <w:p>
      <w:pPr>
        <w:ind w:left="280" w:right="200"/>
        <w:spacing w:after="0" w:line="262" w:lineRule="auto"/>
        <w:rPr>
          <w:sz w:val="20"/>
          <w:szCs w:val="20"/>
          <w:color w:val="auto"/>
        </w:rPr>
      </w:pPr>
      <w:r>
        <w:rPr>
          <w:rFonts w:ascii="Arial" w:cs="Arial" w:eastAsia="Arial" w:hAnsi="Arial"/>
          <w:sz w:val="17"/>
          <w:szCs w:val="17"/>
          <w:color w:val="auto"/>
        </w:rPr>
        <w:t>The first offering period will begin on a future date to be designated by our board of directors or compensation committee. Each subsequent offering period will be designated by our compensation committee, but will in no event be longer than 27 months.</w:t>
      </w:r>
    </w:p>
    <w:p>
      <w:pPr>
        <w:spacing w:after="0" w:line="80"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No participant will have the right to purchase our shares in an amount, when aggregated with purchase rights under all our employee stock purchase plans that are also in effect in the same calendar years, that has a fair market value of more than $25,000, determined as of the first day of the applicable offering period, for each calendar year in which that right is outstanding. In addition, no participant will be permitted to purchase more than 2,500 shares during any one purchase period or such greater or lesser amount determined by our compensation committee. The purchase price for shares of our common stock purchased under our 2019 Employee Stock Purchase Plan will be 85% of the lesser of the fair market value of our common stock on (1) the</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140"/>
          </w:cols>
          <w:pgMar w:left="240" w:top="455"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first trading day of the applicable offering period or (2) the last trading day of each purchase period in the applicable offering period.</w:t>
      </w:r>
    </w:p>
    <w:p>
      <w:pPr>
        <w:spacing w:after="0" w:line="11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If we experience a corporate transaction (as defined in the 2019 Employee Stock Purchase Plan), each outstanding right to purchase shares under our 2019 Employee Stock Purchase Plan will be assumed or an equivalent option substituted by the successor corporation. In the event that the successor corporation refuses to assume or substitute for the outstanding purchase rights, any offering period that commenced prior to the closing of the proposed corporate transaction will be shortened and terminated on a new purchase date. The new purchase date will occur on or prior to the consummation of the corporate transaction and our 2019 Employee Stock Purchase Plan will then terminate on the consummation of the corporate transaction.</w:t>
      </w:r>
    </w:p>
    <w:p>
      <w:pPr>
        <w:spacing w:after="0" w:line="95" w:lineRule="exact"/>
        <w:rPr>
          <w:sz w:val="20"/>
          <w:szCs w:val="20"/>
          <w:color w:val="auto"/>
        </w:rPr>
      </w:pPr>
    </w:p>
    <w:p>
      <w:pPr>
        <w:jc w:val="both"/>
        <w:ind w:left="280"/>
        <w:spacing w:after="0" w:line="262" w:lineRule="auto"/>
        <w:rPr>
          <w:sz w:val="20"/>
          <w:szCs w:val="20"/>
          <w:color w:val="auto"/>
        </w:rPr>
      </w:pPr>
      <w:r>
        <w:rPr>
          <w:rFonts w:ascii="Arial" w:cs="Arial" w:eastAsia="Arial" w:hAnsi="Arial"/>
          <w:sz w:val="17"/>
          <w:szCs w:val="17"/>
          <w:color w:val="auto"/>
        </w:rPr>
        <w:t>We will also have the right to amend or terminate our 2019 Employee Stock Purchase Plan at any time. Our 2019 Employee Stock Purchase Plan will terminate on the tenth anniversary of the last day of the first purchase period, unless it is terminated earlier by our board of directors.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401(k) plan</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We sponsor a retirement savings plan, or 401(k) plan, that is intended to qualify for favorable tax treatment under Section 401(a) of the Code, and contains a cash or deferred feature that is intended to meet the requirements of Section 401(k) of the Code. U.S. employees who have attained at least 21 years of age are generally eligible to participate in the 401(k) plan following two months of service,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matching and profit share contributions under the plan but have not done so to date. Any such discretionary employer contributions would vest in equal, annual installments over 4 years and may be subject to other eligibility requirements.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Other benefits</w:t>
      </w:r>
    </w:p>
    <w:p>
      <w:pPr>
        <w:spacing w:after="0" w:line="131" w:lineRule="exact"/>
        <w:rPr>
          <w:sz w:val="20"/>
          <w:szCs w:val="20"/>
          <w:color w:val="auto"/>
        </w:rPr>
      </w:pPr>
    </w:p>
    <w:p>
      <w:pPr>
        <w:ind w:left="280" w:right="240"/>
        <w:spacing w:after="0" w:line="262" w:lineRule="auto"/>
        <w:rPr>
          <w:sz w:val="20"/>
          <w:szCs w:val="20"/>
          <w:color w:val="auto"/>
        </w:rPr>
      </w:pPr>
      <w:r>
        <w:rPr>
          <w:rFonts w:ascii="Arial" w:cs="Arial" w:eastAsia="Arial" w:hAnsi="Arial"/>
          <w:sz w:val="17"/>
          <w:szCs w:val="17"/>
          <w:color w:val="auto"/>
        </w:rPr>
        <w:t>Our named executive officers are eligible to participate in our employee benefit plans on the same basis as our other employees, including our health and welfare plans.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Limitations on liability and indemnification matters</w:t>
      </w:r>
    </w:p>
    <w:p>
      <w:pPr>
        <w:spacing w:after="0" w:line="141"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Our restated certificate of incorporation that will become effective in connection with the completion of this offering contains provisions that limit the liability of our directors for monetary damages to the fullest extent permitted by the Delaware General Corporation Law, or DGCL. Consequently, our directors will not be personally liable to us or our stockholders for monetary damages for any breach of fiduciary duties as directors, except liability for:</w:t>
      </w:r>
    </w:p>
    <w:p>
      <w:pPr>
        <w:spacing w:after="0" w:line="102" w:lineRule="exact"/>
        <w:rPr>
          <w:sz w:val="20"/>
          <w:szCs w:val="20"/>
          <w:color w:val="auto"/>
        </w:rPr>
      </w:pPr>
    </w:p>
    <w:p>
      <w:pPr>
        <w:ind w:left="480" w:hanging="207"/>
        <w:spacing w:after="0"/>
        <w:tabs>
          <w:tab w:leader="none" w:pos="4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15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100"/>
          </w:cols>
          <w:pgMar w:left="240" w:top="455" w:right="5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20"/>
        <w:spacing w:after="0" w:line="253" w:lineRule="auto"/>
        <w:rPr>
          <w:sz w:val="20"/>
          <w:szCs w:val="20"/>
          <w:color w:val="auto"/>
        </w:rPr>
      </w:pPr>
      <w:r>
        <w:rPr>
          <w:rFonts w:ascii="Arial" w:cs="Arial" w:eastAsia="Arial" w:hAnsi="Arial"/>
          <w:sz w:val="17"/>
          <w:szCs w:val="17"/>
          <w:color w:val="auto"/>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w:t>
      </w:r>
    </w:p>
    <w:p>
      <w:pPr>
        <w:spacing w:after="0" w:line="89"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93" w:lineRule="exact"/>
        <w:rPr>
          <w:sz w:val="20"/>
          <w:szCs w:val="20"/>
          <w:color w:val="auto"/>
        </w:rPr>
      </w:pPr>
    </w:p>
    <w:p>
      <w:pPr>
        <w:ind w:left="280" w:right="440"/>
        <w:spacing w:after="0" w:line="262" w:lineRule="auto"/>
        <w:rPr>
          <w:sz w:val="20"/>
          <w:szCs w:val="20"/>
          <w:color w:val="auto"/>
        </w:rPr>
      </w:pPr>
      <w:r>
        <w:rPr>
          <w:rFonts w:ascii="Arial" w:cs="Arial" w:eastAsia="Arial" w:hAnsi="Arial"/>
          <w:sz w:val="17"/>
          <w:szCs w:val="17"/>
          <w:color w:val="auto"/>
        </w:rPr>
        <w:t>We believe that these indemnification provisions and agreements are necessary to attract and retain qualified directors, officers and key employees. We also maintain directors’ and officers’ liability insurance.</w:t>
      </w:r>
    </w:p>
    <w:p>
      <w:pPr>
        <w:spacing w:after="0" w:line="80"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93" w:lineRule="exact"/>
        <w:rPr>
          <w:sz w:val="20"/>
          <w:szCs w:val="20"/>
          <w:color w:val="auto"/>
        </w:rPr>
      </w:pPr>
    </w:p>
    <w:p>
      <w:pPr>
        <w:ind w:left="280" w:right="540"/>
        <w:spacing w:after="0" w:line="262" w:lineRule="auto"/>
        <w:rPr>
          <w:sz w:val="20"/>
          <w:szCs w:val="20"/>
          <w:color w:val="auto"/>
        </w:rPr>
      </w:pPr>
      <w:r>
        <w:rPr>
          <w:rFonts w:ascii="Arial" w:cs="Arial" w:eastAsia="Arial" w:hAnsi="Arial"/>
          <w:sz w:val="17"/>
          <w:szCs w:val="17"/>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80"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Insofar as indemnification for liabilities arising under the Securities Act of 1933, as amended, or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100"/>
          </w:cols>
          <w:pgMar w:left="240" w:top="455" w:right="5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1"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In addition to the compensation arrangements, including any employment, termination of employment and change in control arrangements, with our directors and executive officers, including those discussed in the sections entitled “Management” and “Executive compensation,” the following is a description of each transaction since January 1, 2016 and each currently proposed transaction in which:</w:t>
      </w:r>
    </w:p>
    <w:p>
      <w:pPr>
        <w:spacing w:after="0" w:line="102" w:lineRule="exact"/>
        <w:rPr>
          <w:sz w:val="20"/>
          <w:szCs w:val="20"/>
          <w:color w:val="auto"/>
        </w:rPr>
      </w:pPr>
    </w:p>
    <w:p>
      <w:pPr>
        <w:ind w:left="480" w:hanging="207"/>
        <w:spacing w:after="0"/>
        <w:tabs>
          <w:tab w:leader="none" w:pos="4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have been or are to be a participant;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4" w:lineRule="exact"/>
        <w:rPr>
          <w:rFonts w:ascii="Arial" w:cs="Arial" w:eastAsia="Arial" w:hAnsi="Arial"/>
          <w:sz w:val="17"/>
          <w:szCs w:val="17"/>
          <w:color w:val="auto"/>
        </w:rPr>
      </w:pPr>
    </w:p>
    <w:p>
      <w:pPr>
        <w:ind w:left="480" w:right="240" w:hanging="207"/>
        <w:spacing w:after="0" w:line="262" w:lineRule="auto"/>
        <w:tabs>
          <w:tab w:leader="none" w:pos="4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 affiliate or immediate family member of the foregoing persons, had or will have a direct or indirect material interest.</w:t>
      </w:r>
    </w:p>
    <w:p>
      <w:pPr>
        <w:spacing w:after="0" w:line="80" w:lineRule="exact"/>
        <w:rPr>
          <w:sz w:val="20"/>
          <w:szCs w:val="20"/>
          <w:color w:val="auto"/>
        </w:rPr>
      </w:pPr>
    </w:p>
    <w:p>
      <w:pPr>
        <w:ind w:left="280" w:right="20"/>
        <w:spacing w:after="0" w:line="253"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Equity financings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Series A</w:t>
      </w:r>
    </w:p>
    <w:p>
      <w:pPr>
        <w:spacing w:after="0" w:line="13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In July 15, 2015, we sold an aggregate of 2,458,564 shares of our Series A convertible preferred stock at a purchase price of $2.38 per share for an aggregate purchase price of approximately $5.8 million. In July 2016, we sold an aggregate of 1,260,802 additional shares of our Series A convertible preferred stock at a purchase price of $2.38 per share for an aggregate purchase price of approximately $3.0 million. In February 2017, we sold an aggregate of 1,260,802 additional shares of our Series A convertible preferred stock at a purchase price of $2.38 per share for an aggregate purchase price of approximately $3.0 million.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Simple Agreement for Future Equity</w:t>
      </w:r>
    </w:p>
    <w:p>
      <w:pPr>
        <w:spacing w:after="0" w:line="131" w:lineRule="exact"/>
        <w:rPr>
          <w:sz w:val="20"/>
          <w:szCs w:val="20"/>
          <w:color w:val="auto"/>
        </w:rPr>
      </w:pPr>
    </w:p>
    <w:p>
      <w:pPr>
        <w:jc w:val="both"/>
        <w:ind w:left="280" w:right="100"/>
        <w:spacing w:after="0" w:line="253" w:lineRule="auto"/>
        <w:rPr>
          <w:sz w:val="20"/>
          <w:szCs w:val="20"/>
          <w:color w:val="auto"/>
        </w:rPr>
      </w:pPr>
      <w:r>
        <w:rPr>
          <w:rFonts w:ascii="Arial" w:cs="Arial" w:eastAsia="Arial" w:hAnsi="Arial"/>
          <w:sz w:val="17"/>
          <w:szCs w:val="17"/>
          <w:color w:val="auto"/>
        </w:rPr>
        <w:t>In October 2017, we issued, to Apple Tree Partners IV, L.P., rights to purchase certain shares of our capital stock for an aggregate purchase price of $3,000,000, or Purchase Amount, pursuant to a Simple Agreement for Future Equity, or SAFE. The entire Purchase Amount and all other obligations under the SAFE converted into 788,042 shares of our Series A-2 convertible preferred stock, which is described below.</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Series A-2</w:t>
      </w:r>
    </w:p>
    <w:p>
      <w:pPr>
        <w:spacing w:after="0" w:line="131"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In January 2018, we sold an aggregate of 4,071,554 shares of our Series A-2 convertible preferred stock at a purchase price of $3.81 per share for an aggregate purchase price of approximately $15.5 million. In September 2018, we sold an aggregate of 3,546,192 additional shares of our Series A-2 convertible preferred stock at a purchase price of $3.81 per share for an aggregate purchase price of approximately $13.5 million.</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Series B</w:t>
      </w:r>
    </w:p>
    <w:p>
      <w:pPr>
        <w:spacing w:after="0" w:line="131" w:lineRule="exact"/>
        <w:rPr>
          <w:sz w:val="20"/>
          <w:szCs w:val="20"/>
          <w:color w:val="auto"/>
        </w:rPr>
      </w:pPr>
    </w:p>
    <w:p>
      <w:pPr>
        <w:ind w:left="280" w:right="360"/>
        <w:spacing w:after="0" w:line="262" w:lineRule="auto"/>
        <w:rPr>
          <w:sz w:val="20"/>
          <w:szCs w:val="20"/>
          <w:color w:val="auto"/>
        </w:rPr>
      </w:pPr>
      <w:r>
        <w:rPr>
          <w:rFonts w:ascii="Arial" w:cs="Arial" w:eastAsia="Arial" w:hAnsi="Arial"/>
          <w:sz w:val="17"/>
          <w:szCs w:val="17"/>
          <w:color w:val="auto"/>
        </w:rPr>
        <w:t>In October 2018, we sold an aggregate of 10,079,671 shares of our Series B convertible preferred stock at a purchase price of $8.93 per share for an aggregate purchase price of approximately $90 million.</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080"/>
          </w:cols>
          <w:pgMar w:left="240" w:top="455" w:right="5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20"/>
        <w:spacing w:after="0" w:line="262" w:lineRule="auto"/>
        <w:rPr>
          <w:sz w:val="20"/>
          <w:szCs w:val="20"/>
          <w:color w:val="auto"/>
        </w:rPr>
      </w:pPr>
      <w:r>
        <w:rPr>
          <w:rFonts w:ascii="Arial" w:cs="Arial" w:eastAsia="Arial" w:hAnsi="Arial"/>
          <w:sz w:val="17"/>
          <w:szCs w:val="17"/>
          <w:color w:val="auto"/>
        </w:rPr>
        <w:t>The following table summarizes the Series A, Series A-2 and Series B convertible preferred stock purchased by members of our board of directors or their affiliates and holders of more than five percent of our outstanding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5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Arial" w:cs="Arial" w:eastAsia="Arial" w:hAnsi="Arial"/>
                <w:sz w:val="17"/>
                <w:szCs w:val="17"/>
                <w:b w:val="1"/>
                <w:bCs w:val="1"/>
                <w:color w:val="auto"/>
              </w:rPr>
              <w:t>Shares of</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Arial" w:cs="Arial" w:eastAsia="Arial" w:hAnsi="Arial"/>
                <w:sz w:val="17"/>
                <w:szCs w:val="17"/>
                <w:b w:val="1"/>
                <w:bCs w:val="1"/>
                <w:color w:val="auto"/>
              </w:rPr>
              <w:t>convertible</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200"/>
        </w:trPr>
        <w:tc>
          <w:tcPr>
            <w:tcW w:w="5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Arial" w:cs="Arial" w:eastAsia="Arial" w:hAnsi="Arial"/>
                <w:sz w:val="17"/>
                <w:szCs w:val="17"/>
                <w:b w:val="1"/>
                <w:bCs w:val="1"/>
                <w:color w:val="auto"/>
              </w:rPr>
              <w:t>preferred</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purchase</w:t>
            </w:r>
          </w:p>
        </w:tc>
      </w:tr>
      <w:tr>
        <w:trPr>
          <w:trHeight w:val="219"/>
        </w:trPr>
        <w:tc>
          <w:tcPr>
            <w:tcW w:w="5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stockholder</w:t>
            </w:r>
          </w:p>
        </w:tc>
        <w:tc>
          <w:tcPr>
            <w:tcW w:w="3060" w:type="dxa"/>
            <w:vAlign w:val="bottom"/>
            <w:tcBorders>
              <w:bottom w:val="single" w:sz="8" w:color="auto"/>
            </w:tcBorders>
          </w:tcPr>
          <w:p>
            <w:pPr>
              <w:jc w:val="center"/>
              <w:ind w:left="2253"/>
              <w:spacing w:after="0"/>
              <w:rPr>
                <w:sz w:val="20"/>
                <w:szCs w:val="20"/>
                <w:color w:val="auto"/>
              </w:rPr>
            </w:pPr>
            <w:r>
              <w:rPr>
                <w:rFonts w:ascii="Arial" w:cs="Arial" w:eastAsia="Arial" w:hAnsi="Arial"/>
                <w:sz w:val="17"/>
                <w:szCs w:val="17"/>
                <w:b w:val="1"/>
                <w:bCs w:val="1"/>
                <w:color w:val="auto"/>
              </w:rPr>
              <w:t>Series</w:t>
            </w: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stock</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price ($)</w:t>
            </w:r>
          </w:p>
        </w:tc>
      </w:tr>
      <w:tr>
        <w:trPr>
          <w:trHeight w:val="193"/>
        </w:trPr>
        <w:tc>
          <w:tcPr>
            <w:tcW w:w="5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Apple Tree Partners, IV, L.P.(1)</w:t>
            </w:r>
          </w:p>
        </w:tc>
        <w:tc>
          <w:tcPr>
            <w:tcW w:w="3060" w:type="dxa"/>
            <w:vAlign w:val="bottom"/>
            <w:shd w:val="clear" w:color="auto" w:fill="CCEEFF"/>
          </w:tcPr>
          <w:p>
            <w:pPr>
              <w:jc w:val="center"/>
              <w:ind w:left="2233"/>
              <w:spacing w:after="0" w:line="194" w:lineRule="exact"/>
              <w:rPr>
                <w:sz w:val="20"/>
                <w:szCs w:val="20"/>
                <w:color w:val="auto"/>
              </w:rPr>
            </w:pPr>
            <w:r>
              <w:rPr>
                <w:rFonts w:ascii="Arial" w:cs="Arial" w:eastAsia="Arial" w:hAnsi="Arial"/>
                <w:sz w:val="17"/>
                <w:szCs w:val="17"/>
                <w:color w:val="auto"/>
                <w:w w:val="87"/>
              </w:rPr>
              <w:t>A</w:t>
            </w:r>
          </w:p>
        </w:tc>
        <w:tc>
          <w:tcPr>
            <w:tcW w:w="1200" w:type="dxa"/>
            <w:vAlign w:val="bottom"/>
            <w:shd w:val="clear" w:color="auto" w:fill="CCEEFF"/>
          </w:tcPr>
          <w:p>
            <w:pPr>
              <w:jc w:val="right"/>
              <w:ind w:right="73"/>
              <w:spacing w:after="0" w:line="194" w:lineRule="exact"/>
              <w:rPr>
                <w:sz w:val="20"/>
                <w:szCs w:val="20"/>
                <w:color w:val="auto"/>
              </w:rPr>
            </w:pPr>
            <w:r>
              <w:rPr>
                <w:rFonts w:ascii="Arial" w:cs="Arial" w:eastAsia="Arial" w:hAnsi="Arial"/>
                <w:sz w:val="17"/>
                <w:szCs w:val="17"/>
                <w:color w:val="auto"/>
              </w:rPr>
              <w:t>4,980,170</w:t>
            </w:r>
          </w:p>
        </w:tc>
        <w:tc>
          <w:tcPr>
            <w:tcW w:w="12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11,849,999.57</w:t>
            </w:r>
          </w:p>
        </w:tc>
        <w:tc>
          <w:tcPr>
            <w:tcW w:w="60" w:type="dxa"/>
            <w:vAlign w:val="bottom"/>
            <w:shd w:val="clear" w:color="auto" w:fill="CCEEFF"/>
          </w:tcPr>
          <w:p>
            <w:pPr>
              <w:spacing w:after="0"/>
              <w:rPr>
                <w:sz w:val="16"/>
                <w:szCs w:val="16"/>
                <w:color w:val="auto"/>
              </w:rPr>
            </w:pPr>
          </w:p>
        </w:tc>
      </w:tr>
      <w:tr>
        <w:trPr>
          <w:trHeight w:val="200"/>
        </w:trPr>
        <w:tc>
          <w:tcPr>
            <w:tcW w:w="5280" w:type="dxa"/>
            <w:vAlign w:val="bottom"/>
          </w:tcPr>
          <w:p>
            <w:pPr>
              <w:spacing w:after="0"/>
              <w:rPr>
                <w:sz w:val="20"/>
                <w:szCs w:val="20"/>
                <w:color w:val="auto"/>
              </w:rPr>
            </w:pPr>
            <w:r>
              <w:rPr>
                <w:rFonts w:ascii="Arial" w:cs="Arial" w:eastAsia="Arial" w:hAnsi="Arial"/>
                <w:sz w:val="17"/>
                <w:szCs w:val="17"/>
                <w:color w:val="auto"/>
              </w:rPr>
              <w:t>Apple Tree Partners, IV, L.P.(1)</w:t>
            </w:r>
          </w:p>
        </w:tc>
        <w:tc>
          <w:tcPr>
            <w:tcW w:w="3060" w:type="dxa"/>
            <w:vAlign w:val="bottom"/>
          </w:tcPr>
          <w:p>
            <w:pPr>
              <w:jc w:val="center"/>
              <w:ind w:left="2233"/>
              <w:spacing w:after="0"/>
              <w:rPr>
                <w:sz w:val="20"/>
                <w:szCs w:val="20"/>
                <w:color w:val="auto"/>
              </w:rPr>
            </w:pPr>
            <w:r>
              <w:rPr>
                <w:rFonts w:ascii="Arial" w:cs="Arial" w:eastAsia="Arial" w:hAnsi="Arial"/>
                <w:sz w:val="17"/>
                <w:szCs w:val="17"/>
                <w:color w:val="auto"/>
                <w:w w:val="98"/>
              </w:rPr>
              <w:t>A-2</w:t>
            </w:r>
          </w:p>
        </w:tc>
        <w:tc>
          <w:tcPr>
            <w:tcW w:w="1200" w:type="dxa"/>
            <w:vAlign w:val="bottom"/>
          </w:tcPr>
          <w:p>
            <w:pPr>
              <w:jc w:val="right"/>
              <w:ind w:right="73"/>
              <w:spacing w:after="0"/>
              <w:rPr>
                <w:sz w:val="20"/>
                <w:szCs w:val="20"/>
                <w:color w:val="auto"/>
              </w:rPr>
            </w:pPr>
            <w:r>
              <w:rPr>
                <w:rFonts w:ascii="Arial" w:cs="Arial" w:eastAsia="Arial" w:hAnsi="Arial"/>
                <w:sz w:val="17"/>
                <w:szCs w:val="17"/>
                <w:color w:val="auto"/>
              </w:rPr>
              <w:t>7,617,746</w:t>
            </w:r>
          </w:p>
        </w:tc>
        <w:tc>
          <w:tcPr>
            <w:tcW w:w="1280" w:type="dxa"/>
            <w:vAlign w:val="bottom"/>
          </w:tcPr>
          <w:p>
            <w:pPr>
              <w:jc w:val="right"/>
              <w:spacing w:after="0"/>
              <w:rPr>
                <w:sz w:val="20"/>
                <w:szCs w:val="20"/>
                <w:color w:val="auto"/>
              </w:rPr>
            </w:pPr>
            <w:r>
              <w:rPr>
                <w:rFonts w:ascii="Arial" w:cs="Arial" w:eastAsia="Arial" w:hAnsi="Arial"/>
                <w:sz w:val="17"/>
                <w:szCs w:val="17"/>
                <w:color w:val="auto"/>
              </w:rPr>
              <w:t>28,999,999.50</w:t>
            </w:r>
          </w:p>
        </w:tc>
        <w:tc>
          <w:tcPr>
            <w:tcW w:w="60" w:type="dxa"/>
            <w:vAlign w:val="bottom"/>
          </w:tcPr>
          <w:p>
            <w:pPr>
              <w:spacing w:after="0"/>
              <w:rPr>
                <w:sz w:val="17"/>
                <w:szCs w:val="17"/>
                <w:color w:val="auto"/>
              </w:rPr>
            </w:pPr>
          </w:p>
        </w:tc>
      </w:tr>
      <w:tr>
        <w:trPr>
          <w:trHeight w:val="20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Apple Tree Partners, IV, L.P.(1)</w:t>
            </w:r>
          </w:p>
        </w:tc>
        <w:tc>
          <w:tcPr>
            <w:tcW w:w="3060" w:type="dxa"/>
            <w:vAlign w:val="bottom"/>
            <w:shd w:val="clear" w:color="auto" w:fill="CCEEFF"/>
          </w:tcPr>
          <w:p>
            <w:pPr>
              <w:jc w:val="center"/>
              <w:ind w:left="2233"/>
              <w:spacing w:after="0"/>
              <w:rPr>
                <w:sz w:val="20"/>
                <w:szCs w:val="20"/>
                <w:color w:val="auto"/>
              </w:rPr>
            </w:pPr>
            <w:r>
              <w:rPr>
                <w:rFonts w:ascii="Arial" w:cs="Arial" w:eastAsia="Arial" w:hAnsi="Arial"/>
                <w:sz w:val="17"/>
                <w:szCs w:val="17"/>
                <w:color w:val="auto"/>
                <w:w w:val="87"/>
              </w:rPr>
              <w:t>B</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2,799,910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24,999,999.18</w:t>
            </w:r>
          </w:p>
        </w:tc>
        <w:tc>
          <w:tcPr>
            <w:tcW w:w="60" w:type="dxa"/>
            <w:vAlign w:val="bottom"/>
            <w:shd w:val="clear" w:color="auto" w:fill="CCEEFF"/>
          </w:tcPr>
          <w:p>
            <w:pPr>
              <w:spacing w:after="0"/>
              <w:rPr>
                <w:sz w:val="17"/>
                <w:szCs w:val="17"/>
                <w:color w:val="auto"/>
              </w:rPr>
            </w:pPr>
          </w:p>
        </w:tc>
      </w:tr>
      <w:tr>
        <w:trPr>
          <w:trHeight w:val="200"/>
        </w:trPr>
        <w:tc>
          <w:tcPr>
            <w:tcW w:w="5280" w:type="dxa"/>
            <w:vAlign w:val="bottom"/>
          </w:tcPr>
          <w:p>
            <w:pPr>
              <w:spacing w:after="0"/>
              <w:rPr>
                <w:sz w:val="20"/>
                <w:szCs w:val="20"/>
                <w:color w:val="auto"/>
              </w:rPr>
            </w:pPr>
            <w:r>
              <w:rPr>
                <w:rFonts w:ascii="Arial" w:cs="Arial" w:eastAsia="Arial" w:hAnsi="Arial"/>
                <w:sz w:val="17"/>
                <w:szCs w:val="17"/>
                <w:color w:val="auto"/>
              </w:rPr>
              <w:t>RTW Master Fund(2)</w:t>
            </w:r>
          </w:p>
        </w:tc>
        <w:tc>
          <w:tcPr>
            <w:tcW w:w="3060" w:type="dxa"/>
            <w:vAlign w:val="bottom"/>
          </w:tcPr>
          <w:p>
            <w:pPr>
              <w:jc w:val="center"/>
              <w:ind w:left="2233"/>
              <w:spacing w:after="0"/>
              <w:rPr>
                <w:sz w:val="20"/>
                <w:szCs w:val="20"/>
                <w:color w:val="auto"/>
              </w:rPr>
            </w:pPr>
            <w:r>
              <w:rPr>
                <w:rFonts w:ascii="Arial" w:cs="Arial" w:eastAsia="Arial" w:hAnsi="Arial"/>
                <w:sz w:val="17"/>
                <w:szCs w:val="17"/>
                <w:color w:val="auto"/>
                <w:w w:val="87"/>
              </w:rPr>
              <w:t>B</w:t>
            </w:r>
          </w:p>
        </w:tc>
        <w:tc>
          <w:tcPr>
            <w:tcW w:w="1200" w:type="dxa"/>
            <w:vAlign w:val="bottom"/>
          </w:tcPr>
          <w:p>
            <w:pPr>
              <w:jc w:val="right"/>
              <w:ind w:right="73"/>
              <w:spacing w:after="0"/>
              <w:rPr>
                <w:sz w:val="20"/>
                <w:szCs w:val="20"/>
                <w:color w:val="auto"/>
              </w:rPr>
            </w:pPr>
            <w:r>
              <w:rPr>
                <w:rFonts w:ascii="Arial" w:cs="Arial" w:eastAsia="Arial" w:hAnsi="Arial"/>
                <w:sz w:val="17"/>
                <w:szCs w:val="17"/>
                <w:color w:val="auto"/>
              </w:rPr>
              <w:t>2,430,157</w:t>
            </w:r>
          </w:p>
        </w:tc>
        <w:tc>
          <w:tcPr>
            <w:tcW w:w="1280" w:type="dxa"/>
            <w:vAlign w:val="bottom"/>
          </w:tcPr>
          <w:p>
            <w:pPr>
              <w:jc w:val="right"/>
              <w:spacing w:after="0"/>
              <w:rPr>
                <w:sz w:val="20"/>
                <w:szCs w:val="20"/>
                <w:color w:val="auto"/>
              </w:rPr>
            </w:pPr>
            <w:r>
              <w:rPr>
                <w:rFonts w:ascii="Arial" w:cs="Arial" w:eastAsia="Arial" w:hAnsi="Arial"/>
                <w:sz w:val="17"/>
                <w:szCs w:val="17"/>
                <w:color w:val="auto"/>
              </w:rPr>
              <w:t>21,698,526.75</w:t>
            </w:r>
          </w:p>
        </w:tc>
        <w:tc>
          <w:tcPr>
            <w:tcW w:w="60" w:type="dxa"/>
            <w:vAlign w:val="bottom"/>
          </w:tcPr>
          <w:p>
            <w:pPr>
              <w:spacing w:after="0"/>
              <w:rPr>
                <w:sz w:val="17"/>
                <w:szCs w:val="17"/>
                <w:color w:val="auto"/>
              </w:rPr>
            </w:pPr>
          </w:p>
        </w:tc>
      </w:tr>
      <w:tr>
        <w:trPr>
          <w:trHeight w:val="20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RTW Innovation Master Fund, Ltd.(2)</w:t>
            </w:r>
          </w:p>
        </w:tc>
        <w:tc>
          <w:tcPr>
            <w:tcW w:w="3060" w:type="dxa"/>
            <w:vAlign w:val="bottom"/>
            <w:shd w:val="clear" w:color="auto" w:fill="CCEEFF"/>
          </w:tcPr>
          <w:p>
            <w:pPr>
              <w:jc w:val="center"/>
              <w:ind w:left="2233"/>
              <w:spacing w:after="0"/>
              <w:rPr>
                <w:sz w:val="20"/>
                <w:szCs w:val="20"/>
                <w:color w:val="auto"/>
              </w:rPr>
            </w:pPr>
            <w:r>
              <w:rPr>
                <w:rFonts w:ascii="Arial" w:cs="Arial" w:eastAsia="Arial" w:hAnsi="Arial"/>
                <w:sz w:val="17"/>
                <w:szCs w:val="17"/>
                <w:color w:val="auto"/>
                <w:w w:val="87"/>
              </w:rPr>
              <w:t>B</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369,753</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3,301,472.43</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 w:lineRule="exact"/>
        <w:rPr>
          <w:sz w:val="20"/>
          <w:szCs w:val="20"/>
          <w:color w:val="auto"/>
        </w:rPr>
      </w:pPr>
    </w:p>
    <w:p>
      <w:pPr>
        <w:ind w:left="600" w:right="240" w:hanging="327"/>
        <w:spacing w:after="0" w:line="253" w:lineRule="auto"/>
        <w:tabs>
          <w:tab w:leader="none" w:pos="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Apple Tree Partners, IV, L.P., or ATP IV, holds more than five percent of our outstanding capital stock. Seth L. Harrison, M.D., a member of our board of directors, is the founder and managing partner of ATP IV and Samuel W. Hall, Ph.D., a member of our board of directors, is a principal at ATP IV.</w:t>
      </w:r>
    </w:p>
    <w:p>
      <w:pPr>
        <w:spacing w:after="0" w:line="44" w:lineRule="exact"/>
        <w:rPr>
          <w:rFonts w:ascii="Arial" w:cs="Arial" w:eastAsia="Arial" w:hAnsi="Arial"/>
          <w:sz w:val="13"/>
          <w:szCs w:val="13"/>
          <w:color w:val="auto"/>
        </w:rPr>
      </w:pPr>
    </w:p>
    <w:p>
      <w:pPr>
        <w:ind w:left="600" w:hanging="327"/>
        <w:spacing w:after="0"/>
        <w:tabs>
          <w:tab w:leader="none" w:pos="6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Entities associated with RTW Investments, or RTW, hold more than 5% of our outstanding capital stock.</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Amended and restated investors’ rights agreement</w:t>
      </w:r>
    </w:p>
    <w:p>
      <w:pPr>
        <w:spacing w:after="0" w:line="141"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We have entered into a second amended and restated investors’ rights agreement, or the IRA, dated October 22, 2018, with certain holders of our convertible preferred stock, including entities with which certain of our directors are affiliated. Additionally, the IRA provides for a participation right to affiliates of RTW Master Fund and Apple Tree Partners IV, L.P., holders of more than five percent of our common stock, to purchase a specified percentage of shares of common stock in this offering at the public offering price. The IRA further provides that, under certain circumstances in which such entities are unable to participate in this offering, we are required to offer them shares of our common stock through a separate private placement to be concurrent with this offering. Under the IRA, these stockholders are also entitled to rights with respect to the registration of their shares following this offering under the Securities Act of 1933, as amended. Finally, the IRA provides that for so long as any of Apple Tree Partners IV, L.P., RTW Master Fund or RTW Innovation Master Fund, Ltd., or any of their respective affiliates, holds any shares of our preferred stock or common stock issued upon conversion thereof, such investor or investors shall have the right to attend our board meetings in a nonvoting observer capacity. For a description of these registration rights, see the section entitled “Description of capital stock—Registration rights.”</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Equity grants to executive officers and directors</w:t>
      </w:r>
    </w:p>
    <w:p>
      <w:pPr>
        <w:spacing w:after="0" w:line="141" w:lineRule="exact"/>
        <w:rPr>
          <w:sz w:val="20"/>
          <w:szCs w:val="20"/>
          <w:color w:val="auto"/>
        </w:rPr>
      </w:pPr>
    </w:p>
    <w:p>
      <w:pPr>
        <w:ind w:left="280" w:right="520"/>
        <w:spacing w:after="0" w:line="262" w:lineRule="auto"/>
        <w:rPr>
          <w:sz w:val="20"/>
          <w:szCs w:val="20"/>
          <w:color w:val="auto"/>
        </w:rPr>
      </w:pPr>
      <w:r>
        <w:rPr>
          <w:rFonts w:ascii="Arial" w:cs="Arial" w:eastAsia="Arial" w:hAnsi="Arial"/>
          <w:sz w:val="17"/>
          <w:szCs w:val="17"/>
          <w:color w:val="auto"/>
        </w:rPr>
        <w:t>We have granted stock options to our executive officers and certain directors, as more fully described in the sections entitled “Executive compensation” and “Management—Non-employee director compensation,” respectively.</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Director and executive officer compensation</w:t>
      </w:r>
    </w:p>
    <w:p>
      <w:pPr>
        <w:spacing w:after="0" w:line="141" w:lineRule="exact"/>
        <w:rPr>
          <w:sz w:val="20"/>
          <w:szCs w:val="20"/>
          <w:color w:val="auto"/>
        </w:rPr>
      </w:pPr>
    </w:p>
    <w:p>
      <w:pPr>
        <w:ind w:left="280" w:right="680"/>
        <w:spacing w:after="0" w:line="262" w:lineRule="auto"/>
        <w:rPr>
          <w:sz w:val="20"/>
          <w:szCs w:val="20"/>
          <w:color w:val="auto"/>
        </w:rPr>
      </w:pPr>
      <w:r>
        <w:rPr>
          <w:rFonts w:ascii="Arial" w:cs="Arial" w:eastAsia="Arial" w:hAnsi="Arial"/>
          <w:sz w:val="17"/>
          <w:szCs w:val="17"/>
          <w:color w:val="auto"/>
        </w:rPr>
        <w:t>Please see the sections entitled “Management—Non-employee director compensation” and “Executive compensation” for information regarding the compensation of our directors and executive officers.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Employment agreements</w:t>
      </w:r>
    </w:p>
    <w:p>
      <w:pPr>
        <w:spacing w:after="0" w:line="141"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We have entered into employment agreements with our executive officers. For more information regarding these agreements, see the section entitled “Executive compensation—Employment agreements.”</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160"/>
          </w:cols>
          <w:pgMar w:left="240" w:top="455"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Consulting agreement</w:t>
      </w:r>
    </w:p>
    <w:p>
      <w:pPr>
        <w:spacing w:after="0" w:line="141" w:lineRule="exact"/>
        <w:rPr>
          <w:sz w:val="20"/>
          <w:szCs w:val="20"/>
          <w:color w:val="auto"/>
        </w:rPr>
      </w:pPr>
    </w:p>
    <w:p>
      <w:pPr>
        <w:ind w:left="280" w:right="140"/>
        <w:spacing w:after="0" w:line="249" w:lineRule="auto"/>
        <w:rPr>
          <w:sz w:val="20"/>
          <w:szCs w:val="20"/>
          <w:color w:val="auto"/>
        </w:rPr>
      </w:pPr>
      <w:r>
        <w:rPr>
          <w:rFonts w:ascii="Arial" w:cs="Arial" w:eastAsia="Arial" w:hAnsi="Arial"/>
          <w:sz w:val="17"/>
          <w:szCs w:val="17"/>
          <w:color w:val="auto"/>
        </w:rPr>
        <w:t>In October 2014, we entered into a consulting agreement with Adrian R. Krainer, who is also an employee of Cold Spring Harbor Laboratory, to provide consulting services related to scientific research related to the development of antisense-based drugs, therapies, diagnostic and research tools, products, services and intellectual property. We made payments of $100,000 during each of the years ended December 31, 2018, 2017 and 2016 for such consulting services. The initial term of this agreement was five years and may be extended by the mutual consent of us and Professor Krainer.</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Indemnification agreements</w:t>
      </w:r>
    </w:p>
    <w:p>
      <w:pPr>
        <w:spacing w:after="0" w:line="141"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In connection with this offering, we intend to enter into new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the section entitled “Executive compensation— Limitations on liability and indemnification matters” for information on our indemnification arrangements with our directors and executive officers.</w:t>
      </w:r>
    </w:p>
    <w:p>
      <w:pPr>
        <w:spacing w:after="0" w:line="2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Policies and procedures for related party transactions</w:t>
      </w:r>
    </w:p>
    <w:p>
      <w:pPr>
        <w:spacing w:after="0" w:line="14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In connection with this offering, we intend to adopt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we expect that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3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140"/>
          </w:cols>
          <w:pgMar w:left="240" w:top="455"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Principal stockholders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and accompanying footnotes set forth certain information with respect to the beneficial ownership of our common stock at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May 31, 2019, and as adjusted to reflect the shares of common stock to be issued and sold in this offering, for:</w:t>
      </w:r>
    </w:p>
    <w:p>
      <w:pPr>
        <w:spacing w:after="0" w:line="125" w:lineRule="exact"/>
        <w:rPr>
          <w:sz w:val="20"/>
          <w:szCs w:val="20"/>
          <w:color w:val="auto"/>
        </w:rPr>
      </w:pPr>
    </w:p>
    <w:p>
      <w:pPr>
        <w:ind w:left="480" w:hanging="207"/>
        <w:spacing w:after="0"/>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person, or group of affiliated persons, who beneficially owned more than five percent of our outstanding shares of common stock.</w:t>
      </w:r>
    </w:p>
    <w:p>
      <w:pPr>
        <w:spacing w:after="0" w:line="111"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89"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Beneficial ownership prior to this offering is based on 23,569,808 shares of common stock outstanding as of May 31, 2019, assuming the automatic conversion of all outstanding shares of our convertible preferred stock into common stock in connection with this offering. Beneficial ownership after this offering is based on 30,269,808 shares of common stock outstanding, assuming (i) the automatic conversion of all outstanding shares of our convertible preferred stock into common stock as described above and (ii) the issuance of 6,700,000 shares of common stock in this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May 31, 2019. We did not deem these shares outstanding, however, for the purpose of computing the percentage ownership of any other person.</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160"/>
          </w:cols>
          <w:pgMar w:left="240" w:top="455"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Unless otherwise indicated, the address of each beneficial owner listed in the table below is c/o Stoke Therapeutics, Inc., 45 Wiggins Avenue, Bedford, Massachusetts, 01730.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6220" w:type="dxa"/>
            <w:vAlign w:val="bottom"/>
          </w:tcPr>
          <w:p>
            <w:pPr>
              <w:spacing w:after="0"/>
              <w:rPr>
                <w:sz w:val="17"/>
                <w:szCs w:val="17"/>
                <w:color w:val="auto"/>
              </w:rPr>
            </w:pPr>
          </w:p>
        </w:tc>
        <w:tc>
          <w:tcPr>
            <w:tcW w:w="2460" w:type="dxa"/>
            <w:vAlign w:val="bottom"/>
            <w:gridSpan w:val="3"/>
          </w:tcPr>
          <w:p>
            <w:pPr>
              <w:jc w:val="right"/>
              <w:ind w:right="480"/>
              <w:spacing w:after="0"/>
              <w:rPr>
                <w:sz w:val="20"/>
                <w:szCs w:val="20"/>
                <w:color w:val="auto"/>
              </w:rPr>
            </w:pPr>
            <w:r>
              <w:rPr>
                <w:rFonts w:ascii="Arial" w:cs="Arial" w:eastAsia="Arial" w:hAnsi="Arial"/>
                <w:sz w:val="17"/>
                <w:szCs w:val="17"/>
                <w:b w:val="1"/>
                <w:bCs w:val="1"/>
                <w:color w:val="auto"/>
              </w:rPr>
              <w:t>Beneficial ownership</w:t>
            </w:r>
          </w:p>
        </w:tc>
        <w:tc>
          <w:tcPr>
            <w:tcW w:w="220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Beneficial ownership</w:t>
            </w:r>
          </w:p>
        </w:tc>
        <w:tc>
          <w:tcPr>
            <w:tcW w:w="0" w:type="dxa"/>
            <w:vAlign w:val="bottom"/>
          </w:tcPr>
          <w:p>
            <w:pPr>
              <w:spacing w:after="0"/>
              <w:rPr>
                <w:sz w:val="1"/>
                <w:szCs w:val="1"/>
                <w:color w:val="auto"/>
              </w:rPr>
            </w:pPr>
          </w:p>
        </w:tc>
      </w:tr>
      <w:tr>
        <w:trPr>
          <w:trHeight w:val="219"/>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Name of beneficial owner</w:t>
            </w:r>
          </w:p>
        </w:tc>
        <w:tc>
          <w:tcPr>
            <w:tcW w:w="2460" w:type="dxa"/>
            <w:vAlign w:val="bottom"/>
            <w:gridSpan w:val="3"/>
          </w:tcPr>
          <w:p>
            <w:pPr>
              <w:jc w:val="right"/>
              <w:ind w:right="480"/>
              <w:spacing w:after="0"/>
              <w:rPr>
                <w:sz w:val="20"/>
                <w:szCs w:val="20"/>
                <w:color w:val="auto"/>
              </w:rPr>
            </w:pPr>
            <w:r>
              <w:rPr>
                <w:rFonts w:ascii="Arial" w:cs="Arial" w:eastAsia="Arial" w:hAnsi="Arial"/>
                <w:sz w:val="17"/>
                <w:szCs w:val="17"/>
                <w:b w:val="1"/>
                <w:bCs w:val="1"/>
                <w:color w:val="auto"/>
              </w:rPr>
              <w:t>prior to this offering</w:t>
            </w:r>
          </w:p>
        </w:tc>
        <w:tc>
          <w:tcPr>
            <w:tcW w:w="220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after this offering</w:t>
            </w:r>
          </w:p>
        </w:tc>
        <w:tc>
          <w:tcPr>
            <w:tcW w:w="0" w:type="dxa"/>
            <w:vAlign w:val="bottom"/>
          </w:tcPr>
          <w:p>
            <w:pPr>
              <w:spacing w:after="0"/>
              <w:rPr>
                <w:sz w:val="1"/>
                <w:szCs w:val="1"/>
                <w:color w:val="auto"/>
              </w:rPr>
            </w:pPr>
          </w:p>
        </w:tc>
      </w:tr>
      <w:tr>
        <w:trPr>
          <w:trHeight w:val="193"/>
        </w:trPr>
        <w:tc>
          <w:tcPr>
            <w:tcW w:w="6220" w:type="dxa"/>
            <w:vAlign w:val="bottom"/>
            <w:tcBorders>
              <w:bottom w:val="single" w:sz="8" w:color="auto"/>
            </w:tcBorders>
            <w:vMerge w:val="continue"/>
          </w:tcPr>
          <w:p>
            <w:pPr>
              <w:spacing w:after="0"/>
              <w:rPr>
                <w:sz w:val="16"/>
                <w:szCs w:val="16"/>
                <w:color w:val="auto"/>
              </w:rPr>
            </w:pPr>
          </w:p>
        </w:tc>
        <w:tc>
          <w:tcPr>
            <w:tcW w:w="1140" w:type="dxa"/>
            <w:vAlign w:val="bottom"/>
            <w:tcBorders>
              <w:top w:val="single" w:sz="8" w:color="auto"/>
              <w:bottom w:val="single" w:sz="8" w:color="auto"/>
            </w:tcBorders>
          </w:tcPr>
          <w:p>
            <w:pPr>
              <w:jc w:val="right"/>
              <w:ind w:right="93"/>
              <w:spacing w:after="0" w:line="194" w:lineRule="exact"/>
              <w:rPr>
                <w:sz w:val="20"/>
                <w:szCs w:val="20"/>
                <w:color w:val="auto"/>
              </w:rPr>
            </w:pPr>
            <w:r>
              <w:rPr>
                <w:rFonts w:ascii="Arial" w:cs="Arial" w:eastAsia="Arial" w:hAnsi="Arial"/>
                <w:sz w:val="17"/>
                <w:szCs w:val="17"/>
                <w:b w:val="1"/>
                <w:bCs w:val="1"/>
                <w:color w:val="auto"/>
              </w:rPr>
              <w:t>Number</w:t>
            </w: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Percent</w:t>
            </w:r>
          </w:p>
        </w:tc>
        <w:tc>
          <w:tcPr>
            <w:tcW w:w="480" w:type="dxa"/>
            <w:vAlign w:val="bottom"/>
            <w:tcBorders>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13"/>
              <w:spacing w:after="0" w:line="194" w:lineRule="exact"/>
              <w:rPr>
                <w:sz w:val="20"/>
                <w:szCs w:val="20"/>
                <w:color w:val="auto"/>
              </w:rPr>
            </w:pPr>
            <w:r>
              <w:rPr>
                <w:rFonts w:ascii="Arial" w:cs="Arial" w:eastAsia="Arial" w:hAnsi="Arial"/>
                <w:sz w:val="17"/>
                <w:szCs w:val="17"/>
                <w:b w:val="1"/>
                <w:bCs w:val="1"/>
                <w:color w:val="auto"/>
              </w:rPr>
              <w:t>Number</w:t>
            </w: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Percent</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1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20" w:type="dxa"/>
            <w:vAlign w:val="bottom"/>
          </w:tcPr>
          <w:p>
            <w:pPr>
              <w:spacing w:after="0"/>
              <w:rPr>
                <w:sz w:val="20"/>
                <w:szCs w:val="20"/>
                <w:color w:val="auto"/>
              </w:rPr>
            </w:pPr>
            <w:r>
              <w:rPr>
                <w:rFonts w:ascii="Arial" w:cs="Arial" w:eastAsia="Arial" w:hAnsi="Arial"/>
                <w:sz w:val="17"/>
                <w:szCs w:val="17"/>
                <w:color w:val="auto"/>
              </w:rPr>
              <w:t>Edward M. Kaye, M.D.(1)</w:t>
            </w:r>
          </w:p>
        </w:tc>
        <w:tc>
          <w:tcPr>
            <w:tcW w:w="1140" w:type="dxa"/>
            <w:vAlign w:val="bottom"/>
          </w:tcPr>
          <w:p>
            <w:pPr>
              <w:jc w:val="right"/>
              <w:ind w:right="93"/>
              <w:spacing w:after="0"/>
              <w:rPr>
                <w:sz w:val="20"/>
                <w:szCs w:val="20"/>
                <w:color w:val="auto"/>
              </w:rPr>
            </w:pPr>
            <w:r>
              <w:rPr>
                <w:rFonts w:ascii="Arial" w:cs="Arial" w:eastAsia="Arial" w:hAnsi="Arial"/>
                <w:sz w:val="17"/>
                <w:szCs w:val="17"/>
                <w:color w:val="auto"/>
              </w:rPr>
              <w:t>393,108</w:t>
            </w: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1.6%</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393,108</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Huw M. Nash, Ph.D.(2)</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332,104</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1.4</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332,104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0"/>
        </w:trPr>
        <w:tc>
          <w:tcPr>
            <w:tcW w:w="6220" w:type="dxa"/>
            <w:vAlign w:val="bottom"/>
          </w:tcPr>
          <w:p>
            <w:pPr>
              <w:spacing w:after="0"/>
              <w:rPr>
                <w:sz w:val="20"/>
                <w:szCs w:val="20"/>
                <w:color w:val="auto"/>
              </w:rPr>
            </w:pPr>
            <w:r>
              <w:rPr>
                <w:rFonts w:ascii="Arial" w:cs="Arial" w:eastAsia="Arial" w:hAnsi="Arial"/>
                <w:sz w:val="17"/>
                <w:szCs w:val="17"/>
                <w:color w:val="auto"/>
              </w:rPr>
              <w:t>Barry S. Ticho, M.D., Ph.D., FACC(3)</w:t>
            </w:r>
          </w:p>
        </w:tc>
        <w:tc>
          <w:tcPr>
            <w:tcW w:w="1140" w:type="dxa"/>
            <w:vAlign w:val="bottom"/>
          </w:tcPr>
          <w:p>
            <w:pPr>
              <w:jc w:val="right"/>
              <w:ind w:right="93"/>
              <w:spacing w:after="0"/>
              <w:rPr>
                <w:sz w:val="20"/>
                <w:szCs w:val="20"/>
                <w:color w:val="auto"/>
              </w:rPr>
            </w:pPr>
            <w:r>
              <w:rPr>
                <w:rFonts w:ascii="Arial" w:cs="Arial" w:eastAsia="Arial" w:hAnsi="Arial"/>
                <w:sz w:val="17"/>
                <w:szCs w:val="17"/>
                <w:color w:val="auto"/>
              </w:rPr>
              <w:t>119,098</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119,098</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Jennifer C. Burstein, CPA</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220" w:type="dxa"/>
            <w:vAlign w:val="bottom"/>
          </w:tcPr>
          <w:p>
            <w:pPr>
              <w:spacing w:after="0"/>
              <w:rPr>
                <w:sz w:val="20"/>
                <w:szCs w:val="20"/>
                <w:color w:val="auto"/>
              </w:rPr>
            </w:pPr>
            <w:r>
              <w:rPr>
                <w:rFonts w:ascii="Arial" w:cs="Arial" w:eastAsia="Arial" w:hAnsi="Arial"/>
                <w:sz w:val="17"/>
                <w:szCs w:val="17"/>
                <w:color w:val="auto"/>
              </w:rPr>
              <w:t>Seth L. Harrison, M.D.(4)</w:t>
            </w:r>
          </w:p>
        </w:tc>
        <w:tc>
          <w:tcPr>
            <w:tcW w:w="1140" w:type="dxa"/>
            <w:vAlign w:val="bottom"/>
          </w:tcPr>
          <w:p>
            <w:pPr>
              <w:jc w:val="right"/>
              <w:ind w:right="93"/>
              <w:spacing w:after="0"/>
              <w:rPr>
                <w:sz w:val="20"/>
                <w:szCs w:val="20"/>
                <w:color w:val="auto"/>
              </w:rPr>
            </w:pPr>
            <w:r>
              <w:rPr>
                <w:rFonts w:ascii="Arial" w:cs="Arial" w:eastAsia="Arial" w:hAnsi="Arial"/>
                <w:sz w:val="17"/>
                <w:szCs w:val="17"/>
                <w:color w:val="auto"/>
              </w:rPr>
              <w:t>15,397,824</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65.3</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15,397,824</w:t>
            </w:r>
          </w:p>
        </w:tc>
        <w:tc>
          <w:tcPr>
            <w:tcW w:w="820" w:type="dxa"/>
            <w:vAlign w:val="bottom"/>
          </w:tcPr>
          <w:p>
            <w:pPr>
              <w:jc w:val="right"/>
              <w:spacing w:after="0"/>
              <w:rPr>
                <w:sz w:val="20"/>
                <w:szCs w:val="20"/>
                <w:color w:val="auto"/>
              </w:rPr>
            </w:pPr>
            <w:r>
              <w:rPr>
                <w:rFonts w:ascii="Arial" w:cs="Arial" w:eastAsia="Arial" w:hAnsi="Arial"/>
                <w:sz w:val="17"/>
                <w:szCs w:val="17"/>
                <w:color w:val="auto"/>
              </w:rPr>
              <w:t>50.9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Samuel W. Hall, Ph.D.</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220" w:type="dxa"/>
            <w:vAlign w:val="bottom"/>
          </w:tcPr>
          <w:p>
            <w:pPr>
              <w:spacing w:after="0"/>
              <w:rPr>
                <w:sz w:val="20"/>
                <w:szCs w:val="20"/>
                <w:color w:val="auto"/>
              </w:rPr>
            </w:pPr>
            <w:r>
              <w:rPr>
                <w:rFonts w:ascii="Arial" w:cs="Arial" w:eastAsia="Arial" w:hAnsi="Arial"/>
                <w:sz w:val="17"/>
                <w:szCs w:val="17"/>
                <w:color w:val="auto"/>
              </w:rPr>
              <w:t>Adrian R. Krainer, Ph.D.(5)</w:t>
            </w:r>
          </w:p>
        </w:tc>
        <w:tc>
          <w:tcPr>
            <w:tcW w:w="1140" w:type="dxa"/>
            <w:vAlign w:val="bottom"/>
          </w:tcPr>
          <w:p>
            <w:pPr>
              <w:jc w:val="right"/>
              <w:ind w:right="93"/>
              <w:spacing w:after="0"/>
              <w:rPr>
                <w:sz w:val="20"/>
                <w:szCs w:val="20"/>
                <w:color w:val="auto"/>
              </w:rPr>
            </w:pPr>
            <w:r>
              <w:rPr>
                <w:rFonts w:ascii="Arial" w:cs="Arial" w:eastAsia="Arial" w:hAnsi="Arial"/>
                <w:sz w:val="17"/>
                <w:szCs w:val="17"/>
                <w:color w:val="auto"/>
              </w:rPr>
              <w:t>413,292</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1.8</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413,292</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Arthur A. Levin, Ph.D.(6)</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27,459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27,459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6220" w:type="dxa"/>
            <w:vAlign w:val="bottom"/>
          </w:tcPr>
          <w:p>
            <w:pPr>
              <w:spacing w:after="0"/>
              <w:rPr>
                <w:sz w:val="20"/>
                <w:szCs w:val="20"/>
                <w:color w:val="auto"/>
              </w:rPr>
            </w:pPr>
            <w:r>
              <w:rPr>
                <w:rFonts w:ascii="Arial" w:cs="Arial" w:eastAsia="Arial" w:hAnsi="Arial"/>
                <w:sz w:val="17"/>
                <w:szCs w:val="17"/>
                <w:color w:val="auto"/>
              </w:rPr>
              <w:t>Arthur O. Tzianabos, Ph.D.(7)</w:t>
            </w:r>
          </w:p>
        </w:tc>
        <w:tc>
          <w:tcPr>
            <w:tcW w:w="1140" w:type="dxa"/>
            <w:vAlign w:val="bottom"/>
          </w:tcPr>
          <w:p>
            <w:pPr>
              <w:jc w:val="right"/>
              <w:ind w:right="93"/>
              <w:spacing w:after="0"/>
              <w:rPr>
                <w:sz w:val="20"/>
                <w:szCs w:val="20"/>
                <w:color w:val="auto"/>
              </w:rPr>
            </w:pPr>
            <w:r>
              <w:rPr>
                <w:rFonts w:ascii="Arial" w:cs="Arial" w:eastAsia="Arial" w:hAnsi="Arial"/>
                <w:sz w:val="17"/>
                <w:szCs w:val="17"/>
                <w:color w:val="auto"/>
              </w:rPr>
              <w:t>12,862</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12,862</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5"/>
        </w:trPr>
        <w:tc>
          <w:tcPr>
            <w:tcW w:w="6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All executive officers and directors as a group (11 persons)(8)</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16,771,126</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68.4</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16,771,126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220" w:type="dxa"/>
            <w:vAlign w:val="bottom"/>
          </w:tcPr>
          <w:p>
            <w:pPr>
              <w:spacing w:after="0"/>
              <w:rPr>
                <w:sz w:val="20"/>
                <w:szCs w:val="20"/>
                <w:color w:val="auto"/>
              </w:rPr>
            </w:pPr>
            <w:r>
              <w:rPr>
                <w:rFonts w:ascii="Arial" w:cs="Arial" w:eastAsia="Arial" w:hAnsi="Arial"/>
                <w:sz w:val="17"/>
                <w:szCs w:val="17"/>
                <w:b w:val="1"/>
                <w:bCs w:val="1"/>
                <w:color w:val="auto"/>
              </w:rPr>
              <w:t>Other 5% stockholders:</w:t>
            </w:r>
          </w:p>
        </w:tc>
        <w:tc>
          <w:tcPr>
            <w:tcW w:w="1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Apple Tree Partners IV, L.P.(4)</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15,397,824</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65.3</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15,397,824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20" w:type="dxa"/>
            <w:vAlign w:val="bottom"/>
          </w:tcPr>
          <w:p>
            <w:pPr>
              <w:spacing w:after="0"/>
              <w:rPr>
                <w:sz w:val="20"/>
                <w:szCs w:val="20"/>
                <w:color w:val="auto"/>
              </w:rPr>
            </w:pPr>
            <w:r>
              <w:rPr>
                <w:rFonts w:ascii="Arial" w:cs="Arial" w:eastAsia="Arial" w:hAnsi="Arial"/>
                <w:sz w:val="17"/>
                <w:szCs w:val="17"/>
                <w:color w:val="auto"/>
              </w:rPr>
              <w:t>Entities affiliated with RTW Investments, L.P.(9)</w:t>
            </w:r>
          </w:p>
        </w:tc>
        <w:tc>
          <w:tcPr>
            <w:tcW w:w="1140" w:type="dxa"/>
            <w:vAlign w:val="bottom"/>
          </w:tcPr>
          <w:p>
            <w:pPr>
              <w:jc w:val="right"/>
              <w:ind w:right="93"/>
              <w:spacing w:after="0"/>
              <w:rPr>
                <w:sz w:val="20"/>
                <w:szCs w:val="20"/>
                <w:color w:val="auto"/>
              </w:rPr>
            </w:pPr>
            <w:r>
              <w:rPr>
                <w:rFonts w:ascii="Arial" w:cs="Arial" w:eastAsia="Arial" w:hAnsi="Arial"/>
                <w:sz w:val="17"/>
                <w:szCs w:val="17"/>
                <w:color w:val="auto"/>
              </w:rPr>
              <w:t>2,799,910</w:t>
            </w:r>
          </w:p>
        </w:tc>
        <w:tc>
          <w:tcPr>
            <w:tcW w:w="1320" w:type="dxa"/>
            <w:vAlign w:val="bottom"/>
            <w:gridSpan w:val="2"/>
          </w:tcPr>
          <w:p>
            <w:pPr>
              <w:jc w:val="right"/>
              <w:ind w:right="480"/>
              <w:spacing w:after="0"/>
              <w:rPr>
                <w:sz w:val="20"/>
                <w:szCs w:val="20"/>
                <w:color w:val="auto"/>
              </w:rPr>
            </w:pPr>
            <w:r>
              <w:rPr>
                <w:rFonts w:ascii="Arial" w:cs="Arial" w:eastAsia="Arial" w:hAnsi="Arial"/>
                <w:sz w:val="17"/>
                <w:szCs w:val="17"/>
                <w:color w:val="auto"/>
              </w:rPr>
              <w:t>11.9</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2,799,910</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8"/>
        </w:trPr>
        <w:tc>
          <w:tcPr>
            <w:tcW w:w="6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hanging="327"/>
        <w:spacing w:after="0"/>
        <w:tabs>
          <w:tab w:leader="none" w:pos="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64" w:lineRule="exact"/>
        <w:rPr>
          <w:sz w:val="20"/>
          <w:szCs w:val="20"/>
          <w:color w:val="auto"/>
        </w:rPr>
      </w:pPr>
    </w:p>
    <w:p>
      <w:pPr>
        <w:ind w:left="600" w:hanging="327"/>
        <w:spacing w:after="0"/>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393,108 shares underlying options to purchase common stock that are exercisable within 60 days of May 31, 2019.</w:t>
      </w:r>
    </w:p>
    <w:p>
      <w:pPr>
        <w:spacing w:after="0" w:line="63" w:lineRule="exact"/>
        <w:rPr>
          <w:rFonts w:ascii="Arial" w:cs="Arial" w:eastAsia="Arial" w:hAnsi="Arial"/>
          <w:sz w:val="13"/>
          <w:szCs w:val="13"/>
          <w:color w:val="auto"/>
        </w:rPr>
      </w:pPr>
    </w:p>
    <w:p>
      <w:pPr>
        <w:ind w:left="600" w:hanging="327"/>
        <w:spacing w:after="0"/>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332,104 shares underlying options to purchase common stock that are exercisable within 60 days of May 31, 2019.</w:t>
      </w:r>
    </w:p>
    <w:p>
      <w:pPr>
        <w:spacing w:after="0" w:line="63" w:lineRule="exact"/>
        <w:rPr>
          <w:rFonts w:ascii="Arial" w:cs="Arial" w:eastAsia="Arial" w:hAnsi="Arial"/>
          <w:sz w:val="13"/>
          <w:szCs w:val="13"/>
          <w:color w:val="auto"/>
        </w:rPr>
      </w:pPr>
    </w:p>
    <w:p>
      <w:pPr>
        <w:ind w:left="600" w:hanging="327"/>
        <w:spacing w:after="0"/>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119,098 shares underlying options to purchase common stock that are exercisable within 60 days of May 31, 2019.</w:t>
      </w:r>
    </w:p>
    <w:p>
      <w:pPr>
        <w:spacing w:after="0" w:line="63" w:lineRule="exact"/>
        <w:rPr>
          <w:rFonts w:ascii="Arial" w:cs="Arial" w:eastAsia="Arial" w:hAnsi="Arial"/>
          <w:sz w:val="13"/>
          <w:szCs w:val="13"/>
          <w:color w:val="auto"/>
        </w:rPr>
      </w:pPr>
    </w:p>
    <w:p>
      <w:pPr>
        <w:jc w:val="both"/>
        <w:ind w:left="600" w:right="20" w:hanging="327"/>
        <w:spacing w:after="0" w:line="244" w:lineRule="auto"/>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15,397,824 shares of common stock held by Apple Tree Partners IV, L.P., or ATP IV. ATP III GP, Ltd., or ATP III, is the sole general partner of ATP IV. Seth L. Harrison, M.D., a member of our board of directors, is the sole director of ATP III and may be deemed to have sole voting and dispositive power over the shares held by ATP IV. The address of ATP IV is 230 Park Avenue, Suite 2800, New York, New York 10169.</w:t>
      </w:r>
    </w:p>
    <w:p>
      <w:pPr>
        <w:spacing w:after="0" w:line="50" w:lineRule="exact"/>
        <w:rPr>
          <w:rFonts w:ascii="Arial" w:cs="Arial" w:eastAsia="Arial" w:hAnsi="Arial"/>
          <w:sz w:val="13"/>
          <w:szCs w:val="13"/>
          <w:color w:val="auto"/>
        </w:rPr>
      </w:pPr>
    </w:p>
    <w:p>
      <w:pPr>
        <w:ind w:left="600" w:hanging="327"/>
        <w:spacing w:after="0"/>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(i) 404,718 shares of common stock and (ii) 8,574 shares underlying options to purchase common stock that are exercisable within 60 days of May 31, 2019.</w:t>
      </w:r>
    </w:p>
    <w:p>
      <w:pPr>
        <w:spacing w:after="0" w:line="63" w:lineRule="exact"/>
        <w:rPr>
          <w:rFonts w:ascii="Arial" w:cs="Arial" w:eastAsia="Arial" w:hAnsi="Arial"/>
          <w:sz w:val="13"/>
          <w:szCs w:val="13"/>
          <w:color w:val="auto"/>
        </w:rPr>
      </w:pPr>
    </w:p>
    <w:p>
      <w:pPr>
        <w:ind w:left="600" w:right="120" w:hanging="327"/>
        <w:spacing w:after="0" w:line="253" w:lineRule="auto"/>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(i) 17,979 shares of common stock held by Arthur A. Levin, Trustee, Butler-Levin Revocable Trust and (ii) 9,480 shares underlying options to purchase common stock that are exercisable within 60 days of May 31, 2019.</w:t>
      </w:r>
    </w:p>
    <w:p>
      <w:pPr>
        <w:spacing w:after="0" w:line="44" w:lineRule="exact"/>
        <w:rPr>
          <w:rFonts w:ascii="Arial" w:cs="Arial" w:eastAsia="Arial" w:hAnsi="Arial"/>
          <w:sz w:val="13"/>
          <w:szCs w:val="13"/>
          <w:color w:val="auto"/>
        </w:rPr>
      </w:pPr>
    </w:p>
    <w:p>
      <w:pPr>
        <w:ind w:left="600" w:hanging="327"/>
        <w:spacing w:after="0"/>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12,862 shares underlying options to purchase common stock that are exercisable within 60 days of May 31, 2019.</w:t>
      </w:r>
    </w:p>
    <w:p>
      <w:pPr>
        <w:spacing w:after="0" w:line="63" w:lineRule="exact"/>
        <w:rPr>
          <w:rFonts w:ascii="Arial" w:cs="Arial" w:eastAsia="Arial" w:hAnsi="Arial"/>
          <w:sz w:val="13"/>
          <w:szCs w:val="13"/>
          <w:color w:val="auto"/>
        </w:rPr>
      </w:pPr>
    </w:p>
    <w:p>
      <w:pPr>
        <w:ind w:left="600" w:hanging="327"/>
        <w:spacing w:after="0"/>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(i) 15,820,521 shares of common stock and (ii) 950,605 shares underlying options to purchase common stock that are exercisable within 60 days of May 31, 2019.</w:t>
      </w:r>
    </w:p>
    <w:p>
      <w:pPr>
        <w:spacing w:after="0" w:line="63" w:lineRule="exact"/>
        <w:rPr>
          <w:rFonts w:ascii="Arial" w:cs="Arial" w:eastAsia="Arial" w:hAnsi="Arial"/>
          <w:sz w:val="13"/>
          <w:szCs w:val="13"/>
          <w:color w:val="auto"/>
        </w:rPr>
      </w:pPr>
    </w:p>
    <w:p>
      <w:pPr>
        <w:ind w:left="600" w:right="20" w:hanging="327"/>
        <w:spacing w:after="0" w:line="236" w:lineRule="auto"/>
        <w:tabs>
          <w:tab w:leader="none" w:pos="6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(i) 2,430,157 shares of common stock held by RTW Master Fund, Ltd., or RTW Master Fund, and (ii) 369,753 shares of common stock held by RTW Innovation Master Fund, Ltd., or RTW Innovation Fund. RTW Investments, LP, or RTW Investments, is the manager of RTW Master Fund and RTW Innovation Fund. Roderick Wong, M.D. is the managing partner and chief investment officer of RTW Investments and has sole voting and investment control over the shares held by each of RTW Master Fund and RTW Innovation Fund. The address of RTW Investments is 412 West 15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Street, Floor 9, New York, New York 10011.</w:t>
      </w:r>
    </w:p>
    <w:p>
      <w:pPr>
        <w:spacing w:after="0" w:line="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160"/>
          </w:cols>
          <w:pgMar w:left="240" w:top="455"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Description of capital stock</w:t>
      </w:r>
    </w:p>
    <w:p>
      <w:pPr>
        <w:spacing w:after="0" w:line="151"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95"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Upon the completion of this offering, our authorized capital stock will consist of 300,000,000 shares of common stock, $0.0001 par value per share, and 10,000,000 shares of undesignated preferred stock, $0.0001 par value per share.</w:t>
      </w:r>
    </w:p>
    <w:p>
      <w:pPr>
        <w:spacing w:after="0" w:line="80" w:lineRule="exact"/>
        <w:rPr>
          <w:sz w:val="20"/>
          <w:szCs w:val="20"/>
          <w:color w:val="auto"/>
        </w:rPr>
      </w:pPr>
    </w:p>
    <w:p>
      <w:pPr>
        <w:jc w:val="both"/>
        <w:ind w:left="280"/>
        <w:spacing w:after="0" w:line="245" w:lineRule="auto"/>
        <w:rPr>
          <w:sz w:val="20"/>
          <w:szCs w:val="20"/>
          <w:color w:val="auto"/>
        </w:rPr>
      </w:pPr>
      <w:r>
        <w:rPr>
          <w:rFonts w:ascii="Arial" w:cs="Arial" w:eastAsia="Arial" w:hAnsi="Arial"/>
          <w:sz w:val="17"/>
          <w:szCs w:val="17"/>
          <w:color w:val="auto"/>
        </w:rPr>
        <w:t>Pursuant to the provisions of our current certificate of incorporation all of the outstanding convertible preferred stock will automatically convert into common stock in connection with the completion of this offering. Our Series A convertible preferred stock will convert at a ratio of 1:1, our Series A-2 convertible preferred stock will convert at a ratio of 1:1, and our Series B convertible preferred stock will convert at a ratio of 1:1.</w:t>
      </w:r>
    </w:p>
    <w:p>
      <w:pPr>
        <w:spacing w:after="0" w:line="1" w:lineRule="exact"/>
        <w:rPr>
          <w:sz w:val="20"/>
          <w:szCs w:val="20"/>
          <w:color w:val="auto"/>
        </w:rPr>
      </w:pPr>
    </w:p>
    <w:p>
      <w:pPr>
        <w:ind w:left="280" w:right="180"/>
        <w:spacing w:after="0" w:line="253" w:lineRule="auto"/>
        <w:rPr>
          <w:sz w:val="20"/>
          <w:szCs w:val="20"/>
          <w:color w:val="auto"/>
        </w:rPr>
      </w:pPr>
      <w:r>
        <w:rPr>
          <w:rFonts w:ascii="Arial" w:cs="Arial" w:eastAsia="Arial" w:hAnsi="Arial"/>
          <w:sz w:val="17"/>
          <w:szCs w:val="17"/>
          <w:color w:val="auto"/>
        </w:rPr>
        <w:t>Assuming the effectiveness of this conversion as of March 31, 2019, there were 23,569,808 shares of our common stock issued, held by approximately 24 stockholders of record, and no shares of our convertible preferred stock outstanding. Our board of directors is authorized, without stockholder approval, to issue additional shares of our capital stock.</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Common stock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Dividend rights</w:t>
      </w:r>
    </w:p>
    <w:p>
      <w:pPr>
        <w:spacing w:after="0" w:line="131" w:lineRule="exact"/>
        <w:rPr>
          <w:sz w:val="20"/>
          <w:szCs w:val="20"/>
          <w:color w:val="auto"/>
        </w:rPr>
      </w:pPr>
    </w:p>
    <w:p>
      <w:pPr>
        <w:jc w:val="both"/>
        <w:ind w:left="280" w:right="40"/>
        <w:spacing w:after="0" w:line="253"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entitled “Dividend policy.”</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Voting rights</w:t>
      </w:r>
    </w:p>
    <w:p>
      <w:pPr>
        <w:spacing w:after="0" w:line="13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common stock is not entitled to preemptive rights, and is not subject to conversion, redemption or sinking fund provisions.</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Right to receive liquidation distributions</w:t>
      </w:r>
    </w:p>
    <w:p>
      <w:pPr>
        <w:spacing w:after="0" w:line="131" w:lineRule="exact"/>
        <w:rPr>
          <w:sz w:val="20"/>
          <w:szCs w:val="20"/>
          <w:color w:val="auto"/>
        </w:rPr>
      </w:pPr>
    </w:p>
    <w:p>
      <w:pPr>
        <w:ind w:left="280" w:right="160"/>
        <w:spacing w:after="0" w:line="251"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100"/>
          </w:cols>
          <w:pgMar w:left="240" w:top="455" w:right="5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Preferred stock</w:t>
      </w:r>
    </w:p>
    <w:p>
      <w:pPr>
        <w:spacing w:after="0" w:line="141"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Immediately prior to the completion of this offering, each outstanding share of preferred stock will be converted into common stock at a ratio of 1:1.</w:t>
      </w:r>
    </w:p>
    <w:p>
      <w:pPr>
        <w:spacing w:after="0" w:line="80"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Stock options</w:t>
      </w:r>
    </w:p>
    <w:p>
      <w:pPr>
        <w:spacing w:after="0" w:line="141" w:lineRule="exact"/>
        <w:rPr>
          <w:sz w:val="20"/>
          <w:szCs w:val="20"/>
          <w:color w:val="auto"/>
        </w:rPr>
      </w:pPr>
    </w:p>
    <w:p>
      <w:pPr>
        <w:ind w:left="280" w:right="600"/>
        <w:spacing w:after="0" w:line="262" w:lineRule="auto"/>
        <w:rPr>
          <w:sz w:val="20"/>
          <w:szCs w:val="20"/>
          <w:color w:val="auto"/>
        </w:rPr>
      </w:pPr>
      <w:r>
        <w:rPr>
          <w:rFonts w:ascii="Arial" w:cs="Arial" w:eastAsia="Arial" w:hAnsi="Arial"/>
          <w:sz w:val="17"/>
          <w:szCs w:val="17"/>
          <w:color w:val="auto"/>
        </w:rPr>
        <w:t>As of March 31, 2019, we had outstanding options to purchase an aggregate 4,034,649 shares of our common stock, with a weighted-average exercise price of $1.64.</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Registration rights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Pursuant to the terms of our amended and restated investors’ rights agreement, immediately following this offering, the holders</w:t>
      </w:r>
    </w:p>
    <w:p>
      <w:pPr>
        <w:spacing w:after="0" w:line="5"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of 22,677,585 shares of our common stock will be entitled to rights with respect to the registration of these shares under the Securities Act of 1933, as amended, or the Securities Act, as described below. We refer to these shares collectively as registrable securities.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Form S-1 registration rights</w:t>
      </w:r>
    </w:p>
    <w:p>
      <w:pPr>
        <w:spacing w:after="0" w:line="131"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Beginning 180 days after the completion of this offering, the holders of at least a majority of the then-outstanding registrable securities may make a request to us for the registration under the Securities Act of registrable securities if the aggregate price to the public of the shares offered is at least $10.0 million. Within ten (10) days following such request, we are obligated to provide notice of such request to all stockholders, other than the initiating 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120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for such registration statement to be effected at such time.</w:t>
      </w:r>
    </w:p>
    <w:p>
      <w:pPr>
        <w:spacing w:after="0" w:line="95"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in proportion (as nearly as practicable), to the number of registrable securities owned by each holder or in such other proportion as shall mutually be agreed to by all such selling</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140"/>
          </w:cols>
          <w:pgMar w:left="240" w:top="455"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80"/>
        <w:spacing w:after="0" w:line="262" w:lineRule="auto"/>
        <w:rPr>
          <w:sz w:val="20"/>
          <w:szCs w:val="20"/>
          <w:color w:val="auto"/>
        </w:rPr>
      </w:pPr>
      <w:r>
        <w:rPr>
          <w:rFonts w:ascii="Arial" w:cs="Arial" w:eastAsia="Arial" w:hAnsi="Arial"/>
          <w:sz w:val="17"/>
          <w:szCs w:val="17"/>
          <w:color w:val="auto"/>
        </w:rPr>
        <w:t>Holders. However, the number of shares to be registered by these holders cannot be reduced unless all other securities are first entirely excluded from the underwriting.</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3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Any holder or group of holders of at least 20% of then-outstanding registrable securities can request that we register all or part of their shares on Form S-3 if we are eligible to file a registration statement on Form S-3 and if the aggregate price to the public of the shares offered is at least $1.0 million. The stockholders may only require us to effect two registration statements on Form S-3 in a 12-month period. We may postpone taking action with respect to such filing not more than once during any 12-month period for a total period of not more than 120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for such registration statement to be effected at such time.</w:t>
      </w:r>
    </w:p>
    <w:p>
      <w:pPr>
        <w:spacing w:after="0" w:line="93"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in proportion (as nearly as practicable), to the number of registrable securities owned by each holder or in such other proportion as shall mutually be agreed to by all such selling Holders. However, the number of shares to be registered by these holders cannot be reduced unless all other securities are first entirely excluded from the underwriting.</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31"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If we register any of our securities for public sale, holders of then-outstanding registrable securities or their permitted transferees will have the right to include their registrable securities in the registration statement. However, this right does not apply to a registration relating to employee benefit plans, a registration relating to a corporate reorganization, a registration on a form that does not include substantially the same information as would be required to be included in a registration statement covering the sale of registrable securities or a registration in which the only common stock being registered is common stock issuable upon conversion of debt securities that are being registered.</w:t>
      </w:r>
    </w:p>
    <w:p>
      <w:pPr>
        <w:spacing w:after="0" w:line="93" w:lineRule="exact"/>
        <w:rPr>
          <w:sz w:val="20"/>
          <w:szCs w:val="20"/>
          <w:color w:val="auto"/>
        </w:rPr>
      </w:pPr>
    </w:p>
    <w:p>
      <w:pPr>
        <w:ind w:left="280"/>
        <w:spacing w:after="0" w:line="245" w:lineRule="auto"/>
        <w:rPr>
          <w:sz w:val="20"/>
          <w:szCs w:val="20"/>
          <w:color w:val="auto"/>
        </w:rPr>
      </w:pPr>
      <w:r>
        <w:rPr>
          <w:rFonts w:ascii="Arial" w:cs="Arial" w:eastAsia="Arial" w:hAnsi="Arial"/>
          <w:sz w:val="17"/>
          <w:szCs w:val="17"/>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to the selling holders, in proportion (as nearly as practicable), to the number of registrable securities owned by each selling holder or in such other proportion as shall mutually be agreed to by all such selling Holders. However, the number of shares to be registered by these holders cannot be reduced</w:t>
      </w:r>
    </w:p>
    <w:p>
      <w:pPr>
        <w:spacing w:after="0" w:line="2" w:lineRule="exact"/>
        <w:rPr>
          <w:sz w:val="20"/>
          <w:szCs w:val="20"/>
          <w:color w:val="auto"/>
        </w:rPr>
      </w:pPr>
    </w:p>
    <w:p>
      <w:pPr>
        <w:ind w:left="280" w:right="80" w:hanging="7"/>
        <w:spacing w:after="0" w:line="253" w:lineRule="auto"/>
        <w:tabs>
          <w:tab w:leader="none" w:pos="482" w:val="left"/>
        </w:tabs>
        <w:numPr>
          <w:ilvl w:val="0"/>
          <w:numId w:val="83"/>
        </w:numPr>
        <w:rPr>
          <w:rFonts w:ascii="Arial" w:cs="Arial" w:eastAsia="Arial" w:hAnsi="Arial"/>
          <w:sz w:val="17"/>
          <w:szCs w:val="17"/>
          <w:color w:val="auto"/>
        </w:rPr>
      </w:pPr>
      <w:r>
        <w:rPr>
          <w:rFonts w:ascii="Arial" w:cs="Arial" w:eastAsia="Arial" w:hAnsi="Arial"/>
          <w:sz w:val="17"/>
          <w:szCs w:val="17"/>
          <w:color w:val="auto"/>
        </w:rPr>
        <w:t>unless all other securities (other than securities to be sold by us) are first entirely excluded from the offering, (ii) below 25% of the total number of securities included in such offering, unless such offering is the initial public offering, in which case the selling holders may be excluded further if the underwriters make the determination for a limitation and no other stockholder’s securities are included in such offering.</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Expenses of registration rights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generally will pay all expenses, other than underwriting discounts and commissions.</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31"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The registration rights described above will expire, with respect to any particular holder of these rights, on the earlier of the fifth anniversary of this offering or with respect to each holder, such time following this offering as all registrable securities of such holder may be sold within a three-month period pursuant to Rule 144.</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140"/>
          </w:cols>
          <w:pgMar w:left="240" w:top="455"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Anti-takeover provisions</w:t>
      </w:r>
    </w:p>
    <w:p>
      <w:pPr>
        <w:spacing w:after="0" w:line="14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The provisions of Delaware General Corporation Law, or DGCL,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Delaware law</w:t>
      </w:r>
    </w:p>
    <w:p>
      <w:pPr>
        <w:spacing w:after="0" w:line="131"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02" w:lineRule="exact"/>
        <w:rPr>
          <w:sz w:val="20"/>
          <w:szCs w:val="20"/>
          <w:color w:val="auto"/>
        </w:rPr>
      </w:pPr>
    </w:p>
    <w:p>
      <w:pPr>
        <w:ind w:left="480" w:right="260" w:hanging="207"/>
        <w:spacing w:after="0" w:line="262" w:lineRule="auto"/>
        <w:tabs>
          <w:tab w:leader="none" w:pos="4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which resulted in the stockholder becoming an interested stockholder;</w:t>
      </w:r>
    </w:p>
    <w:p>
      <w:pPr>
        <w:spacing w:after="0" w:line="93" w:lineRule="exact"/>
        <w:rPr>
          <w:rFonts w:ascii="Arial" w:cs="Arial" w:eastAsia="Arial" w:hAnsi="Arial"/>
          <w:sz w:val="17"/>
          <w:szCs w:val="17"/>
          <w:color w:val="auto"/>
        </w:rPr>
      </w:pPr>
    </w:p>
    <w:p>
      <w:pPr>
        <w:ind w:left="480" w:right="60" w:hanging="207"/>
        <w:spacing w:after="0" w:line="249" w:lineRule="auto"/>
        <w:tabs>
          <w:tab w:leader="none" w:pos="4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06" w:lineRule="exact"/>
        <w:rPr>
          <w:rFonts w:ascii="Arial" w:cs="Arial" w:eastAsia="Arial" w:hAnsi="Arial"/>
          <w:sz w:val="17"/>
          <w:szCs w:val="17"/>
          <w:color w:val="auto"/>
        </w:rPr>
      </w:pPr>
    </w:p>
    <w:p>
      <w:pPr>
        <w:ind w:left="480" w:right="320" w:hanging="207"/>
        <w:spacing w:after="0" w:line="253" w:lineRule="auto"/>
        <w:tabs>
          <w:tab w:leader="none" w:pos="4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8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Restated certificate of incorporation and restated bylaw provisions</w:t>
      </w:r>
    </w:p>
    <w:p>
      <w:pPr>
        <w:spacing w:after="0" w:line="131" w:lineRule="exact"/>
        <w:rPr>
          <w:sz w:val="20"/>
          <w:szCs w:val="20"/>
          <w:color w:val="auto"/>
        </w:rPr>
      </w:pPr>
    </w:p>
    <w:p>
      <w:pPr>
        <w:ind w:left="280" w:right="500"/>
        <w:spacing w:after="0" w:line="253"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completion of this offering, include a number of provisions that could deter hostile takeovers or delay or prevent changes in control of our company, including the following:</w:t>
      </w:r>
    </w:p>
    <w:p>
      <w:pPr>
        <w:spacing w:after="0" w:line="84" w:lineRule="exact"/>
        <w:rPr>
          <w:sz w:val="20"/>
          <w:szCs w:val="20"/>
          <w:color w:val="auto"/>
        </w:rPr>
      </w:pPr>
    </w:p>
    <w:p>
      <w:pPr>
        <w:ind w:left="480" w:right="100" w:hanging="207"/>
        <w:spacing w:after="0" w:line="258" w:lineRule="auto"/>
        <w:tabs>
          <w:tab w:leader="none" w:pos="48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w:t>
      </w:r>
      <w:r>
        <w:rPr>
          <w:rFonts w:ascii="Arial" w:cs="Arial" w:eastAsia="Arial" w:hAnsi="Arial"/>
          <w:sz w:val="17"/>
          <w:szCs w:val="17"/>
          <w:i w:val="1"/>
          <w:iCs w:val="1"/>
          <w:color w:val="auto"/>
        </w:rPr>
        <w:t xml:space="preserve"> </w:t>
      </w:r>
      <w:r>
        <w:rPr>
          <w:rFonts w:ascii="Arial" w:cs="Arial" w:eastAsia="Arial" w:hAnsi="Arial"/>
          <w:sz w:val="17"/>
          <w:szCs w:val="17"/>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120"/>
          </w:cols>
          <w:pgMar w:left="240" w:top="455" w:right="5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spacing w:after="0" w:line="262" w:lineRule="auto"/>
        <w:rPr>
          <w:sz w:val="20"/>
          <w:szCs w:val="20"/>
          <w:color w:val="auto"/>
        </w:rPr>
      </w:pPr>
      <w:r>
        <w:rPr>
          <w:rFonts w:ascii="Arial" w:cs="Arial" w:eastAsia="Arial" w:hAnsi="Arial"/>
          <w:sz w:val="17"/>
          <w:szCs w:val="17"/>
          <w:color w:val="auto"/>
        </w:rPr>
        <w:t>vacancies with its own nominees. This makes it more difficult to change the composition of our board of directors but promotes continuity of management.</w:t>
      </w:r>
    </w:p>
    <w:p>
      <w:pPr>
        <w:spacing w:after="0" w:line="75" w:lineRule="exact"/>
        <w:rPr>
          <w:sz w:val="20"/>
          <w:szCs w:val="20"/>
          <w:color w:val="auto"/>
        </w:rPr>
      </w:pPr>
    </w:p>
    <w:p>
      <w:pPr>
        <w:ind w:left="480" w:right="40" w:hanging="207"/>
        <w:spacing w:after="0" w:line="258"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restated certificate of incorporation and restated bylaws will provide that our board of directors is classified into</w:t>
      </w:r>
      <w:r>
        <w:rPr>
          <w:rFonts w:ascii="Arial" w:cs="Arial" w:eastAsia="Arial" w:hAnsi="Arial"/>
          <w:sz w:val="17"/>
          <w:szCs w:val="17"/>
          <w:i w:val="1"/>
          <w:iCs w:val="1"/>
          <w:color w:val="auto"/>
        </w:rPr>
        <w:t xml:space="preserve"> </w:t>
      </w:r>
      <w:r>
        <w:rPr>
          <w:rFonts w:ascii="Arial" w:cs="Arial" w:eastAsia="Arial" w:hAnsi="Arial"/>
          <w:sz w:val="17"/>
          <w:szCs w:val="17"/>
          <w:color w:val="auto"/>
        </w:rPr>
        <w:t>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entitled “Management—Board composition.”</w:t>
      </w:r>
    </w:p>
    <w:p>
      <w:pPr>
        <w:spacing w:after="0" w:line="79" w:lineRule="exact"/>
        <w:rPr>
          <w:rFonts w:ascii="Arial" w:cs="Arial" w:eastAsia="Arial" w:hAnsi="Arial"/>
          <w:sz w:val="17"/>
          <w:szCs w:val="17"/>
          <w:color w:val="auto"/>
        </w:rPr>
      </w:pPr>
    </w:p>
    <w:p>
      <w:pPr>
        <w:ind w:left="480" w:hanging="207"/>
        <w:spacing w:after="0" w:line="251"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89" w:lineRule="exact"/>
        <w:rPr>
          <w:rFonts w:ascii="Arial" w:cs="Arial" w:eastAsia="Arial" w:hAnsi="Arial"/>
          <w:sz w:val="17"/>
          <w:szCs w:val="17"/>
          <w:color w:val="auto"/>
        </w:rPr>
      </w:pPr>
    </w:p>
    <w:p>
      <w:pPr>
        <w:ind w:left="480" w:right="60" w:hanging="207"/>
        <w:spacing w:after="0" w:line="252"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will provide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3" w:lineRule="exact"/>
        <w:rPr>
          <w:rFonts w:ascii="Arial" w:cs="Arial" w:eastAsia="Arial" w:hAnsi="Arial"/>
          <w:sz w:val="17"/>
          <w:szCs w:val="17"/>
          <w:color w:val="auto"/>
        </w:rPr>
      </w:pPr>
    </w:p>
    <w:p>
      <w:pPr>
        <w:ind w:left="480" w:right="180" w:hanging="207"/>
        <w:spacing w:after="0" w:line="264"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The DGCL provides that stockholders are not entitled to the right to cumulate votes in the election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unless a corporation’s certificate of incorporation provides otherwise. Our restated certificate of incorporation and restated bylaws will not provide for cumulative voting.</w:t>
      </w:r>
    </w:p>
    <w:p>
      <w:pPr>
        <w:spacing w:after="0" w:line="75" w:lineRule="exact"/>
        <w:rPr>
          <w:rFonts w:ascii="Arial" w:cs="Arial" w:eastAsia="Arial" w:hAnsi="Arial"/>
          <w:sz w:val="17"/>
          <w:szCs w:val="17"/>
          <w:color w:val="auto"/>
        </w:rPr>
      </w:pPr>
    </w:p>
    <w:p>
      <w:pPr>
        <w:ind w:left="480" w:right="280" w:hanging="207"/>
        <w:spacing w:after="0" w:line="284"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Directors removed only for cause. </w:t>
      </w:r>
      <w:r>
        <w:rPr>
          <w:rFonts w:ascii="Arial" w:cs="Arial" w:eastAsia="Arial" w:hAnsi="Arial"/>
          <w:sz w:val="17"/>
          <w:szCs w:val="17"/>
          <w:color w:val="auto"/>
        </w:rPr>
        <w:t>Our restated certificate of incorporation will provide that stockholders may remove directors only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and only by the affirmative vote of the holders of at least two-thirds of our outstanding common stock.</w:t>
      </w:r>
    </w:p>
    <w:p>
      <w:pPr>
        <w:spacing w:after="0" w:line="57" w:lineRule="exact"/>
        <w:rPr>
          <w:rFonts w:ascii="Arial" w:cs="Arial" w:eastAsia="Arial" w:hAnsi="Arial"/>
          <w:sz w:val="17"/>
          <w:szCs w:val="17"/>
          <w:color w:val="auto"/>
        </w:rPr>
      </w:pPr>
    </w:p>
    <w:p>
      <w:pPr>
        <w:ind w:left="480" w:right="340" w:hanging="207"/>
        <w:spacing w:after="0" w:line="284"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Amendment of charter provisions. </w:t>
      </w:r>
      <w:r>
        <w:rPr>
          <w:rFonts w:ascii="Arial" w:cs="Arial" w:eastAsia="Arial" w:hAnsi="Arial"/>
          <w:sz w:val="17"/>
          <w:szCs w:val="17"/>
          <w:color w:val="auto"/>
        </w:rPr>
        <w:t>Any amendment of the above expected provisions in our restated certificate of incorporation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approval by holders of at least two-thirds of our outstanding common stock.</w:t>
      </w:r>
    </w:p>
    <w:p>
      <w:pPr>
        <w:spacing w:after="0" w:line="57" w:lineRule="exact"/>
        <w:rPr>
          <w:rFonts w:ascii="Arial" w:cs="Arial" w:eastAsia="Arial" w:hAnsi="Arial"/>
          <w:sz w:val="17"/>
          <w:szCs w:val="17"/>
          <w:color w:val="auto"/>
        </w:rPr>
      </w:pPr>
    </w:p>
    <w:p>
      <w:pPr>
        <w:ind w:left="480" w:right="40" w:hanging="207"/>
        <w:spacing w:after="0" w:line="258"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w:t>
      </w:r>
      <w:r>
        <w:rPr>
          <w:rFonts w:ascii="Arial" w:cs="Arial" w:eastAsia="Arial" w:hAnsi="Arial"/>
          <w:sz w:val="17"/>
          <w:szCs w:val="17"/>
          <w:i w:val="1"/>
          <w:iCs w:val="1"/>
          <w:color w:val="auto"/>
        </w:rPr>
        <w:t xml:space="preserve"> </w:t>
      </w:r>
      <w:r>
        <w:rPr>
          <w:rFonts w:ascii="Arial" w:cs="Arial" w:eastAsia="Arial" w:hAnsi="Arial"/>
          <w:sz w:val="17"/>
          <w:szCs w:val="17"/>
          <w:color w:val="auto"/>
        </w:rPr>
        <w:t>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9" w:lineRule="exact"/>
        <w:rPr>
          <w:rFonts w:ascii="Arial" w:cs="Arial" w:eastAsia="Arial" w:hAnsi="Arial"/>
          <w:sz w:val="17"/>
          <w:szCs w:val="17"/>
          <w:color w:val="auto"/>
        </w:rPr>
      </w:pPr>
    </w:p>
    <w:p>
      <w:pPr>
        <w:ind w:left="480" w:right="120" w:hanging="207"/>
        <w:spacing w:after="0" w:line="284" w:lineRule="auto"/>
        <w:tabs>
          <w:tab w:leader="none" w:pos="48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Choice of forum. </w:t>
      </w:r>
      <w:r>
        <w:rPr>
          <w:rFonts w:ascii="Arial" w:cs="Arial" w:eastAsia="Arial" w:hAnsi="Arial"/>
          <w:sz w:val="17"/>
          <w:szCs w:val="17"/>
          <w:color w:val="auto"/>
        </w:rPr>
        <w:t>Our restated certificate of incorporation will provide that, to the fullest extent permitted by law, the Court of Chancery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 of Delaware will be the exclusive forum for any derivative action or</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140"/>
          </w:cols>
          <w:pgMar w:left="240" w:top="455"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60"/>
        <w:spacing w:after="0" w:line="247" w:lineRule="auto"/>
        <w:rPr>
          <w:sz w:val="20"/>
          <w:szCs w:val="20"/>
          <w:color w:val="auto"/>
        </w:rPr>
      </w:pPr>
      <w:r>
        <w:rPr>
          <w:rFonts w:ascii="Arial" w:cs="Arial" w:eastAsia="Arial" w:hAnsi="Arial"/>
          <w:sz w:val="17"/>
          <w:szCs w:val="17"/>
          <w:color w:val="auto"/>
        </w:rPr>
        <w:t>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90" w:lineRule="exact"/>
        <w:rPr>
          <w:sz w:val="20"/>
          <w:szCs w:val="20"/>
          <w:color w:val="auto"/>
        </w:rPr>
      </w:pPr>
    </w:p>
    <w:p>
      <w:pPr>
        <w:ind w:left="480" w:right="280" w:hanging="207"/>
        <w:spacing w:after="0" w:line="264" w:lineRule="auto"/>
        <w:tabs>
          <w:tab w:leader="none" w:pos="48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 xml:space="preserve">Board Observer Rights. </w:t>
      </w:r>
      <w:r>
        <w:rPr>
          <w:rFonts w:ascii="Arial" w:cs="Arial" w:eastAsia="Arial" w:hAnsi="Arial"/>
          <w:sz w:val="17"/>
          <w:szCs w:val="17"/>
          <w:color w:val="auto"/>
        </w:rPr>
        <w:t>Finally, the IRA provides that for so long as any of Apple Tree Partners IV, L.P., RTW Master Fund or RTW</w:t>
      </w:r>
      <w:r>
        <w:rPr>
          <w:rFonts w:ascii="Arial" w:cs="Arial" w:eastAsia="Arial" w:hAnsi="Arial"/>
          <w:sz w:val="17"/>
          <w:szCs w:val="17"/>
          <w:i w:val="1"/>
          <w:iCs w:val="1"/>
          <w:color w:val="auto"/>
        </w:rPr>
        <w:t xml:space="preserve"> </w:t>
      </w:r>
      <w:r>
        <w:rPr>
          <w:rFonts w:ascii="Arial" w:cs="Arial" w:eastAsia="Arial" w:hAnsi="Arial"/>
          <w:sz w:val="17"/>
          <w:szCs w:val="17"/>
          <w:color w:val="auto"/>
        </w:rPr>
        <w:t>Innovation Master Fund, Ltd., or any of their respective affiliates, holds any shares of our preferred stock or common stock issued upon conversion thereof, such investor or investors shall have the right to attend our board meetings in a nonvoting observer capacity.</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Transfer agent and registrar</w:t>
      </w:r>
    </w:p>
    <w:p>
      <w:pPr>
        <w:spacing w:after="0" w:line="141"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Upon the completion of this offering, the transfer agent and registrar for our common stock will be American Stock Transfer &amp; Trust Company, LLC. The transfer agent’s address is 6201 15</w:t>
      </w:r>
      <w:r>
        <w:rPr>
          <w:rFonts w:ascii="Arial" w:cs="Arial" w:eastAsia="Arial" w:hAnsi="Arial"/>
          <w:sz w:val="11"/>
          <w:szCs w:val="11"/>
          <w:color w:val="auto"/>
        </w:rPr>
        <w:t>th</w:t>
      </w:r>
      <w:r>
        <w:rPr>
          <w:rFonts w:ascii="Arial" w:cs="Arial" w:eastAsia="Arial" w:hAnsi="Arial"/>
          <w:sz w:val="17"/>
          <w:szCs w:val="17"/>
          <w:color w:val="auto"/>
        </w:rPr>
        <w:t xml:space="preserve"> Avenue, Brooklyn, New York 11219.</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Nasdaq Global Market listing</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have applied to list our common stock on the Nasdaq Global Market under the symbol “STOK.”</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100"/>
          </w:cols>
          <w:pgMar w:left="240" w:top="455" w:right="5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Shares eligible for future sale</w:t>
      </w:r>
    </w:p>
    <w:p>
      <w:pPr>
        <w:spacing w:after="0" w:line="151" w:lineRule="exact"/>
        <w:rPr>
          <w:sz w:val="20"/>
          <w:szCs w:val="20"/>
          <w:color w:val="auto"/>
        </w:rPr>
      </w:pPr>
    </w:p>
    <w:p>
      <w:pPr>
        <w:ind w:left="280" w:right="360"/>
        <w:spacing w:after="0" w:line="249" w:lineRule="auto"/>
        <w:rPr>
          <w:sz w:val="20"/>
          <w:szCs w:val="20"/>
          <w:color w:val="auto"/>
        </w:rPr>
      </w:pPr>
      <w:r>
        <w:rPr>
          <w:rFonts w:ascii="Arial" w:cs="Arial" w:eastAsia="Arial" w:hAnsi="Arial"/>
          <w:sz w:val="17"/>
          <w:szCs w:val="17"/>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w:t>
      </w:r>
    </w:p>
    <w:p>
      <w:pPr>
        <w:spacing w:after="0" w:line="93" w:lineRule="exact"/>
        <w:rPr>
          <w:sz w:val="20"/>
          <w:szCs w:val="20"/>
          <w:color w:val="auto"/>
        </w:rPr>
      </w:pPr>
    </w:p>
    <w:p>
      <w:pPr>
        <w:ind w:left="280" w:right="180"/>
        <w:spacing w:after="0" w:line="245" w:lineRule="auto"/>
        <w:rPr>
          <w:sz w:val="20"/>
          <w:szCs w:val="20"/>
          <w:color w:val="auto"/>
        </w:rPr>
      </w:pPr>
      <w:r>
        <w:rPr>
          <w:rFonts w:ascii="Arial" w:cs="Arial" w:eastAsia="Arial" w:hAnsi="Arial"/>
          <w:sz w:val="17"/>
          <w:szCs w:val="17"/>
          <w:color w:val="auto"/>
        </w:rPr>
        <w:t>Upon the completion of this offering, we will have a total of 30,269,808 shares of our common stock outstanding, assuming (i) the automatic conversion of all outstanding shares of our convertible preferred stock into an aggregate of 22,677,585 shares of our common stock and</w:t>
      </w:r>
    </w:p>
    <w:p>
      <w:pPr>
        <w:spacing w:after="0" w:line="1" w:lineRule="exact"/>
        <w:rPr>
          <w:sz w:val="20"/>
          <w:szCs w:val="20"/>
          <w:color w:val="auto"/>
        </w:rPr>
      </w:pPr>
    </w:p>
    <w:p>
      <w:pPr>
        <w:jc w:val="both"/>
        <w:ind w:left="280" w:right="20" w:hanging="7"/>
        <w:spacing w:after="0" w:line="251" w:lineRule="auto"/>
        <w:tabs>
          <w:tab w:leader="none" w:pos="52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issuance of 6,700,000 shares of common stock in this offering. Of these outstanding shares, all of the shares of common stock sold in this offering will be freely tradable, except that any shares purchased in this offering by our affiliates, as that term is defined in Rule 144 under the Securities Act of 1933, as amended, or the Securities Act, can only be sold in compliance with the Rule 144 limitations described below or in compliance with the lock-up agreements.</w:t>
      </w:r>
    </w:p>
    <w:p>
      <w:pPr>
        <w:spacing w:after="0" w:line="89" w:lineRule="exact"/>
        <w:rPr>
          <w:sz w:val="20"/>
          <w:szCs w:val="20"/>
          <w:color w:val="auto"/>
        </w:rPr>
      </w:pPr>
    </w:p>
    <w:p>
      <w:pPr>
        <w:ind w:left="280" w:right="100"/>
        <w:spacing w:after="0" w:line="247" w:lineRule="auto"/>
        <w:rPr>
          <w:sz w:val="20"/>
          <w:szCs w:val="20"/>
          <w:color w:val="auto"/>
        </w:rPr>
      </w:pPr>
      <w:r>
        <w:rPr>
          <w:rFonts w:ascii="Arial" w:cs="Arial" w:eastAsia="Arial" w:hAnsi="Arial"/>
          <w:sz w:val="17"/>
          <w:szCs w:val="17"/>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or will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the section entitled “Description of capital stock—Registration rights,” subject to the provisions of Rule 144 or Rule 701, shares will be available for sale in the public market as follows:</w:t>
      </w:r>
    </w:p>
    <w:p>
      <w:pPr>
        <w:spacing w:after="0" w:line="111" w:lineRule="exact"/>
        <w:rPr>
          <w:sz w:val="20"/>
          <w:szCs w:val="20"/>
          <w:color w:val="auto"/>
        </w:rPr>
      </w:pPr>
    </w:p>
    <w:p>
      <w:pPr>
        <w:ind w:left="480" w:right="320" w:hanging="207"/>
        <w:spacing w:after="0" w:line="262" w:lineRule="auto"/>
        <w:tabs>
          <w:tab w:leader="none" w:pos="4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pacing w:after="0" w:line="93" w:lineRule="exact"/>
        <w:rPr>
          <w:rFonts w:ascii="Arial" w:cs="Arial" w:eastAsia="Arial" w:hAnsi="Arial"/>
          <w:sz w:val="17"/>
          <w:szCs w:val="17"/>
          <w:color w:val="auto"/>
        </w:rPr>
      </w:pPr>
    </w:p>
    <w:p>
      <w:pPr>
        <w:ind w:left="480" w:right="400" w:hanging="207"/>
        <w:spacing w:after="0" w:line="262" w:lineRule="auto"/>
        <w:tabs>
          <w:tab w:leader="none" w:pos="4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23,569,808 additional shares will become eligible for sale in the public market, of which 16,771,126 shares will be held by affiliates and subject to the volume and other restrictions of Rule 144, as described below.</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Lock-up/market standoff agreements</w:t>
      </w:r>
    </w:p>
    <w:p>
      <w:pPr>
        <w:spacing w:after="0" w:line="14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All of our directors, officers and security holders are, or will be, subject to lock-up agreements or market standoff provisions that prohibit them from offering for sale, selling, contracting to sell, granting any option for the sale of, transferring or otherwise disposing of any shares of our common stock, options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J.P. Morgan Securities LLC, subject to certain exceptions. See the section entitled “Underwriting.”</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144</w:t>
      </w:r>
    </w:p>
    <w:p>
      <w:pPr>
        <w:spacing w:after="0" w:line="141" w:lineRule="exact"/>
        <w:rPr>
          <w:sz w:val="20"/>
          <w:szCs w:val="20"/>
          <w:color w:val="auto"/>
        </w:rPr>
      </w:pPr>
    </w:p>
    <w:p>
      <w:pPr>
        <w:jc w:val="both"/>
        <w:ind w:left="280" w:right="80"/>
        <w:spacing w:after="0" w:line="253"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three months preceding a sale and who has beneficially owned the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140"/>
          </w:cols>
          <w:pgMar w:left="240" w:top="455"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60"/>
        <w:spacing w:after="0" w:line="249" w:lineRule="auto"/>
        <w:rPr>
          <w:sz w:val="20"/>
          <w:szCs w:val="20"/>
          <w:color w:val="auto"/>
        </w:rPr>
      </w:pPr>
      <w:r>
        <w:rPr>
          <w:rFonts w:ascii="Arial" w:cs="Arial" w:eastAsia="Arial" w:hAnsi="Arial"/>
          <w:sz w:val="17"/>
          <w:szCs w:val="17"/>
          <w:color w:val="auto"/>
        </w:rPr>
        <w:t>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93" w:lineRule="exact"/>
        <w:rPr>
          <w:sz w:val="20"/>
          <w:szCs w:val="20"/>
          <w:color w:val="auto"/>
        </w:rPr>
      </w:pPr>
    </w:p>
    <w:p>
      <w:pPr>
        <w:ind w:left="280" w:right="140"/>
        <w:spacing w:after="0" w:line="253"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102" w:lineRule="exact"/>
        <w:rPr>
          <w:sz w:val="20"/>
          <w:szCs w:val="20"/>
          <w:color w:val="auto"/>
        </w:rPr>
      </w:pPr>
    </w:p>
    <w:p>
      <w:pPr>
        <w:ind w:left="480" w:right="180" w:hanging="207"/>
        <w:spacing w:after="0" w:line="262" w:lineRule="auto"/>
        <w:tabs>
          <w:tab w:leader="none" w:pos="4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302,698 shares immediately after this offering; or</w:t>
      </w:r>
    </w:p>
    <w:p>
      <w:pPr>
        <w:spacing w:after="0" w:line="93" w:lineRule="exact"/>
        <w:rPr>
          <w:rFonts w:ascii="Arial" w:cs="Arial" w:eastAsia="Arial" w:hAnsi="Arial"/>
          <w:sz w:val="17"/>
          <w:szCs w:val="17"/>
          <w:color w:val="auto"/>
        </w:rPr>
      </w:pPr>
    </w:p>
    <w:p>
      <w:pPr>
        <w:ind w:left="480" w:right="160" w:hanging="207"/>
        <w:spacing w:after="0" w:line="262" w:lineRule="auto"/>
        <w:tabs>
          <w:tab w:leader="none" w:pos="4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average reported weekly trading volume of our common stock during the four calendar weeks preceding the filing of a notice on Form 144 with respect to that sale.</w:t>
      </w:r>
    </w:p>
    <w:p>
      <w:pPr>
        <w:spacing w:after="0" w:line="80" w:lineRule="exact"/>
        <w:rPr>
          <w:sz w:val="20"/>
          <w:szCs w:val="20"/>
          <w:color w:val="auto"/>
        </w:rPr>
      </w:pPr>
    </w:p>
    <w:p>
      <w:pPr>
        <w:ind w:left="280" w:right="40"/>
        <w:spacing w:after="0" w:line="26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701</w:t>
      </w:r>
    </w:p>
    <w:p>
      <w:pPr>
        <w:spacing w:after="0" w:line="141" w:lineRule="exact"/>
        <w:rPr>
          <w:sz w:val="20"/>
          <w:szCs w:val="20"/>
          <w:color w:val="auto"/>
        </w:rPr>
      </w:pPr>
    </w:p>
    <w:p>
      <w:pPr>
        <w:ind w:left="280" w:right="20"/>
        <w:spacing w:after="0" w:line="245"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three months to sell these shares in reliance upon Rule 144, but without being required to comply with the public information, holding period, volume limitation or notice provisions of Rule</w:t>
      </w:r>
    </w:p>
    <w:p>
      <w:pPr>
        <w:spacing w:after="0" w:line="1" w:lineRule="exact"/>
        <w:rPr>
          <w:sz w:val="20"/>
          <w:szCs w:val="20"/>
          <w:color w:val="auto"/>
        </w:rPr>
      </w:pPr>
    </w:p>
    <w:p>
      <w:pPr>
        <w:ind w:left="280" w:hanging="7"/>
        <w:spacing w:after="0" w:line="253" w:lineRule="auto"/>
        <w:tabs>
          <w:tab w:leader="none" w:pos="666" w:val="left"/>
        </w:tabs>
        <w:numPr>
          <w:ilvl w:val="0"/>
          <w:numId w:val="91"/>
        </w:numPr>
        <w:rPr>
          <w:rFonts w:ascii="Arial" w:cs="Arial" w:eastAsia="Arial" w:hAnsi="Arial"/>
          <w:sz w:val="17"/>
          <w:szCs w:val="17"/>
          <w:color w:val="auto"/>
        </w:rPr>
      </w:pPr>
      <w:r>
        <w:rPr>
          <w:rFonts w:ascii="Arial" w:cs="Arial" w:eastAsia="Arial" w:hAnsi="Arial"/>
          <w:sz w:val="17"/>
          <w:szCs w:val="17"/>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and are subject to the lock-up and market standoff agreements described above.</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Form S-8 registration statement</w:t>
      </w:r>
    </w:p>
    <w:p>
      <w:pPr>
        <w:spacing w:after="0" w:line="141"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In connection with this offering, we intend to file a registration statement on Form S-8 under the Securities Act covering all of the shares of our common stock subject to outstanding options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Registration rights</w:t>
      </w:r>
    </w:p>
    <w:p>
      <w:pPr>
        <w:spacing w:after="0" w:line="141"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entitled “Description of capital stock—Registration rights.”</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140"/>
          </w:cols>
          <w:pgMar w:left="240" w:top="455"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51"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deal with state or local taxes, U.S. federal gift and estate tax laws, except to the limited extent provided below, or any non-U.S. tax consequences that may be relevant to Non-U.S. Holders in light of their particular circumstances.</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Special rules different from those described below may apply to certain Non-U.S. Holders that are subject to special treatment under the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Code, such as:</w:t>
      </w:r>
    </w:p>
    <w:p>
      <w:pPr>
        <w:spacing w:after="0" w:line="125" w:lineRule="exact"/>
        <w:rPr>
          <w:sz w:val="20"/>
          <w:szCs w:val="20"/>
          <w:color w:val="auto"/>
        </w:rPr>
      </w:pPr>
    </w:p>
    <w:p>
      <w:pPr>
        <w:ind w:left="480" w:hanging="207"/>
        <w:spacing w:after="0"/>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insurance companies, banks and other financial institutions;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tax-exempt organizations (including private foundations) and tax-qualified retirement plans;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foreign governments and international organizations;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broker-dealers and traders in securities;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U.S. expatriates and certain former citizens or long-term residents of the United States;</w:t>
      </w:r>
    </w:p>
    <w:p>
      <w:pPr>
        <w:spacing w:after="0" w:line="124" w:lineRule="exact"/>
        <w:rPr>
          <w:rFonts w:ascii="Arial" w:cs="Arial" w:eastAsia="Arial" w:hAnsi="Arial"/>
          <w:sz w:val="17"/>
          <w:szCs w:val="17"/>
          <w:color w:val="auto"/>
        </w:rPr>
      </w:pPr>
    </w:p>
    <w:p>
      <w:pPr>
        <w:ind w:left="480" w:right="680" w:hanging="207"/>
        <w:spacing w:after="0" w:line="262" w:lineRule="auto"/>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persons required for U.S. federal income tax purposes to conform the timing of income accruals to their financial statements under Section 451(b) of the Code;</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persons that own, or are deemed to own, more than 5% of our capital stock;</w:t>
      </w:r>
    </w:p>
    <w:p>
      <w:pPr>
        <w:spacing w:after="0" w:line="124" w:lineRule="exact"/>
        <w:rPr>
          <w:rFonts w:ascii="Arial" w:cs="Arial" w:eastAsia="Arial" w:hAnsi="Arial"/>
          <w:sz w:val="17"/>
          <w:szCs w:val="17"/>
          <w:color w:val="auto"/>
        </w:rPr>
      </w:pPr>
    </w:p>
    <w:p>
      <w:pPr>
        <w:ind w:left="480" w:right="120" w:hanging="207"/>
        <w:spacing w:after="0" w:line="262" w:lineRule="auto"/>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93" w:lineRule="exact"/>
        <w:rPr>
          <w:rFonts w:ascii="Arial" w:cs="Arial" w:eastAsia="Arial" w:hAnsi="Arial"/>
          <w:sz w:val="17"/>
          <w:szCs w:val="17"/>
          <w:color w:val="auto"/>
        </w:rPr>
      </w:pPr>
    </w:p>
    <w:p>
      <w:pPr>
        <w:ind w:left="480" w:right="80" w:hanging="207"/>
        <w:spacing w:after="0" w:line="262" w:lineRule="auto"/>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persons that hold our common stock as part of a “straddle,” “hedge,” “conversion transaction,” “synthetic security” or integrated investment or other risk reduction strategy;</w:t>
      </w:r>
    </w:p>
    <w:p>
      <w:pPr>
        <w:spacing w:after="0" w:line="93" w:lineRule="exact"/>
        <w:rPr>
          <w:rFonts w:ascii="Arial" w:cs="Arial" w:eastAsia="Arial" w:hAnsi="Arial"/>
          <w:sz w:val="17"/>
          <w:szCs w:val="17"/>
          <w:color w:val="auto"/>
        </w:rPr>
      </w:pPr>
    </w:p>
    <w:p>
      <w:pPr>
        <w:ind w:left="480" w:right="240" w:hanging="207"/>
        <w:spacing w:after="0" w:line="262" w:lineRule="auto"/>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 (generally, for investment purposes); and</w:t>
      </w:r>
    </w:p>
    <w:p>
      <w:pPr>
        <w:spacing w:after="0" w:line="93" w:lineRule="exact"/>
        <w:rPr>
          <w:rFonts w:ascii="Arial" w:cs="Arial" w:eastAsia="Arial" w:hAnsi="Arial"/>
          <w:sz w:val="17"/>
          <w:szCs w:val="17"/>
          <w:color w:val="auto"/>
        </w:rPr>
      </w:pPr>
    </w:p>
    <w:p>
      <w:pPr>
        <w:ind w:left="480" w:right="440" w:hanging="207"/>
        <w:spacing w:after="0" w:line="262" w:lineRule="auto"/>
        <w:tabs>
          <w:tab w:leader="none" w:pos="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partnerships and other pass-through entities, and investors in such pass-through entities (regardless of their places of organization or formation).</w:t>
      </w:r>
    </w:p>
    <w:p>
      <w:pPr>
        <w:spacing w:after="0" w:line="80"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Such Non-U.S. Holders are urged to consult their own tax advisors to determine the U.S. federal, state, local and other tax consequences that may be relevant to them.</w:t>
      </w:r>
    </w:p>
    <w:p>
      <w:pPr>
        <w:spacing w:after="0" w:line="80" w:lineRule="exact"/>
        <w:rPr>
          <w:sz w:val="20"/>
          <w:szCs w:val="20"/>
          <w:color w:val="auto"/>
        </w:rPr>
      </w:pPr>
    </w:p>
    <w:p>
      <w:pPr>
        <w:ind w:left="280" w:right="280"/>
        <w:spacing w:after="0" w:line="248" w:lineRule="auto"/>
        <w:rPr>
          <w:sz w:val="20"/>
          <w:szCs w:val="20"/>
          <w:color w:val="auto"/>
        </w:rPr>
      </w:pPr>
      <w:r>
        <w:rPr>
          <w:rFonts w:ascii="Arial" w:cs="Arial" w:eastAsia="Arial" w:hAnsi="Arial"/>
          <w:sz w:val="17"/>
          <w:szCs w:val="17"/>
          <w:color w:val="auto"/>
        </w:rPr>
        <w:t>Furthermore, the discussion below is based upon the provisions of the Code, and U.S.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95" w:lineRule="exact"/>
        <w:rPr>
          <w:sz w:val="20"/>
          <w:szCs w:val="20"/>
          <w:color w:val="auto"/>
        </w:rPr>
      </w:pPr>
    </w:p>
    <w:p>
      <w:pPr>
        <w:ind w:left="280" w:right="240"/>
        <w:spacing w:after="0" w:line="262"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OWN TAX ADVISORS CONCERNING THE U.S. FEDERAL INCOME TAX CONSEQUENCES OF</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140"/>
          </w:cols>
          <w:pgMar w:left="240" w:top="455"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89" w:lineRule="exact"/>
        <w:rPr>
          <w:sz w:val="20"/>
          <w:szCs w:val="20"/>
          <w:color w:val="auto"/>
        </w:rPr>
      </w:pPr>
    </w:p>
    <w:p>
      <w:pPr>
        <w:ind w:left="280" w:right="180"/>
        <w:spacing w:after="0" w:line="247" w:lineRule="auto"/>
        <w:rPr>
          <w:sz w:val="20"/>
          <w:szCs w:val="20"/>
          <w:color w:val="auto"/>
        </w:rPr>
      </w:pPr>
      <w:r>
        <w:rPr>
          <w:rFonts w:ascii="Arial" w:cs="Arial" w:eastAsia="Arial" w:hAnsi="Arial"/>
          <w:sz w:val="17"/>
          <w:szCs w:val="17"/>
          <w:color w:val="auto"/>
        </w:rPr>
        <w:t>For the purposes of this discussion, a “Non-U.S. Holder” is a beneficial owner of common stock that is not a U.S. Holder or a partnership for U.S. federal income tax purposes. A “U.S. Holder” means a beneficial owner of our common stock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97" w:lineRule="exact"/>
        <w:rPr>
          <w:sz w:val="20"/>
          <w:szCs w:val="20"/>
          <w:color w:val="auto"/>
        </w:rPr>
      </w:pPr>
    </w:p>
    <w:p>
      <w:pPr>
        <w:ind w:left="280" w:right="120"/>
        <w:spacing w:after="0" w:line="251" w:lineRule="auto"/>
        <w:rPr>
          <w:sz w:val="20"/>
          <w:szCs w:val="20"/>
          <w:color w:val="auto"/>
        </w:rPr>
      </w:pPr>
      <w:r>
        <w:rPr>
          <w:rFonts w:ascii="Arial" w:cs="Arial" w:eastAsia="Arial" w:hAnsi="Arial"/>
          <w:sz w:val="17"/>
          <w:szCs w:val="17"/>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89"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Distributions</w:t>
      </w:r>
    </w:p>
    <w:p>
      <w:pPr>
        <w:spacing w:after="0" w:line="141"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We do not expect to make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entitled “—Gain on disposition of our common stock.”</w:t>
      </w:r>
    </w:p>
    <w:p>
      <w:pPr>
        <w:spacing w:after="0" w:line="95"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140"/>
          </w:cols>
          <w:pgMar w:left="240" w:top="455"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applicable withholding agent). In general, 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97" w:lineRule="exact"/>
        <w:rPr>
          <w:sz w:val="20"/>
          <w:szCs w:val="20"/>
          <w:color w:val="auto"/>
        </w:rPr>
      </w:pPr>
    </w:p>
    <w:p>
      <w:pPr>
        <w:ind w:left="280" w:right="300"/>
        <w:spacing w:after="0" w:line="262" w:lineRule="auto"/>
        <w:rPr>
          <w:sz w:val="20"/>
          <w:szCs w:val="20"/>
          <w:color w:val="auto"/>
        </w:rPr>
      </w:pPr>
      <w:r>
        <w:rPr>
          <w:rFonts w:ascii="Arial" w:cs="Arial" w:eastAsia="Arial" w:hAnsi="Arial"/>
          <w:sz w:val="17"/>
          <w:szCs w:val="17"/>
          <w:color w:val="auto"/>
        </w:rPr>
        <w:t>See also the section below entitled “—Foreign accounts” for additional withholding rules that may apply to dividends paid to certain foreign financial institutions or non-financial foreign entities.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Gain on disposition of our common stock</w:t>
      </w:r>
    </w:p>
    <w:p>
      <w:pPr>
        <w:spacing w:after="0" w:line="141"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Subject to the discussions below under the sections entitled “—Backup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293"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If you are a Non-U.S. Holder described in (a) above, you will be required to pay tax on the net gain derived from the sale at the regular graduated U.S. federal income tax rates applicable to U.S. persons.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U.S. real property interests as defined in the Code and the U.S. Treasury Regulations comprised (by fair market value) at least half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such as Nasdaq. However, there can be no assurance that our common stock will qualify as regularly traded on an established securities market.</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U.S. federal estate tax</w:t>
      </w:r>
    </w:p>
    <w:p>
      <w:pPr>
        <w:spacing w:after="0" w:line="141" w:lineRule="exact"/>
        <w:rPr>
          <w:sz w:val="20"/>
          <w:szCs w:val="20"/>
          <w:color w:val="auto"/>
        </w:rPr>
      </w:pPr>
    </w:p>
    <w:p>
      <w:pPr>
        <w:ind w:left="280" w:right="260"/>
        <w:spacing w:after="0" w:line="262"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160"/>
          </w:cols>
          <w:pgMar w:left="240" w:top="455"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60"/>
        <w:spacing w:after="0" w:line="251" w:lineRule="auto"/>
        <w:rPr>
          <w:sz w:val="20"/>
          <w:szCs w:val="20"/>
          <w:color w:val="auto"/>
        </w:rPr>
      </w:pPr>
      <w:r>
        <w:rPr>
          <w:rFonts w:ascii="Arial" w:cs="Arial" w:eastAsia="Arial" w:hAnsi="Arial"/>
          <w:sz w:val="17"/>
          <w:szCs w:val="17"/>
          <w:color w:val="auto"/>
        </w:rPr>
        <w:t>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Backup withholding and information reporting</w:t>
      </w:r>
    </w:p>
    <w:p>
      <w:pPr>
        <w:spacing w:after="0" w:line="141" w:lineRule="exact"/>
        <w:rPr>
          <w:sz w:val="20"/>
          <w:szCs w:val="20"/>
          <w:color w:val="auto"/>
        </w:rPr>
      </w:pPr>
    </w:p>
    <w:p>
      <w:pPr>
        <w:ind w:left="280" w:right="120"/>
        <w:spacing w:after="0" w:line="251" w:lineRule="auto"/>
        <w:rPr>
          <w:sz w:val="20"/>
          <w:szCs w:val="20"/>
          <w:color w:val="auto"/>
        </w:rPr>
      </w:pPr>
      <w:r>
        <w:rPr>
          <w:rFonts w:ascii="Arial" w:cs="Arial" w:eastAsia="Arial" w:hAnsi="Arial"/>
          <w:sz w:val="17"/>
          <w:szCs w:val="17"/>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89"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297"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Foreign accounts</w:t>
      </w:r>
    </w:p>
    <w:p>
      <w:pPr>
        <w:spacing w:after="0" w:line="14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In addition, U.S. federal withholding taxes may apply under legislation common known as the Foreign Account Tax Compliance Act, or FATCA, on certain types of payments, including dividends paid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w:t>
      </w:r>
    </w:p>
    <w:p>
      <w:pPr>
        <w:spacing w:after="0" w:line="3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160"/>
          </w:cols>
          <w:pgMar w:left="240" w:top="455"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Code), annually report certain information about such accounts, and withhold 30% on certain payments to non-compliant foreign financial institutions and certain other account holders.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any sale or disposition of our common stock. Foreign financial institutions located in jurisdictions that have an intergovernmental agreement with the United States governing FATCA may be subject to different rules.</w:t>
      </w:r>
    </w:p>
    <w:p>
      <w:pPr>
        <w:spacing w:after="0" w:line="93" w:lineRule="exact"/>
        <w:rPr>
          <w:sz w:val="20"/>
          <w:szCs w:val="20"/>
          <w:color w:val="auto"/>
        </w:rPr>
      </w:pPr>
    </w:p>
    <w:p>
      <w:pPr>
        <w:ind w:left="280" w:right="240"/>
        <w:spacing w:after="0" w:line="262"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our common stock.</w:t>
      </w:r>
    </w:p>
    <w:p>
      <w:pPr>
        <w:spacing w:after="0" w:line="80" w:lineRule="exact"/>
        <w:rPr>
          <w:sz w:val="20"/>
          <w:szCs w:val="20"/>
          <w:color w:val="auto"/>
        </w:rPr>
      </w:pPr>
    </w:p>
    <w:p>
      <w:pPr>
        <w:ind w:left="280" w:right="500"/>
        <w:spacing w:after="0" w:line="251" w:lineRule="auto"/>
        <w:rPr>
          <w:sz w:val="20"/>
          <w:szCs w:val="20"/>
          <w:color w:val="auto"/>
        </w:rPr>
      </w:pPr>
      <w:r>
        <w:rPr>
          <w:rFonts w:ascii="Arial" w:cs="Arial" w:eastAsia="Arial" w:hAnsi="Arial"/>
          <w:sz w:val="17"/>
          <w:szCs w:val="17"/>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160"/>
          </w:cols>
          <w:pgMar w:left="240" w:top="455"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Underwriting</w:t>
      </w:r>
    </w:p>
    <w:p>
      <w:pPr>
        <w:spacing w:after="0" w:line="151"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LLC, Cowen and Company, LLC and Credit Suisse Securities (USA) LLC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66675</wp:posOffset>
            </wp:positionV>
            <wp:extent cx="690943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33"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98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Number of</w:t>
            </w:r>
          </w:p>
        </w:tc>
      </w:tr>
      <w:tr>
        <w:trPr>
          <w:trHeight w:val="219"/>
        </w:trPr>
        <w:tc>
          <w:tcPr>
            <w:tcW w:w="9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shares</w:t>
            </w:r>
          </w:p>
        </w:tc>
      </w:tr>
      <w:tr>
        <w:trPr>
          <w:trHeight w:val="193"/>
        </w:trPr>
        <w:tc>
          <w:tcPr>
            <w:tcW w:w="9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J.P. Morgan Securities LLC</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0"/>
        </w:trPr>
        <w:tc>
          <w:tcPr>
            <w:tcW w:w="9880" w:type="dxa"/>
            <w:vAlign w:val="bottom"/>
          </w:tcPr>
          <w:p>
            <w:pPr>
              <w:spacing w:after="0"/>
              <w:rPr>
                <w:sz w:val="20"/>
                <w:szCs w:val="20"/>
                <w:color w:val="auto"/>
              </w:rPr>
            </w:pPr>
            <w:r>
              <w:rPr>
                <w:rFonts w:ascii="Arial" w:cs="Arial" w:eastAsia="Arial" w:hAnsi="Arial"/>
                <w:sz w:val="17"/>
                <w:szCs w:val="17"/>
                <w:color w:val="auto"/>
              </w:rPr>
              <w:t>Cowen and Company, LLC</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Credit Suisse Securities (USA) LLC</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7"/>
        </w:trPr>
        <w:tc>
          <w:tcPr>
            <w:tcW w:w="9880" w:type="dxa"/>
            <w:vAlign w:val="bottom"/>
          </w:tcPr>
          <w:p>
            <w:pPr>
              <w:spacing w:after="0"/>
              <w:rPr>
                <w:sz w:val="20"/>
                <w:szCs w:val="20"/>
                <w:color w:val="auto"/>
              </w:rPr>
            </w:pPr>
            <w:r>
              <w:rPr>
                <w:rFonts w:ascii="Arial" w:cs="Arial" w:eastAsia="Arial" w:hAnsi="Arial"/>
                <w:sz w:val="17"/>
                <w:szCs w:val="17"/>
                <w:color w:val="auto"/>
              </w:rPr>
              <w:t>Canaccord Genuity LLC</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6,700,000</w:t>
            </w:r>
          </w:p>
        </w:tc>
        <w:tc>
          <w:tcPr>
            <w:tcW w:w="80" w:type="dxa"/>
            <w:vAlign w:val="bottom"/>
            <w:shd w:val="clear" w:color="auto" w:fill="CCEEFF"/>
          </w:tcPr>
          <w:p>
            <w:pPr>
              <w:spacing w:after="0"/>
              <w:rPr>
                <w:sz w:val="17"/>
                <w:szCs w:val="17"/>
                <w:color w:val="auto"/>
              </w:rPr>
            </w:pPr>
          </w:p>
        </w:tc>
      </w:tr>
      <w:tr>
        <w:trPr>
          <w:trHeight w:val="20"/>
        </w:trPr>
        <w:tc>
          <w:tcPr>
            <w:tcW w:w="9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left="280" w:right="160"/>
        <w:spacing w:after="0" w:line="253" w:lineRule="auto"/>
        <w:rPr>
          <w:sz w:val="20"/>
          <w:szCs w:val="20"/>
          <w:color w:val="auto"/>
        </w:rPr>
      </w:pPr>
      <w:r>
        <w:rPr>
          <w:rFonts w:ascii="Arial" w:cs="Arial" w:eastAsia="Arial" w:hAnsi="Arial"/>
          <w:sz w:val="17"/>
          <w:szCs w:val="17"/>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underwriters propose to offer the common shares directly to the public at the initial public offering price set forth on the cover page of this</w:t>
      </w:r>
    </w:p>
    <w:p>
      <w:pPr>
        <w:spacing w:after="0" w:line="5" w:lineRule="exact"/>
        <w:rPr>
          <w:sz w:val="20"/>
          <w:szCs w:val="20"/>
          <w:color w:val="auto"/>
        </w:rPr>
      </w:pPr>
    </w:p>
    <w:p>
      <w:pPr>
        <w:ind w:left="280"/>
        <w:spacing w:after="0"/>
        <w:tabs>
          <w:tab w:leader="none" w:pos="7160" w:val="left"/>
        </w:tabs>
        <w:rPr>
          <w:sz w:val="20"/>
          <w:szCs w:val="20"/>
          <w:color w:val="auto"/>
        </w:rPr>
      </w:pPr>
      <w:r>
        <w:rPr>
          <w:rFonts w:ascii="Arial" w:cs="Arial" w:eastAsia="Arial" w:hAnsi="Arial"/>
          <w:sz w:val="17"/>
          <w:szCs w:val="17"/>
          <w:color w:val="auto"/>
        </w:rPr>
        <w:t>prospectus and to certain dealers at that price less a concession not in excess of $</w:t>
      </w:r>
      <w:r>
        <w:rPr>
          <w:sz w:val="20"/>
          <w:szCs w:val="20"/>
          <w:color w:val="auto"/>
        </w:rPr>
        <w:tab/>
      </w:r>
      <w:r>
        <w:rPr>
          <w:rFonts w:ascii="Arial" w:cs="Arial" w:eastAsia="Arial" w:hAnsi="Arial"/>
          <w:sz w:val="17"/>
          <w:szCs w:val="17"/>
          <w:color w:val="auto"/>
        </w:rPr>
        <w:t>per share. Any such dealers may resell shares to</w:t>
      </w:r>
    </w:p>
    <w:p>
      <w:pPr>
        <w:spacing w:after="0" w:line="5" w:lineRule="exact"/>
        <w:rPr>
          <w:sz w:val="20"/>
          <w:szCs w:val="20"/>
          <w:color w:val="auto"/>
        </w:rPr>
      </w:pPr>
    </w:p>
    <w:p>
      <w:pPr>
        <w:ind w:left="280" w:right="120"/>
        <w:spacing w:after="0" w:line="251" w:lineRule="auto"/>
        <w:rPr>
          <w:sz w:val="20"/>
          <w:szCs w:val="20"/>
          <w:color w:val="auto"/>
        </w:rPr>
      </w:pPr>
      <w:r>
        <w:rPr>
          <w:rFonts w:ascii="Arial" w:cs="Arial" w:eastAsia="Arial" w:hAnsi="Arial"/>
          <w:sz w:val="17"/>
          <w:szCs w:val="17"/>
          <w:color w:val="auto"/>
        </w:rPr>
        <w:t>certain other brokers or dealers at a discount of up to $ per share from the initial public offering price. After the initial offering of the shares to the public, if all of the common shares are not sold at the initial public offering price, the underwriters may change the offering price and the other selling terms. Sales of shares made outside of the United States may be made by affiliates of the underwriters. The offering of shares by the underwriters is subject to receipt and acceptance and subject to the underwriters’ right to reject any order in whole or in part.</w:t>
      </w:r>
    </w:p>
    <w:p>
      <w:pPr>
        <w:spacing w:after="0" w:line="89"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The underwriters have an option to buy up to 1,005,000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w:t>
      </w:r>
    </w:p>
    <w:p>
      <w:pPr>
        <w:spacing w:after="0" w:line="5" w:lineRule="exact"/>
        <w:rPr>
          <w:sz w:val="20"/>
          <w:szCs w:val="20"/>
          <w:color w:val="auto"/>
        </w:rPr>
      </w:pPr>
    </w:p>
    <w:p>
      <w:pPr>
        <w:ind w:left="280" w:right="300"/>
        <w:spacing w:after="0" w:line="253" w:lineRule="auto"/>
        <w:rPr>
          <w:sz w:val="20"/>
          <w:szCs w:val="20"/>
          <w:color w:val="auto"/>
        </w:rPr>
      </w:pPr>
      <w:r>
        <w:rPr>
          <w:rFonts w:ascii="Arial" w:cs="Arial" w:eastAsia="Arial" w:hAnsi="Arial"/>
          <w:sz w:val="17"/>
          <w:szCs w:val="17"/>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62865</wp:posOffset>
            </wp:positionV>
            <wp:extent cx="690943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3040" w:type="dxa"/>
            <w:vAlign w:val="bottom"/>
          </w:tcPr>
          <w:p>
            <w:pPr>
              <w:spacing w:after="0"/>
              <w:rPr>
                <w:sz w:val="17"/>
                <w:szCs w:val="17"/>
                <w:color w:val="auto"/>
              </w:rPr>
            </w:pPr>
          </w:p>
        </w:tc>
        <w:tc>
          <w:tcPr>
            <w:tcW w:w="6720" w:type="dxa"/>
            <w:vAlign w:val="bottom"/>
          </w:tcPr>
          <w:p>
            <w:pPr>
              <w:jc w:val="right"/>
              <w:ind w:right="153"/>
              <w:spacing w:after="0"/>
              <w:rPr>
                <w:sz w:val="20"/>
                <w:szCs w:val="20"/>
                <w:color w:val="auto"/>
              </w:rPr>
            </w:pPr>
            <w:r>
              <w:rPr>
                <w:rFonts w:ascii="Arial" w:cs="Arial" w:eastAsia="Arial" w:hAnsi="Arial"/>
                <w:sz w:val="17"/>
                <w:szCs w:val="17"/>
                <w:b w:val="1"/>
                <w:bCs w:val="1"/>
                <w:color w:val="auto"/>
              </w:rPr>
              <w:t>Without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With full</w:t>
            </w:r>
          </w:p>
        </w:tc>
      </w:tr>
      <w:tr>
        <w:trPr>
          <w:trHeight w:val="200"/>
        </w:trPr>
        <w:tc>
          <w:tcPr>
            <w:tcW w:w="3040" w:type="dxa"/>
            <w:vAlign w:val="bottom"/>
          </w:tcPr>
          <w:p>
            <w:pPr>
              <w:spacing w:after="0"/>
              <w:rPr>
                <w:sz w:val="17"/>
                <w:szCs w:val="17"/>
                <w:color w:val="auto"/>
              </w:rPr>
            </w:pPr>
          </w:p>
        </w:tc>
        <w:tc>
          <w:tcPr>
            <w:tcW w:w="6720" w:type="dxa"/>
            <w:vAlign w:val="bottom"/>
          </w:tcPr>
          <w:p>
            <w:pPr>
              <w:jc w:val="right"/>
              <w:ind w:right="153"/>
              <w:spacing w:after="0"/>
              <w:rPr>
                <w:sz w:val="20"/>
                <w:szCs w:val="20"/>
                <w:color w:val="auto"/>
              </w:rPr>
            </w:pPr>
            <w:r>
              <w:rPr>
                <w:rFonts w:ascii="Arial" w:cs="Arial" w:eastAsia="Arial" w:hAnsi="Arial"/>
                <w:sz w:val="17"/>
                <w:szCs w:val="17"/>
                <w:b w:val="1"/>
                <w:bCs w:val="1"/>
                <w:color w:val="auto"/>
              </w:rPr>
              <w:t>option to</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option to</w:t>
            </w:r>
          </w:p>
        </w:tc>
      </w:tr>
      <w:tr>
        <w:trPr>
          <w:trHeight w:val="200"/>
        </w:trPr>
        <w:tc>
          <w:tcPr>
            <w:tcW w:w="3040" w:type="dxa"/>
            <w:vAlign w:val="bottom"/>
          </w:tcPr>
          <w:p>
            <w:pPr>
              <w:spacing w:after="0"/>
              <w:rPr>
                <w:sz w:val="17"/>
                <w:szCs w:val="17"/>
                <w:color w:val="auto"/>
              </w:rPr>
            </w:pPr>
          </w:p>
        </w:tc>
        <w:tc>
          <w:tcPr>
            <w:tcW w:w="6720" w:type="dxa"/>
            <w:vAlign w:val="bottom"/>
          </w:tcPr>
          <w:p>
            <w:pPr>
              <w:jc w:val="right"/>
              <w:ind w:right="153"/>
              <w:spacing w:after="0"/>
              <w:rPr>
                <w:sz w:val="20"/>
                <w:szCs w:val="20"/>
                <w:color w:val="auto"/>
              </w:rPr>
            </w:pPr>
            <w:r>
              <w:rPr>
                <w:rFonts w:ascii="Arial" w:cs="Arial" w:eastAsia="Arial" w:hAnsi="Arial"/>
                <w:sz w:val="17"/>
                <w:szCs w:val="17"/>
                <w:b w:val="1"/>
                <w:bCs w:val="1"/>
                <w:color w:val="auto"/>
              </w:rPr>
              <w:t>purchase</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purchase</w:t>
            </w:r>
          </w:p>
        </w:tc>
      </w:tr>
      <w:tr>
        <w:trPr>
          <w:trHeight w:val="200"/>
        </w:trPr>
        <w:tc>
          <w:tcPr>
            <w:tcW w:w="3040" w:type="dxa"/>
            <w:vAlign w:val="bottom"/>
          </w:tcPr>
          <w:p>
            <w:pPr>
              <w:spacing w:after="0"/>
              <w:rPr>
                <w:sz w:val="17"/>
                <w:szCs w:val="17"/>
                <w:color w:val="auto"/>
              </w:rPr>
            </w:pPr>
          </w:p>
        </w:tc>
        <w:tc>
          <w:tcPr>
            <w:tcW w:w="6720" w:type="dxa"/>
            <w:vAlign w:val="bottom"/>
          </w:tcPr>
          <w:p>
            <w:pPr>
              <w:jc w:val="right"/>
              <w:ind w:right="153"/>
              <w:spacing w:after="0"/>
              <w:rPr>
                <w:sz w:val="20"/>
                <w:szCs w:val="20"/>
                <w:color w:val="auto"/>
              </w:rPr>
            </w:pPr>
            <w:r>
              <w:rPr>
                <w:rFonts w:ascii="Arial" w:cs="Arial" w:eastAsia="Arial" w:hAnsi="Arial"/>
                <w:sz w:val="17"/>
                <w:szCs w:val="17"/>
                <w:b w:val="1"/>
                <w:bCs w:val="1"/>
                <w:color w:val="auto"/>
              </w:rPr>
              <w:t>additional</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additional</w:t>
            </w:r>
          </w:p>
        </w:tc>
      </w:tr>
      <w:tr>
        <w:trPr>
          <w:trHeight w:val="200"/>
        </w:trPr>
        <w:tc>
          <w:tcPr>
            <w:tcW w:w="3040" w:type="dxa"/>
            <w:vAlign w:val="bottom"/>
          </w:tcPr>
          <w:p>
            <w:pPr>
              <w:spacing w:after="0"/>
              <w:rPr>
                <w:sz w:val="17"/>
                <w:szCs w:val="17"/>
                <w:color w:val="auto"/>
              </w:rPr>
            </w:pPr>
          </w:p>
        </w:tc>
        <w:tc>
          <w:tcPr>
            <w:tcW w:w="6720" w:type="dxa"/>
            <w:vAlign w:val="bottom"/>
          </w:tcPr>
          <w:p>
            <w:pPr>
              <w:jc w:val="right"/>
              <w:ind w:right="153"/>
              <w:spacing w:after="0"/>
              <w:rPr>
                <w:sz w:val="20"/>
                <w:szCs w:val="20"/>
                <w:color w:val="auto"/>
              </w:rPr>
            </w:pPr>
            <w:r>
              <w:rPr>
                <w:rFonts w:ascii="Arial" w:cs="Arial" w:eastAsia="Arial" w:hAnsi="Arial"/>
                <w:sz w:val="17"/>
                <w:szCs w:val="17"/>
                <w:b w:val="1"/>
                <w:bCs w:val="1"/>
                <w:color w:val="auto"/>
              </w:rPr>
              <w:t>shares</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shares</w:t>
            </w:r>
          </w:p>
        </w:tc>
      </w:tr>
      <w:tr>
        <w:trPr>
          <w:trHeight w:val="219"/>
        </w:trPr>
        <w:tc>
          <w:tcPr>
            <w:tcW w:w="3040" w:type="dxa"/>
            <w:vAlign w:val="bottom"/>
            <w:tcBorders>
              <w:bottom w:val="single" w:sz="8" w:color="auto"/>
            </w:tcBorders>
          </w:tcPr>
          <w:p>
            <w:pPr>
              <w:spacing w:after="0"/>
              <w:rPr>
                <w:sz w:val="19"/>
                <w:szCs w:val="19"/>
                <w:color w:val="auto"/>
              </w:rPr>
            </w:pPr>
          </w:p>
        </w:tc>
        <w:tc>
          <w:tcPr>
            <w:tcW w:w="67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exercise</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exercise</w:t>
            </w:r>
          </w:p>
        </w:tc>
      </w:tr>
      <w:tr>
        <w:trPr>
          <w:trHeight w:val="193"/>
        </w:trPr>
        <w:tc>
          <w:tcPr>
            <w:tcW w:w="3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Per Share</w:t>
            </w:r>
          </w:p>
        </w:tc>
        <w:tc>
          <w:tcPr>
            <w:tcW w:w="6720" w:type="dxa"/>
            <w:vAlign w:val="bottom"/>
            <w:shd w:val="clear" w:color="auto" w:fill="CCEEFF"/>
          </w:tcPr>
          <w:p>
            <w:pPr>
              <w:jc w:val="right"/>
              <w:ind w:right="873"/>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633"/>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213"/>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67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353"/>
        </w:trPr>
        <w:tc>
          <w:tcPr>
            <w:tcW w:w="3040" w:type="dxa"/>
            <w:vAlign w:val="bottom"/>
          </w:tcPr>
          <w:p>
            <w:pPr>
              <w:spacing w:after="0"/>
              <w:rPr>
                <w:sz w:val="24"/>
                <w:szCs w:val="24"/>
                <w:color w:val="auto"/>
              </w:rPr>
            </w:pPr>
          </w:p>
        </w:tc>
        <w:tc>
          <w:tcPr>
            <w:tcW w:w="6720" w:type="dxa"/>
            <w:vAlign w:val="bottom"/>
          </w:tcPr>
          <w:p>
            <w:pPr>
              <w:jc w:val="right"/>
              <w:ind w:right="4093"/>
              <w:spacing w:after="0"/>
              <w:rPr>
                <w:sz w:val="20"/>
                <w:szCs w:val="20"/>
                <w:color w:val="auto"/>
              </w:rPr>
            </w:pPr>
            <w:r>
              <w:rPr>
                <w:rFonts w:ascii="Arial" w:cs="Arial" w:eastAsia="Arial" w:hAnsi="Arial"/>
                <w:sz w:val="17"/>
                <w:szCs w:val="17"/>
                <w:color w:val="auto"/>
              </w:rPr>
              <w:t>163</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80"/>
        <w:spacing w:after="0" w:line="253"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 approximately $2,450,000. We have agreed to reimburse the underwriters for expenses of up to $35,000 related to clearance of this offering with the Financial Industry Regulatory Authority, or FINRA.</w:t>
      </w:r>
    </w:p>
    <w:p>
      <w:pPr>
        <w:spacing w:after="0" w:line="89"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this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9" w:lineRule="exact"/>
        <w:rPr>
          <w:sz w:val="20"/>
          <w:szCs w:val="20"/>
          <w:color w:val="auto"/>
        </w:rPr>
      </w:pPr>
    </w:p>
    <w:p>
      <w:pPr>
        <w:ind w:left="280" w:right="100"/>
        <w:spacing w:after="0" w:line="247" w:lineRule="auto"/>
        <w:rPr>
          <w:sz w:val="20"/>
          <w:szCs w:val="20"/>
          <w:color w:val="auto"/>
        </w:rPr>
      </w:pPr>
      <w:r>
        <w:rPr>
          <w:rFonts w:ascii="Arial" w:cs="Arial" w:eastAsia="Arial" w:hAnsi="Arial"/>
          <w:sz w:val="17"/>
          <w:szCs w:val="17"/>
          <w:color w:val="auto"/>
        </w:rPr>
        <w:t>We have agreed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of 1933, as amended, or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hereunder and any shares of our common stock issued upon the exercise of options granted under our existing equity incentive plans.</w:t>
      </w:r>
    </w:p>
    <w:p>
      <w:pPr>
        <w:spacing w:after="0" w:line="95"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Our directors, executive officers and shareholders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93" w:lineRule="exact"/>
        <w:rPr>
          <w:sz w:val="20"/>
          <w:szCs w:val="20"/>
          <w:color w:val="auto"/>
        </w:rPr>
      </w:pPr>
    </w:p>
    <w:p>
      <w:pPr>
        <w:ind w:left="280" w:right="200"/>
        <w:spacing w:after="0" w:line="262" w:lineRule="auto"/>
        <w:rPr>
          <w:sz w:val="20"/>
          <w:szCs w:val="20"/>
          <w:color w:val="auto"/>
        </w:rPr>
      </w:pPr>
      <w:r>
        <w:rPr>
          <w:rFonts w:ascii="Arial" w:cs="Arial" w:eastAsia="Arial" w:hAnsi="Arial"/>
          <w:sz w:val="17"/>
          <w:szCs w:val="17"/>
          <w:color w:val="auto"/>
        </w:rPr>
        <w:t>The restrictions described in the immediately preceding paragraph do not apply to, among other items, transfers or dispositions of shares of common stock:</w:t>
      </w:r>
    </w:p>
    <w:p>
      <w:pPr>
        <w:spacing w:after="0" w:line="93" w:lineRule="exact"/>
        <w:rPr>
          <w:sz w:val="20"/>
          <w:szCs w:val="20"/>
          <w:color w:val="auto"/>
        </w:rPr>
      </w:pPr>
    </w:p>
    <w:p>
      <w:pPr>
        <w:ind w:left="480" w:hanging="207"/>
        <w:spacing w:after="0"/>
        <w:tabs>
          <w:tab w:leader="none" w:pos="4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a bona fide gift, including bona fide gifts to a charity or educational institution, or for bona fide estate planning purposes;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party subject to the lock-up restrictions or the immediate family of such person;</w:t>
      </w: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140"/>
          </w:cols>
          <w:pgMar w:left="240" w:top="455"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160" w:hanging="207"/>
        <w:spacing w:after="0" w:line="262" w:lineRule="auto"/>
        <w:tabs>
          <w:tab w:leader="none" w:pos="4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any corporation, partnership, limited liability company or other entity under the ownership of the party subject to the lock-up restrictions or the immediate family of such person;</w:t>
      </w:r>
    </w:p>
    <w:p>
      <w:pPr>
        <w:spacing w:after="0" w:line="93" w:lineRule="exact"/>
        <w:rPr>
          <w:rFonts w:ascii="Arial" w:cs="Arial" w:eastAsia="Arial" w:hAnsi="Arial"/>
          <w:sz w:val="17"/>
          <w:szCs w:val="17"/>
          <w:color w:val="auto"/>
        </w:rPr>
      </w:pPr>
    </w:p>
    <w:p>
      <w:pPr>
        <w:ind w:left="480" w:right="300" w:hanging="207"/>
        <w:spacing w:after="0" w:line="262" w:lineRule="auto"/>
        <w:tabs>
          <w:tab w:leader="none" w:pos="4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by will, other testamentary document or intestate succession to the legal representative, heir, beneficiary or a member of the immediate family of the party subject to the lockup restrictions;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 distributions to partners, members or stockholders of the party subject to the lock-up restrictions;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 transfers to affiliates, investment funds or other entities controlled or managed by the party subject to the lock-up restrictions; and</w:t>
      </w:r>
    </w:p>
    <w:p>
      <w:pPr>
        <w:spacing w:after="0" w:line="93" w:lineRule="exact"/>
        <w:rPr>
          <w:sz w:val="20"/>
          <w:szCs w:val="20"/>
          <w:color w:val="auto"/>
        </w:rPr>
      </w:pPr>
    </w:p>
    <w:p>
      <w:pPr>
        <w:ind w:left="280" w:right="200"/>
        <w:spacing w:after="0" w:line="25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any transfer or distribution pursuant to the six subclauses above, (i) each transferee, donee or distributee shall</w:t>
      </w:r>
      <w:r>
        <w:rPr>
          <w:rFonts w:ascii="Arial" w:cs="Arial" w:eastAsia="Arial" w:hAnsi="Arial"/>
          <w:sz w:val="17"/>
          <w:szCs w:val="17"/>
          <w:i w:val="1"/>
          <w:iCs w:val="1"/>
          <w:color w:val="auto"/>
        </w:rPr>
        <w:t xml:space="preserve"> </w:t>
      </w:r>
      <w:r>
        <w:rPr>
          <w:rFonts w:ascii="Arial" w:cs="Arial" w:eastAsia="Arial" w:hAnsi="Arial"/>
          <w:sz w:val="17"/>
          <w:szCs w:val="17"/>
          <w:color w:val="auto"/>
        </w:rPr>
        <w:t>sign and deliver a lock-up letter in the form executed by the party subject to the lock up restrictions and (ii) no filing or other public announcement under Section 16(a)of the Exchange Act of 1934, as amended, or the Exchange Act, shall be required or shall be voluntarily made during the restricted period (other than a filing on Form 5 or a required filing on a Schedule 13F or 13G);</w:t>
      </w:r>
    </w:p>
    <w:p>
      <w:pPr>
        <w:spacing w:after="0" w:line="98" w:lineRule="exact"/>
        <w:rPr>
          <w:sz w:val="20"/>
          <w:szCs w:val="20"/>
          <w:color w:val="auto"/>
        </w:rPr>
      </w:pPr>
    </w:p>
    <w:p>
      <w:pPr>
        <w:ind w:left="480" w:right="40" w:hanging="207"/>
        <w:spacing w:after="0" w:line="253" w:lineRule="auto"/>
        <w:tabs>
          <w:tab w:leader="none" w:pos="4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transfer pursuant to a bona fide third-party tender offer, merger, consolidation or other similar transaction made to all holders of our common stock involving a change of control; provided that in the event such tender offer, merger, consolidation or other such transaction is not completed, the shares of our common stock shall remain subject to the lock-up restrictions;</w:t>
      </w:r>
    </w:p>
    <w:p>
      <w:pPr>
        <w:spacing w:after="0" w:line="101" w:lineRule="exact"/>
        <w:rPr>
          <w:rFonts w:ascii="Arial" w:cs="Arial" w:eastAsia="Arial" w:hAnsi="Arial"/>
          <w:sz w:val="17"/>
          <w:szCs w:val="17"/>
          <w:color w:val="auto"/>
        </w:rPr>
      </w:pPr>
    </w:p>
    <w:p>
      <w:pPr>
        <w:ind w:left="480" w:right="500" w:hanging="207"/>
        <w:spacing w:after="0" w:line="262" w:lineRule="auto"/>
        <w:tabs>
          <w:tab w:leader="none" w:pos="4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exercise of outstanding warrants or options to purchase shares of common stock granted under any stock incentive plan or stock purchase plan of ours, provided that the underlying shares shall continue to be subject to the lock-up restrictions;</w:t>
      </w:r>
    </w:p>
    <w:p>
      <w:pPr>
        <w:spacing w:after="0" w:line="93" w:lineRule="exact"/>
        <w:rPr>
          <w:rFonts w:ascii="Arial" w:cs="Arial" w:eastAsia="Arial" w:hAnsi="Arial"/>
          <w:sz w:val="17"/>
          <w:szCs w:val="17"/>
          <w:color w:val="auto"/>
        </w:rPr>
      </w:pPr>
    </w:p>
    <w:p>
      <w:pPr>
        <w:ind w:left="480" w:right="140" w:hanging="207"/>
        <w:spacing w:after="0" w:line="251" w:lineRule="auto"/>
        <w:tabs>
          <w:tab w:leader="none" w:pos="4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(i) such plan does not provide for the transfer of shares of common stock during the restricted period and (ii) no filing under the Exchange Act or other public announcement shall be required or voluntarily made by or on behalf of the party subject to the lock-up restrictions regarding the establishment of such plan;</w:t>
      </w:r>
    </w:p>
    <w:p>
      <w:pPr>
        <w:spacing w:after="0" w:line="102" w:lineRule="exact"/>
        <w:rPr>
          <w:rFonts w:ascii="Arial" w:cs="Arial" w:eastAsia="Arial" w:hAnsi="Arial"/>
          <w:sz w:val="17"/>
          <w:szCs w:val="17"/>
          <w:color w:val="auto"/>
        </w:rPr>
      </w:pPr>
    </w:p>
    <w:p>
      <w:pPr>
        <w:ind w:left="480" w:hanging="207"/>
        <w:spacing w:after="0" w:line="253" w:lineRule="auto"/>
        <w:tabs>
          <w:tab w:leader="none" w:pos="4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transfer or disposition of shares of common stock acquired in this offering or on the open market following this offering, provided that no filing under the Exchange Act or other public announcement shall be required or voluntarily made in connection with such transfer or disposition during the restricted period (other than a required filing on a Schedule 13F or 13G);</w:t>
      </w:r>
    </w:p>
    <w:p>
      <w:pPr>
        <w:spacing w:after="0" w:line="101" w:lineRule="exact"/>
        <w:rPr>
          <w:rFonts w:ascii="Arial" w:cs="Arial" w:eastAsia="Arial" w:hAnsi="Arial"/>
          <w:sz w:val="17"/>
          <w:szCs w:val="17"/>
          <w:color w:val="auto"/>
        </w:rPr>
      </w:pPr>
    </w:p>
    <w:p>
      <w:pPr>
        <w:ind w:left="480" w:right="100" w:hanging="207"/>
        <w:spacing w:after="0" w:line="248" w:lineRule="auto"/>
        <w:tabs>
          <w:tab w:leader="none" w:pos="4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transfers or surrenders to us of shares of common stock pursuant to any contractual arrangement that provides us with an option to repurchase such shares in connection with the termination of the party subject to the lock-up’s employment or service relationship with us, or pursuant to a right of first refusal with respect to transfers of such shares of common stock or other securities, or on a cashless or “net exercise” basis or to cover tax withholding obligations of the party subject to the lock-up, in connection with the vesting or exercise of such shares of common stock or other securities, provided that any filing under Section 16 of the Exchange Act shall clearly indicate in the footnotes thereto that the filing relates to such circumstances described above and no other public announcement shall be required or voluntarily made in connection with such transfers or surrenders; and</w:t>
      </w:r>
    </w:p>
    <w:p>
      <w:pPr>
        <w:spacing w:after="0" w:line="106" w:lineRule="exact"/>
        <w:rPr>
          <w:rFonts w:ascii="Arial" w:cs="Arial" w:eastAsia="Arial" w:hAnsi="Arial"/>
          <w:sz w:val="17"/>
          <w:szCs w:val="17"/>
          <w:color w:val="auto"/>
        </w:rPr>
      </w:pPr>
    </w:p>
    <w:p>
      <w:pPr>
        <w:ind w:left="480" w:right="20" w:hanging="207"/>
        <w:spacing w:after="0" w:line="249" w:lineRule="auto"/>
        <w:tabs>
          <w:tab w:leader="none" w:pos="4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by operation of law pursuant to a qualified domestic order or in connection with a divorce settlement or other court order, provided that the recipient of such shares shall execute and deliver to J.P. Morgan Securities LLC a lock-up letter in the form executed by the party subject to the lock-up restrictions, provided, further that any filing under Section 16 of the Exchange Act shall clearly indicate in the footnotes that the filing relates to the circumstances described above and no other public announcement shall be required or voluntarily made in connection with such transfer or disposition.</w:t>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140"/>
          </w:cols>
          <w:pgMar w:left="240" w:top="455" w:right="5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420"/>
        <w:spacing w:after="0" w:line="376" w:lineRule="auto"/>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We have applied to list our common stock on Nasdaq under the symbol “STOK.”</w:t>
      </w:r>
    </w:p>
    <w:p>
      <w:pPr>
        <w:spacing w:after="0" w:line="1"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2"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89"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89"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2" w:lineRule="exact"/>
        <w:rPr>
          <w:sz w:val="20"/>
          <w:szCs w:val="20"/>
          <w:color w:val="auto"/>
        </w:rPr>
      </w:pPr>
    </w:p>
    <w:p>
      <w:pPr>
        <w:ind w:left="480" w:hanging="207"/>
        <w:spacing w:after="0"/>
        <w:tabs>
          <w:tab w:leader="none" w:pos="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information set forth in this prospectus and otherwise available to the underwriters;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our prospects and the history and prospects for the industry in which we compete;</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 assessment of our management;</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our prospects for future earnings;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general condition of the securities markets at the time of this offering;</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common stock of generally comparable companies; and</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other factors deemed relevant by the underwriters and us.</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140"/>
          </w:cols>
          <w:pgMar w:left="240" w:top="455"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common shares, or that the shares will trade in the public market at or above the initial public offering price.</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Other relationships</w:t>
      </w:r>
    </w:p>
    <w:p>
      <w:pPr>
        <w:spacing w:after="0" w:line="14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various commercial banking, financial advisory or investment banking advice or other services in the ordinary course of their business, for which they will receive customary fees and commissions. In addition, from time to time, certain of the underwriters and their respective affiliates, officers, directors and employees may effect transactions for their own account or the account of customers, and hold on behalf of themselves or their customers, long or short positions in our debt or equity securities or loans, and may do so in the future. The underwriters and their respective affiliates may also communicate independent investment recommendations, market color or trading ideas and/or publish or express independent research views in respect of our securities and may at any time hold, or recommend to clients that they should acquire, long and/or short positions in our securities.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Selling restrictions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General</w:t>
      </w:r>
    </w:p>
    <w:p>
      <w:pPr>
        <w:spacing w:after="0" w:line="13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Canada</w:t>
      </w:r>
    </w:p>
    <w:p>
      <w:pPr>
        <w:spacing w:after="0" w:line="131"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89" w:lineRule="exact"/>
        <w:rPr>
          <w:sz w:val="20"/>
          <w:szCs w:val="20"/>
          <w:color w:val="auto"/>
        </w:rPr>
      </w:pPr>
    </w:p>
    <w:p>
      <w:pPr>
        <w:ind w:left="280" w:right="120"/>
        <w:spacing w:after="0" w:line="24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140"/>
          </w:cols>
          <w:pgMar w:left="240" w:top="455"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80"/>
        <w:spacing w:after="0" w:line="284"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representatives are not required to comply with the disclosure requirements of NI 33-105 regarding underwriter conflicts of interest in connection with this offering.</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31"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In relation to each Member State of the European Economic Area (each, a “Relevant Member State”), no offer of shares may be made to the public in that Relevant Member State other than:</w:t>
      </w:r>
    </w:p>
    <w:p>
      <w:pPr>
        <w:spacing w:after="0" w:line="93" w:lineRule="exact"/>
        <w:rPr>
          <w:sz w:val="20"/>
          <w:szCs w:val="20"/>
          <w:color w:val="auto"/>
        </w:rPr>
      </w:pPr>
    </w:p>
    <w:p>
      <w:pPr>
        <w:ind w:left="700" w:hanging="427"/>
        <w:spacing w:after="0"/>
        <w:tabs>
          <w:tab w:leader="none" w:pos="7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24" w:lineRule="exact"/>
        <w:rPr>
          <w:rFonts w:ascii="Arial" w:cs="Arial" w:eastAsia="Arial" w:hAnsi="Arial"/>
          <w:sz w:val="17"/>
          <w:szCs w:val="17"/>
          <w:color w:val="auto"/>
        </w:rPr>
      </w:pPr>
    </w:p>
    <w:p>
      <w:pPr>
        <w:ind w:left="700" w:right="320" w:hanging="427"/>
        <w:spacing w:after="0" w:line="253" w:lineRule="auto"/>
        <w:tabs>
          <w:tab w:leader="none" w:pos="7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01" w:lineRule="exact"/>
        <w:rPr>
          <w:rFonts w:ascii="Arial" w:cs="Arial" w:eastAsia="Arial" w:hAnsi="Arial"/>
          <w:sz w:val="17"/>
          <w:szCs w:val="17"/>
          <w:color w:val="auto"/>
        </w:rPr>
      </w:pPr>
    </w:p>
    <w:p>
      <w:pPr>
        <w:ind w:left="700" w:hanging="427"/>
        <w:spacing w:after="0"/>
        <w:tabs>
          <w:tab w:leader="none" w:pos="7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11" w:lineRule="exact"/>
        <w:rPr>
          <w:sz w:val="20"/>
          <w:szCs w:val="20"/>
          <w:color w:val="auto"/>
        </w:rPr>
      </w:pPr>
    </w:p>
    <w:p>
      <w:pPr>
        <w:ind w:left="280" w:right="360"/>
        <w:spacing w:after="0" w:line="262" w:lineRule="auto"/>
        <w:rPr>
          <w:sz w:val="20"/>
          <w:szCs w:val="20"/>
          <w:color w:val="auto"/>
        </w:rPr>
      </w:pPr>
      <w:r>
        <w:rPr>
          <w:rFonts w:ascii="Arial" w:cs="Arial" w:eastAsia="Arial" w:hAnsi="Arial"/>
          <w:sz w:val="17"/>
          <w:szCs w:val="17"/>
          <w:color w:val="auto"/>
        </w:rPr>
        <w:t>provided that no such offer of shares shall require the Company or the representatives to publish a prospectus pursuant to Article 3 of the Prospectus Directive or supplement a prospectus pursuant to Article 16 of the Prospectus Directive.</w:t>
      </w:r>
    </w:p>
    <w:p>
      <w:pPr>
        <w:spacing w:after="0" w:line="80"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97" w:lineRule="exact"/>
        <w:rPr>
          <w:sz w:val="20"/>
          <w:szCs w:val="20"/>
          <w:color w:val="auto"/>
        </w:rPr>
      </w:pPr>
    </w:p>
    <w:p>
      <w:pPr>
        <w:ind w:left="280" w:right="1460"/>
        <w:spacing w:after="0" w:line="262" w:lineRule="auto"/>
        <w:rPr>
          <w:sz w:val="20"/>
          <w:szCs w:val="20"/>
          <w:color w:val="auto"/>
        </w:rPr>
      </w:pPr>
      <w:r>
        <w:rPr>
          <w:rFonts w:ascii="Arial" w:cs="Arial" w:eastAsia="Arial" w:hAnsi="Arial"/>
          <w:sz w:val="17"/>
          <w:szCs w:val="17"/>
          <w:color w:val="auto"/>
        </w:rPr>
        <w:t>The Company, the representatives and their affiliates will rely upon the truth and accuracy of the foregoing representations, acknowledgements and agreements.</w:t>
      </w:r>
    </w:p>
    <w:p>
      <w:pPr>
        <w:spacing w:after="0" w:line="80"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295"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140"/>
          </w:cols>
          <w:pgMar w:left="240" w:top="455" w:right="5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380"/>
        <w:spacing w:after="0" w:line="262" w:lineRule="auto"/>
        <w:rPr>
          <w:sz w:val="20"/>
          <w:szCs w:val="20"/>
          <w:color w:val="auto"/>
        </w:rPr>
      </w:pPr>
      <w:r>
        <w:rPr>
          <w:rFonts w:ascii="Arial" w:cs="Arial" w:eastAsia="Arial" w:hAnsi="Arial"/>
          <w:sz w:val="17"/>
          <w:szCs w:val="17"/>
          <w:color w:val="auto"/>
        </w:rPr>
        <w:t>Member States) and includes any relevant implementing measure in the Relevant Member State and the expression “2010 PD Amending Directive” means Directive 2010/73/EU.</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Hong Kong</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 shares may not be offered or sold by means of any document other than (i) in circumstances that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Japan</w:t>
      </w:r>
    </w:p>
    <w:p>
      <w:pPr>
        <w:spacing w:after="0" w:line="131" w:lineRule="exact"/>
        <w:rPr>
          <w:sz w:val="20"/>
          <w:szCs w:val="20"/>
          <w:color w:val="auto"/>
        </w:rPr>
      </w:pPr>
    </w:p>
    <w:p>
      <w:pPr>
        <w:ind w:left="280" w:right="240"/>
        <w:spacing w:after="0" w:line="248"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Singapore</w:t>
      </w:r>
    </w:p>
    <w:p>
      <w:pPr>
        <w:spacing w:after="0" w:line="131"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95" w:lineRule="exact"/>
        <w:rPr>
          <w:sz w:val="20"/>
          <w:szCs w:val="20"/>
          <w:color w:val="auto"/>
        </w:rPr>
      </w:pPr>
    </w:p>
    <w:p>
      <w:pPr>
        <w:ind w:left="280" w:right="120"/>
        <w:spacing w:after="0" w:line="247" w:lineRule="auto"/>
        <w:rPr>
          <w:sz w:val="20"/>
          <w:szCs w:val="20"/>
          <w:color w:val="auto"/>
        </w:rPr>
      </w:pPr>
      <w:r>
        <w:rPr>
          <w:rFonts w:ascii="Arial" w:cs="Arial" w:eastAsia="Arial" w:hAnsi="Arial"/>
          <w:sz w:val="17"/>
          <w:szCs w:val="17"/>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160"/>
          </w:cols>
          <w:pgMar w:left="240" w:top="455"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Switzerland</w:t>
      </w:r>
    </w:p>
    <w:p>
      <w:pPr>
        <w:spacing w:after="0" w:line="131" w:lineRule="exact"/>
        <w:rPr>
          <w:sz w:val="20"/>
          <w:szCs w:val="20"/>
          <w:color w:val="auto"/>
        </w:rPr>
      </w:pPr>
    </w:p>
    <w:p>
      <w:pPr>
        <w:ind w:left="280" w:right="20"/>
        <w:spacing w:after="0" w:line="247"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or the shares has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United Arab Emirates</w:t>
      </w:r>
    </w:p>
    <w:p>
      <w:pPr>
        <w:spacing w:after="0" w:line="131"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United Kingdom</w:t>
      </w:r>
    </w:p>
    <w:p>
      <w:pPr>
        <w:spacing w:after="0" w:line="131" w:lineRule="exact"/>
        <w:rPr>
          <w:sz w:val="20"/>
          <w:szCs w:val="20"/>
          <w:color w:val="auto"/>
        </w:rPr>
      </w:pPr>
    </w:p>
    <w:p>
      <w:pPr>
        <w:ind w:left="280" w:right="60"/>
        <w:spacing w:after="0" w:line="245" w:lineRule="auto"/>
        <w:rPr>
          <w:sz w:val="20"/>
          <w:szCs w:val="20"/>
          <w:color w:val="auto"/>
        </w:rPr>
      </w:pPr>
      <w:r>
        <w:rPr>
          <w:rFonts w:ascii="Arial" w:cs="Arial" w:eastAsia="Arial" w:hAnsi="Arial"/>
          <w:sz w:val="17"/>
          <w:szCs w:val="17"/>
          <w:color w:val="auto"/>
        </w:rPr>
        <w:t>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spacing w:after="0" w:line="1" w:lineRule="exact"/>
        <w:rPr>
          <w:sz w:val="20"/>
          <w:szCs w:val="20"/>
          <w:color w:val="auto"/>
        </w:rPr>
      </w:pPr>
    </w:p>
    <w:p>
      <w:pPr>
        <w:ind w:left="280" w:right="60" w:hanging="7"/>
        <w:spacing w:after="0" w:line="262" w:lineRule="auto"/>
        <w:tabs>
          <w:tab w:leader="none" w:pos="521" w:val="left"/>
        </w:tabs>
        <w:numPr>
          <w:ilvl w:val="0"/>
          <w:numId w:val="98"/>
        </w:numPr>
        <w:rPr>
          <w:rFonts w:ascii="Arial" w:cs="Arial" w:eastAsia="Arial" w:hAnsi="Arial"/>
          <w:sz w:val="17"/>
          <w:szCs w:val="17"/>
          <w:color w:val="auto"/>
        </w:rPr>
      </w:pPr>
      <w:r>
        <w:rPr>
          <w:rFonts w:ascii="Arial" w:cs="Arial" w:eastAsia="Arial" w:hAnsi="Arial"/>
          <w:sz w:val="17"/>
          <w:szCs w:val="17"/>
          <w:color w:val="auto"/>
        </w:rPr>
        <w:t>who are high net worth companies (or persons to whom it may otherwise be lawfully communicated) falling within Article 49 (2) (a) to (d) of the Order (all such persons together being referred to as “relevant persons”).</w:t>
      </w:r>
    </w:p>
    <w:p>
      <w:pPr>
        <w:spacing w:after="0" w:line="80" w:lineRule="exact"/>
        <w:rPr>
          <w:sz w:val="20"/>
          <w:szCs w:val="20"/>
          <w:color w:val="auto"/>
        </w:rPr>
      </w:pPr>
    </w:p>
    <w:p>
      <w:pPr>
        <w:ind w:left="280"/>
        <w:spacing w:after="0" w:line="251"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140"/>
          </w:cols>
          <w:pgMar w:left="240" w:top="455"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Legal matters</w:t>
      </w:r>
    </w:p>
    <w:p>
      <w:pPr>
        <w:spacing w:after="0" w:line="151" w:lineRule="exact"/>
        <w:rPr>
          <w:sz w:val="20"/>
          <w:szCs w:val="20"/>
          <w:color w:val="auto"/>
        </w:rPr>
      </w:pPr>
    </w:p>
    <w:p>
      <w:pPr>
        <w:jc w:val="both"/>
        <w:ind w:left="280" w:right="380"/>
        <w:spacing w:after="0" w:line="253"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Fenwick &amp; West LLP, San Francisco, California. Certain legal matters relating to the offering will be passed upon for the underwriters by Davis Polk &amp; Wardwell LLP, New York, New York. Fenwick &amp; West LLP beneficially owns an aggregate of 2,525 shares of our common stock.</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Experts</w:t>
      </w:r>
    </w:p>
    <w:p>
      <w:pPr>
        <w:spacing w:after="0" w:line="151"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The consolidated financial statements of Stoke Therapeutics, Inc. as of December 31, 2018 and 2017, and for each of the years in the two-year period ended December 31, 2018,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1"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We have filed with the SEC a registration statement on Form S-1 under the Securities Act of 1933, as amended,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97" w:lineRule="exact"/>
        <w:rPr>
          <w:sz w:val="20"/>
          <w:szCs w:val="20"/>
          <w:color w:val="auto"/>
        </w:rPr>
      </w:pPr>
    </w:p>
    <w:p>
      <w:pPr>
        <w:ind w:left="280" w:right="100"/>
        <w:spacing w:after="0" w:line="251" w:lineRule="auto"/>
        <w:rPr>
          <w:sz w:val="20"/>
          <w:szCs w:val="20"/>
          <w:color w:val="auto"/>
        </w:rPr>
      </w:pPr>
      <w:r>
        <w:rPr>
          <w:rFonts w:ascii="Arial" w:cs="Arial" w:eastAsia="Arial" w:hAnsi="Arial"/>
          <w:sz w:val="17"/>
          <w:szCs w:val="17"/>
          <w:color w:val="auto"/>
        </w:rPr>
        <w:t>We currently do not file periodic reports with the SEC. Upon the completion of this offering, we will be required to file periodic reports, proxy statements and other information with the SEC pursuant to the Securities Exchange Act of 1934, as amended. The SEC maintains a website that contains reports, proxy and information statements and other information regarding registrants that file electronically with the SEC. The address of the website is www.sec.gov.</w:t>
      </w:r>
    </w:p>
    <w:p>
      <w:pPr>
        <w:spacing w:after="0" w:line="89"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We also maintain a website at www.stoketherapeutics.com. Upon completion of this offering, you may access these materials at our website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140"/>
          </w:cols>
          <w:pgMar w:left="240" w:top="455"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1"/>
          <w:szCs w:val="31"/>
          <w:b w:val="1"/>
          <w:bCs w:val="1"/>
          <w:color w:val="auto"/>
        </w:rPr>
        <w:t>Index to financial statements</w:t>
      </w:r>
    </w:p>
    <w:p>
      <w:pPr>
        <w:spacing w:after="0" w:line="36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Audited Financial Statements</w:t>
      </w:r>
    </w:p>
    <w:p>
      <w:pPr>
        <w:spacing w:after="0" w:line="93" w:lineRule="exact"/>
        <w:rPr>
          <w:sz w:val="20"/>
          <w:szCs w:val="20"/>
          <w:color w:val="auto"/>
        </w:rPr>
      </w:pPr>
    </w:p>
    <w:p>
      <w:pPr>
        <w:ind w:left="280"/>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Report of independent registered public accounting firm</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Consolidated balance sheets</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Consolidated statements of operations</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Consolidated statements of stockholders’ equity (deficit)</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Consolidated statements of cash flows</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Notes to consolidated financial statements</w:t>
        </w:r>
      </w:hyperlink>
    </w:p>
    <w:p>
      <w:pPr>
        <w:spacing w:after="0" w:line="23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Unaudited: Interim Financial Statements</w:t>
      </w:r>
    </w:p>
    <w:p>
      <w:pPr>
        <w:spacing w:after="0" w:line="93" w:lineRule="exact"/>
        <w:rPr>
          <w:sz w:val="20"/>
          <w:szCs w:val="20"/>
          <w:color w:val="auto"/>
        </w:rPr>
      </w:pPr>
    </w:p>
    <w:p>
      <w:pPr>
        <w:ind w:left="280"/>
        <w:spacing w:after="0"/>
        <w:rPr>
          <w:rFonts w:ascii="Arial" w:cs="Arial" w:eastAsia="Arial" w:hAnsi="Arial"/>
          <w:sz w:val="17"/>
          <w:szCs w:val="17"/>
          <w:u w:val="single" w:color="auto"/>
          <w:color w:val="0000EE"/>
        </w:rPr>
      </w:pPr>
      <w:hyperlink w:anchor="page200">
        <w:r>
          <w:rPr>
            <w:rFonts w:ascii="Arial" w:cs="Arial" w:eastAsia="Arial" w:hAnsi="Arial"/>
            <w:sz w:val="17"/>
            <w:szCs w:val="17"/>
            <w:u w:val="single" w:color="auto"/>
            <w:color w:val="0000EE"/>
          </w:rPr>
          <w:t>Consolidated balance sheets</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201">
        <w:r>
          <w:rPr>
            <w:rFonts w:ascii="Arial" w:cs="Arial" w:eastAsia="Arial" w:hAnsi="Arial"/>
            <w:sz w:val="17"/>
            <w:szCs w:val="17"/>
            <w:u w:val="single" w:color="auto"/>
            <w:color w:val="0000EE"/>
          </w:rPr>
          <w:t>Consolidated statements of operations</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202">
        <w:r>
          <w:rPr>
            <w:rFonts w:ascii="Arial" w:cs="Arial" w:eastAsia="Arial" w:hAnsi="Arial"/>
            <w:sz w:val="17"/>
            <w:szCs w:val="17"/>
            <w:u w:val="single" w:color="auto"/>
            <w:color w:val="0000EE"/>
          </w:rPr>
          <w:t>Consolidated statements of stockholders’ equity</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203">
        <w:r>
          <w:rPr>
            <w:rFonts w:ascii="Arial" w:cs="Arial" w:eastAsia="Arial" w:hAnsi="Arial"/>
            <w:sz w:val="17"/>
            <w:szCs w:val="17"/>
            <w:u w:val="single" w:color="auto"/>
            <w:color w:val="0000EE"/>
          </w:rPr>
          <w:t>Consolidated statements of cash flows</w:t>
        </w:r>
      </w:hyperlink>
    </w:p>
    <w:p>
      <w:pPr>
        <w:spacing w:after="0" w:line="71" w:lineRule="exact"/>
        <w:rPr>
          <w:sz w:val="20"/>
          <w:szCs w:val="20"/>
          <w:color w:val="auto"/>
        </w:rPr>
      </w:pPr>
    </w:p>
    <w:p>
      <w:pPr>
        <w:ind w:left="280"/>
        <w:spacing w:after="0"/>
        <w:rPr>
          <w:rFonts w:ascii="Arial" w:cs="Arial" w:eastAsia="Arial" w:hAnsi="Arial"/>
          <w:sz w:val="17"/>
          <w:szCs w:val="17"/>
          <w:u w:val="single" w:color="auto"/>
          <w:color w:val="0000EE"/>
        </w:rPr>
      </w:pPr>
      <w:hyperlink w:anchor="page204">
        <w:r>
          <w:rPr>
            <w:rFonts w:ascii="Arial" w:cs="Arial" w:eastAsia="Arial" w:hAnsi="Arial"/>
            <w:sz w:val="17"/>
            <w:szCs w:val="17"/>
            <w:u w:val="single" w:color="auto"/>
            <w:color w:val="0000EE"/>
          </w:rPr>
          <w:t>Notes to unaudited consolidated financial statements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-930275</wp:posOffset>
            </wp:positionV>
            <wp:extent cx="72904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w:t>
      </w:r>
    </w:p>
    <w:p>
      <w:pPr>
        <w:spacing w:after="0" w:line="7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F-3</w:t>
      </w:r>
    </w:p>
    <w:p>
      <w:pPr>
        <w:spacing w:after="0" w:line="7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F-4</w:t>
      </w:r>
    </w:p>
    <w:p>
      <w:pPr>
        <w:spacing w:after="0" w:line="7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F-5</w:t>
      </w:r>
    </w:p>
    <w:p>
      <w:pPr>
        <w:spacing w:after="0" w:line="7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F-6</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F-7</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F-25</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F-26</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F-27</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F-28</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F-29</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F-1</w:t>
      </w:r>
    </w:p>
    <w:p>
      <w:pPr>
        <w:sectPr>
          <w:pgSz w:w="11900" w:h="16838" w:orient="portrait"/>
          <w:cols w:equalWidth="0" w:num="2">
            <w:col w:w="4860" w:space="720"/>
            <w:col w:w="5520"/>
          </w:cols>
          <w:pgMar w:left="240" w:top="455" w:right="5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To the Stockholders and Board of Directors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Stoke Therapeutics, Inc.:</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2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We have audited the accompanying consolidated balance sheets of Stoke Therapeutics, Inc., and subsidiary (together, the Company) as of December 31, 2018 and 2017, the related consolidated statements of operations, stockholders’ equity (deficit), and cash flows for each of the years in the two-year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two-year period ended December 31, 2018, in conformity with U.S. generally accepted accounting principles.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Basis for Opinion</w:t>
      </w:r>
    </w:p>
    <w:p>
      <w:pPr>
        <w:spacing w:after="0" w:line="129"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KPMG LLP</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have served as the Company’s auditor since 2019.</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Boston, MA</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March 26, 2019, except as to notes 1 and 14, as to which the date is June 7, 2019</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120"/>
          </w:cols>
          <w:pgMar w:left="240" w:top="455" w:right="5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Consolidated balance sheets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As of December 31,</w:t>
            </w:r>
          </w:p>
        </w:tc>
      </w:tr>
      <w:tr>
        <w:trPr>
          <w:trHeight w:val="220"/>
        </w:trPr>
        <w:tc>
          <w:tcPr>
            <w:tcW w:w="88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47"/>
        </w:trPr>
        <w:tc>
          <w:tcPr>
            <w:tcW w:w="8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67"/>
        </w:trPr>
        <w:tc>
          <w:tcPr>
            <w:tcW w:w="880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105,399</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120" w:type="dxa"/>
            <w:vAlign w:val="bottom"/>
            <w:shd w:val="clear" w:color="auto" w:fill="CCEEFF"/>
          </w:tcPr>
          <w:p>
            <w:pPr>
              <w:spacing w:after="0"/>
              <w:rPr>
                <w:sz w:val="17"/>
                <w:szCs w:val="17"/>
                <w:color w:val="auto"/>
              </w:rPr>
            </w:pPr>
          </w:p>
        </w:tc>
      </w:tr>
      <w:tr>
        <w:trPr>
          <w:trHeight w:val="200"/>
        </w:trPr>
        <w:tc>
          <w:tcPr>
            <w:tcW w:w="880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7"/>
                <w:szCs w:val="17"/>
                <w:color w:val="auto"/>
              </w:rPr>
            </w:pP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548</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7"/>
                <w:szCs w:val="17"/>
                <w:color w:val="auto"/>
              </w:rPr>
            </w:pPr>
          </w:p>
        </w:tc>
      </w:tr>
      <w:tr>
        <w:trPr>
          <w:trHeight w:val="200"/>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receivable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196</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13"/>
        </w:trPr>
        <w:tc>
          <w:tcPr>
            <w:tcW w:w="880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rPr>
              <w:t>106,143</w:t>
            </w: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1,910</w:t>
            </w:r>
          </w:p>
        </w:tc>
        <w:tc>
          <w:tcPr>
            <w:tcW w:w="120" w:type="dxa"/>
            <w:vAlign w:val="bottom"/>
          </w:tcPr>
          <w:p>
            <w:pPr>
              <w:spacing w:after="0"/>
              <w:rPr>
                <w:sz w:val="18"/>
                <w:szCs w:val="18"/>
                <w:color w:val="auto"/>
              </w:rPr>
            </w:pPr>
          </w:p>
        </w:tc>
      </w:tr>
      <w:tr>
        <w:trPr>
          <w:trHeight w:val="200"/>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204</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7"/>
                <w:szCs w:val="17"/>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1,192</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120" w:type="dxa"/>
            <w:vAlign w:val="bottom"/>
          </w:tcPr>
          <w:p>
            <w:pPr>
              <w:spacing w:after="0"/>
              <w:rPr>
                <w:sz w:val="17"/>
                <w:szCs w:val="17"/>
                <w:color w:val="auto"/>
              </w:rPr>
            </w:pPr>
          </w:p>
        </w:tc>
      </w:tr>
      <w:tr>
        <w:trPr>
          <w:trHeight w:val="200"/>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107,539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120" w:type="dxa"/>
            <w:vAlign w:val="bottom"/>
            <w:shd w:val="clear" w:color="auto" w:fill="CCEEFF"/>
          </w:tcPr>
          <w:p>
            <w:pPr>
              <w:spacing w:after="0"/>
              <w:rPr>
                <w:sz w:val="17"/>
                <w:szCs w:val="17"/>
                <w:color w:val="auto"/>
              </w:rPr>
            </w:pPr>
          </w:p>
        </w:tc>
      </w:tr>
      <w:tr>
        <w:trPr>
          <w:trHeight w:val="285"/>
        </w:trPr>
        <w:tc>
          <w:tcPr>
            <w:tcW w:w="880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 (deficit)</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5"/>
        </w:trPr>
        <w:tc>
          <w:tcPr>
            <w:tcW w:w="8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880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1,071</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17"/>
                <w:szCs w:val="17"/>
                <w:color w:val="auto"/>
              </w:rPr>
            </w:pPr>
          </w:p>
        </w:tc>
      </w:tr>
      <w:tr>
        <w:trPr>
          <w:trHeight w:val="200"/>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and other current liabilities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1,396</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20" w:type="dxa"/>
            <w:vAlign w:val="bottom"/>
            <w:shd w:val="clear" w:color="auto" w:fill="CCEEFF"/>
          </w:tcPr>
          <w:p>
            <w:pPr>
              <w:spacing w:after="0"/>
              <w:rPr>
                <w:sz w:val="17"/>
                <w:szCs w:val="17"/>
                <w:color w:val="auto"/>
              </w:rPr>
            </w:pPr>
          </w:p>
        </w:tc>
      </w:tr>
      <w:tr>
        <w:trPr>
          <w:trHeight w:val="207"/>
        </w:trPr>
        <w:tc>
          <w:tcPr>
            <w:tcW w:w="8800" w:type="dxa"/>
            <w:vAlign w:val="bottom"/>
          </w:tcPr>
          <w:p>
            <w:pPr>
              <w:ind w:left="200"/>
              <w:spacing w:after="0"/>
              <w:rPr>
                <w:sz w:val="20"/>
                <w:szCs w:val="20"/>
                <w:color w:val="auto"/>
              </w:rPr>
            </w:pPr>
            <w:r>
              <w:rPr>
                <w:rFonts w:ascii="Arial" w:cs="Arial" w:eastAsia="Arial" w:hAnsi="Arial"/>
                <w:sz w:val="17"/>
                <w:szCs w:val="17"/>
                <w:color w:val="auto"/>
              </w:rPr>
              <w:t>Simple agreement for future equity</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7"/>
                <w:szCs w:val="17"/>
                <w:color w:val="auto"/>
              </w:rPr>
            </w:pPr>
          </w:p>
        </w:tc>
      </w:tr>
      <w:tr>
        <w:trPr>
          <w:trHeight w:val="200"/>
        </w:trPr>
        <w:tc>
          <w:tcPr>
            <w:tcW w:w="88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2,467</w:t>
            </w:r>
          </w:p>
        </w:tc>
        <w:tc>
          <w:tcPr>
            <w:tcW w:w="3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3,715</w:t>
            </w:r>
          </w:p>
        </w:tc>
        <w:tc>
          <w:tcPr>
            <w:tcW w:w="120" w:type="dxa"/>
            <w:vAlign w:val="bottom"/>
            <w:shd w:val="clear" w:color="auto" w:fill="CCEEFF"/>
          </w:tcPr>
          <w:p>
            <w:pPr>
              <w:spacing w:after="0"/>
              <w:rPr>
                <w:sz w:val="17"/>
                <w:szCs w:val="17"/>
                <w:color w:val="auto"/>
              </w:rPr>
            </w:pPr>
          </w:p>
        </w:tc>
      </w:tr>
      <w:tr>
        <w:trPr>
          <w:trHeight w:val="213"/>
        </w:trPr>
        <w:tc>
          <w:tcPr>
            <w:tcW w:w="8800" w:type="dxa"/>
            <w:vAlign w:val="bottom"/>
          </w:tcPr>
          <w:p>
            <w:pPr>
              <w:ind w:left="200"/>
              <w:spacing w:after="0"/>
              <w:rPr>
                <w:sz w:val="20"/>
                <w:szCs w:val="20"/>
                <w:color w:val="auto"/>
              </w:rPr>
            </w:pPr>
            <w:r>
              <w:rPr>
                <w:rFonts w:ascii="Arial" w:cs="Arial" w:eastAsia="Arial" w:hAnsi="Arial"/>
                <w:sz w:val="17"/>
                <w:szCs w:val="17"/>
                <w:color w:val="auto"/>
              </w:rPr>
              <w:t>Long term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4</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r>
      <w:tr>
        <w:trPr>
          <w:trHeight w:val="200"/>
        </w:trPr>
        <w:tc>
          <w:tcPr>
            <w:tcW w:w="88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2,471</w:t>
            </w:r>
          </w:p>
        </w:tc>
        <w:tc>
          <w:tcPr>
            <w:tcW w:w="3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3,731</w:t>
            </w:r>
          </w:p>
        </w:tc>
        <w:tc>
          <w:tcPr>
            <w:tcW w:w="120" w:type="dxa"/>
            <w:vAlign w:val="bottom"/>
            <w:shd w:val="clear" w:color="auto" w:fill="CCEEFF"/>
          </w:tcPr>
          <w:p>
            <w:pPr>
              <w:spacing w:after="0"/>
              <w:rPr>
                <w:sz w:val="17"/>
                <w:szCs w:val="17"/>
                <w:color w:val="auto"/>
              </w:rPr>
            </w:pPr>
          </w:p>
        </w:tc>
      </w:tr>
      <w:tr>
        <w:trPr>
          <w:trHeight w:val="285"/>
        </w:trPr>
        <w:tc>
          <w:tcPr>
            <w:tcW w:w="8800" w:type="dxa"/>
            <w:vAlign w:val="bottom"/>
          </w:tcPr>
          <w:p>
            <w:pPr>
              <w:spacing w:after="0"/>
              <w:rPr>
                <w:sz w:val="20"/>
                <w:szCs w:val="20"/>
                <w:color w:val="auto"/>
              </w:rPr>
            </w:pPr>
            <w:r>
              <w:rPr>
                <w:rFonts w:ascii="Arial" w:cs="Arial" w:eastAsia="Arial" w:hAnsi="Arial"/>
                <w:sz w:val="17"/>
                <w:szCs w:val="17"/>
                <w:color w:val="auto"/>
              </w:rPr>
              <w:t>Commitments and contingencies (Note 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5"/>
        </w:trPr>
        <w:tc>
          <w:tcPr>
            <w:tcW w:w="8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(deficit)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00" w:type="dxa"/>
            <w:vAlign w:val="bottom"/>
          </w:tcPr>
          <w:p>
            <w:pPr>
              <w:ind w:left="200"/>
              <w:spacing w:after="0"/>
              <w:rPr>
                <w:sz w:val="20"/>
                <w:szCs w:val="20"/>
                <w:color w:val="auto"/>
              </w:rPr>
            </w:pPr>
            <w:r>
              <w:rPr>
                <w:rFonts w:ascii="Arial" w:cs="Arial" w:eastAsia="Arial" w:hAnsi="Arial"/>
                <w:sz w:val="17"/>
                <w:szCs w:val="17"/>
                <w:color w:val="auto"/>
              </w:rPr>
              <w:t>Convertible Preferred Stock, par value of $0.0001 per share; 225,584,874 and 59,575,576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8800" w:type="dxa"/>
            <w:vAlign w:val="bottom"/>
          </w:tcPr>
          <w:p>
            <w:pPr>
              <w:ind w:left="420"/>
              <w:spacing w:after="0"/>
              <w:rPr>
                <w:sz w:val="20"/>
                <w:szCs w:val="20"/>
                <w:color w:val="auto"/>
              </w:rPr>
            </w:pPr>
            <w:r>
              <w:rPr>
                <w:rFonts w:ascii="Arial" w:cs="Arial" w:eastAsia="Arial" w:hAnsi="Arial"/>
                <w:sz w:val="17"/>
                <w:szCs w:val="17"/>
                <w:color w:val="auto"/>
              </w:rPr>
              <w:t>authorized, 22,677,585 and 4,980,168 shares issued and outstanding as of December 31, 2018 and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800" w:type="dxa"/>
            <w:vAlign w:val="bottom"/>
          </w:tcPr>
          <w:p>
            <w:pPr>
              <w:ind w:left="420"/>
              <w:spacing w:after="0"/>
              <w:rPr>
                <w:sz w:val="20"/>
                <w:szCs w:val="20"/>
                <w:color w:val="auto"/>
              </w:rPr>
            </w:pPr>
            <w:r>
              <w:rPr>
                <w:rFonts w:ascii="Arial" w:cs="Arial" w:eastAsia="Arial" w:hAnsi="Arial"/>
                <w:sz w:val="17"/>
                <w:szCs w:val="17"/>
                <w:color w:val="auto"/>
              </w:rPr>
              <w:t>2017, respectively; aggregate liquidation preference of $130,850 at December 31, 2018</w:t>
            </w:r>
          </w:p>
        </w:tc>
        <w:tc>
          <w:tcPr>
            <w:tcW w:w="100" w:type="dxa"/>
            <w:vAlign w:val="bottom"/>
          </w:tcPr>
          <w:p>
            <w:pPr>
              <w:spacing w:after="0"/>
              <w:rPr>
                <w:sz w:val="17"/>
                <w:szCs w:val="17"/>
                <w:color w:val="auto"/>
              </w:rPr>
            </w:pP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3"/>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Common stock, par value of $0.0001 per share; 278,527,249 and 79,000,000 shares authorized, 727,413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8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and 670,090 shares issued and outstanding as of December 31, 2018 and 2017, respectively</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880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7"/>
                <w:szCs w:val="17"/>
                <w:color w:val="auto"/>
              </w:rPr>
            </w:pP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130,776</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11,897</w:t>
            </w:r>
          </w:p>
        </w:tc>
        <w:tc>
          <w:tcPr>
            <w:tcW w:w="120" w:type="dxa"/>
            <w:vAlign w:val="bottom"/>
          </w:tcPr>
          <w:p>
            <w:pPr>
              <w:spacing w:after="0"/>
              <w:rPr>
                <w:sz w:val="17"/>
                <w:szCs w:val="17"/>
                <w:color w:val="auto"/>
              </w:rPr>
            </w:pPr>
          </w:p>
        </w:tc>
      </w:tr>
      <w:tr>
        <w:trPr>
          <w:trHeight w:val="200"/>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(25,710)</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(13,189)</w:t>
            </w: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8800" w:type="dxa"/>
            <w:vAlign w:val="bottom"/>
          </w:tcPr>
          <w:p>
            <w:pPr>
              <w:ind w:left="420"/>
              <w:spacing w:after="0"/>
              <w:rPr>
                <w:sz w:val="20"/>
                <w:szCs w:val="20"/>
                <w:color w:val="auto"/>
              </w:rPr>
            </w:pPr>
            <w:r>
              <w:rPr>
                <w:rFonts w:ascii="Arial" w:cs="Arial" w:eastAsia="Arial" w:hAnsi="Arial"/>
                <w:sz w:val="17"/>
                <w:szCs w:val="17"/>
                <w:color w:val="auto"/>
              </w:rPr>
              <w:t>Total stockholders’ equity (deficit)</w:t>
            </w:r>
          </w:p>
        </w:tc>
        <w:tc>
          <w:tcPr>
            <w:tcW w:w="1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105,068</w:t>
            </w: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(1,292)</w:t>
            </w:r>
          </w:p>
        </w:tc>
      </w:tr>
      <w:tr>
        <w:trPr>
          <w:trHeight w:val="200"/>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 (deficit)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107,539</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120" w:type="dxa"/>
            <w:vAlign w:val="bottom"/>
            <w:shd w:val="clear" w:color="auto" w:fill="CCEEFF"/>
          </w:tcPr>
          <w:p>
            <w:pPr>
              <w:spacing w:after="0"/>
              <w:rPr>
                <w:sz w:val="17"/>
                <w:szCs w:val="17"/>
                <w:color w:val="auto"/>
              </w:rPr>
            </w:pPr>
          </w:p>
        </w:tc>
      </w:tr>
      <w:tr>
        <w:trPr>
          <w:trHeight w:val="20"/>
        </w:trPr>
        <w:tc>
          <w:tcPr>
            <w:tcW w:w="8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160"/>
          </w:cols>
          <w:pgMar w:left="240" w:top="455"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Consolidated statements of operations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5"/>
          </w:tcPr>
          <w:p>
            <w:pPr>
              <w:jc w:val="right"/>
              <w:ind w:right="120"/>
              <w:spacing w:after="0"/>
              <w:rPr>
                <w:sz w:val="20"/>
                <w:szCs w:val="20"/>
                <w:color w:val="auto"/>
              </w:rPr>
            </w:pPr>
            <w:r>
              <w:rPr>
                <w:rFonts w:ascii="Arial" w:cs="Arial" w:eastAsia="Arial" w:hAnsi="Arial"/>
                <w:sz w:val="17"/>
                <w:szCs w:val="17"/>
                <w:b w:val="1"/>
                <w:bCs w:val="1"/>
                <w:color w:val="auto"/>
              </w:rPr>
              <w:t>Year Ended December 31,</w:t>
            </w:r>
          </w:p>
        </w:tc>
      </w:tr>
      <w:tr>
        <w:trPr>
          <w:trHeight w:val="20"/>
        </w:trPr>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8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2017</w:t>
            </w:r>
          </w:p>
        </w:tc>
      </w:tr>
      <w:tr>
        <w:trPr>
          <w:trHeight w:val="193"/>
        </w:trPr>
        <w:tc>
          <w:tcPr>
            <w:tcW w:w="8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jc w:val="right"/>
              <w:ind w:right="7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r>
      <w:tr>
        <w:trPr>
          <w:trHeight w:val="273"/>
        </w:trPr>
        <w:tc>
          <w:tcPr>
            <w:tcW w:w="834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8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8,371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3,598</w:t>
            </w:r>
          </w:p>
        </w:tc>
        <w:tc>
          <w:tcPr>
            <w:tcW w:w="120" w:type="dxa"/>
            <w:vAlign w:val="bottom"/>
            <w:shd w:val="clear" w:color="auto" w:fill="CCEEFF"/>
          </w:tcPr>
          <w:p>
            <w:pPr>
              <w:spacing w:after="0"/>
              <w:rPr>
                <w:sz w:val="17"/>
                <w:szCs w:val="17"/>
                <w:color w:val="auto"/>
              </w:rPr>
            </w:pPr>
          </w:p>
        </w:tc>
      </w:tr>
      <w:tr>
        <w:trPr>
          <w:trHeight w:val="207"/>
        </w:trPr>
        <w:tc>
          <w:tcPr>
            <w:tcW w:w="834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7"/>
                <w:szCs w:val="17"/>
                <w:color w:val="auto"/>
              </w:rPr>
              <w:t>4,410</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w:t>
            </w:r>
          </w:p>
        </w:tc>
        <w:tc>
          <w:tcPr>
            <w:tcW w:w="120" w:type="dxa"/>
            <w:vAlign w:val="bottom"/>
          </w:tcPr>
          <w:p>
            <w:pPr>
              <w:spacing w:after="0"/>
              <w:rPr>
                <w:sz w:val="17"/>
                <w:szCs w:val="17"/>
                <w:color w:val="auto"/>
              </w:rPr>
            </w:pPr>
          </w:p>
        </w:tc>
      </w:tr>
      <w:tr>
        <w:trPr>
          <w:trHeight w:val="200"/>
        </w:trPr>
        <w:tc>
          <w:tcPr>
            <w:tcW w:w="8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12,781</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5,554</w:t>
            </w:r>
          </w:p>
        </w:tc>
        <w:tc>
          <w:tcPr>
            <w:tcW w:w="120" w:type="dxa"/>
            <w:vAlign w:val="bottom"/>
            <w:shd w:val="clear" w:color="auto" w:fill="CCEEFF"/>
          </w:tcPr>
          <w:p>
            <w:pPr>
              <w:spacing w:after="0"/>
              <w:rPr>
                <w:sz w:val="17"/>
                <w:szCs w:val="17"/>
                <w:color w:val="auto"/>
              </w:rPr>
            </w:pPr>
          </w:p>
        </w:tc>
      </w:tr>
      <w:tr>
        <w:trPr>
          <w:trHeight w:val="219"/>
        </w:trPr>
        <w:tc>
          <w:tcPr>
            <w:tcW w:w="8340" w:type="dxa"/>
            <w:vAlign w:val="bottom"/>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(12,781)</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(5,554)</w:t>
            </w:r>
          </w:p>
        </w:tc>
      </w:tr>
      <w:tr>
        <w:trPr>
          <w:trHeight w:val="55"/>
        </w:trPr>
        <w:tc>
          <w:tcPr>
            <w:tcW w:w="8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8340" w:type="dxa"/>
            <w:vAlign w:val="bottom"/>
          </w:tcPr>
          <w:p>
            <w:pPr>
              <w:ind w:left="20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7"/>
                <w:szCs w:val="17"/>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8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expense, net</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r>
      <w:tr>
        <w:trPr>
          <w:trHeight w:val="20"/>
        </w:trPr>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340" w:type="dxa"/>
            <w:vAlign w:val="bottom"/>
          </w:tcPr>
          <w:p>
            <w:pPr>
              <w:ind w:left="420"/>
              <w:spacing w:after="0"/>
              <w:rPr>
                <w:sz w:val="20"/>
                <w:szCs w:val="20"/>
                <w:color w:val="auto"/>
              </w:rPr>
            </w:pPr>
            <w:r>
              <w:rPr>
                <w:rFonts w:ascii="Arial" w:cs="Arial" w:eastAsia="Arial" w:hAnsi="Arial"/>
                <w:sz w:val="17"/>
                <w:szCs w:val="17"/>
                <w:color w:val="auto"/>
              </w:rPr>
              <w:t>Total other income (expense)</w:t>
            </w:r>
          </w:p>
        </w:tc>
        <w:tc>
          <w:tcPr>
            <w:tcW w:w="100" w:type="dxa"/>
            <w:vAlign w:val="bottom"/>
          </w:tcPr>
          <w:p>
            <w:pPr>
              <w:spacing w:after="0"/>
              <w:rPr>
                <w:sz w:val="17"/>
                <w:szCs w:val="17"/>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r>
      <w:tr>
        <w:trPr>
          <w:trHeight w:val="27"/>
        </w:trPr>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(12,521)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(5,558)</w:t>
            </w:r>
          </w:p>
        </w:tc>
      </w:tr>
      <w:tr>
        <w:trPr>
          <w:trHeight w:val="20"/>
        </w:trPr>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340" w:type="dxa"/>
            <w:vAlign w:val="bottom"/>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(17.65)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(8.29)</w:t>
            </w:r>
          </w:p>
        </w:tc>
      </w:tr>
      <w:tr>
        <w:trPr>
          <w:trHeight w:val="27"/>
        </w:trPr>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outstanding—basic and diluted</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709,336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670,090</w:t>
            </w:r>
          </w:p>
        </w:tc>
      </w:tr>
      <w:tr>
        <w:trPr>
          <w:trHeight w:val="207"/>
        </w:trPr>
        <w:tc>
          <w:tcPr>
            <w:tcW w:w="8340" w:type="dxa"/>
            <w:vAlign w:val="bottom"/>
          </w:tcPr>
          <w:p>
            <w:pPr>
              <w:spacing w:after="0"/>
              <w:rPr>
                <w:sz w:val="20"/>
                <w:szCs w:val="20"/>
                <w:color w:val="auto"/>
              </w:rPr>
            </w:pPr>
            <w:r>
              <w:rPr>
                <w:rFonts w:ascii="Arial" w:cs="Arial" w:eastAsia="Arial" w:hAnsi="Arial"/>
                <w:sz w:val="17"/>
                <w:szCs w:val="17"/>
                <w:color w:val="auto"/>
              </w:rPr>
              <w:t>Pro forma net loss per share, basic and diluted (Notes 2 and 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(0.98)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used in computing pro forma net loss per share, basic and diluted (Notes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 and 11)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12,784,811</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8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160"/>
          </w:cols>
          <w:pgMar w:left="240" w:top="455"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Consolidated statements of stockholders’ equity (deficit)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2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Convertible</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2260" w:type="dxa"/>
            <w:vAlign w:val="bottom"/>
            <w:gridSpan w:val="4"/>
          </w:tcPr>
          <w:p>
            <w:pPr>
              <w:jc w:val="right"/>
              <w:ind w:right="320"/>
              <w:spacing w:after="0"/>
              <w:rPr>
                <w:sz w:val="20"/>
                <w:szCs w:val="20"/>
                <w:color w:val="auto"/>
              </w:rPr>
            </w:pPr>
            <w:r>
              <w:rPr>
                <w:rFonts w:ascii="Arial" w:cs="Arial" w:eastAsia="Arial" w:hAnsi="Arial"/>
                <w:sz w:val="17"/>
                <w:szCs w:val="17"/>
                <w:b w:val="1"/>
                <w:bCs w:val="1"/>
                <w:color w:val="auto"/>
              </w:rPr>
              <w:t>Preferred Stock</w:t>
            </w:r>
          </w:p>
        </w:tc>
        <w:tc>
          <w:tcPr>
            <w:tcW w:w="176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Common Stock</w:t>
            </w:r>
          </w:p>
        </w:tc>
        <w:tc>
          <w:tcPr>
            <w:tcW w:w="1120" w:type="dxa"/>
            <w:vAlign w:val="bottom"/>
            <w:gridSpan w:val="2"/>
            <w:vMerge w:val="restart"/>
          </w:tcPr>
          <w:p>
            <w:pPr>
              <w:jc w:val="right"/>
              <w:ind w:right="53"/>
              <w:spacing w:after="0"/>
              <w:rPr>
                <w:sz w:val="20"/>
                <w:szCs w:val="20"/>
                <w:color w:val="auto"/>
              </w:rPr>
            </w:pPr>
            <w:r>
              <w:rPr>
                <w:rFonts w:ascii="Arial" w:cs="Arial" w:eastAsia="Arial" w:hAnsi="Arial"/>
                <w:sz w:val="17"/>
                <w:szCs w:val="17"/>
                <w:b w:val="1"/>
                <w:bCs w:val="1"/>
                <w:color w:val="auto"/>
              </w:rPr>
              <w:t>Additional</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gridSpan w:val="3"/>
            <w:vMerge w:val="restart"/>
          </w:tcPr>
          <w:p>
            <w:pPr>
              <w:jc w:val="right"/>
              <w:ind w:right="200"/>
              <w:spacing w:after="0"/>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7"/>
                <w:szCs w:val="17"/>
                <w:b w:val="1"/>
                <w:bCs w:val="1"/>
                <w:color w:val="auto"/>
              </w:rPr>
              <w:t>paid-in</w:t>
            </w:r>
          </w:p>
        </w:tc>
        <w:tc>
          <w:tcPr>
            <w:tcW w:w="1400" w:type="dxa"/>
            <w:vAlign w:val="bottom"/>
            <w:gridSpan w:val="2"/>
          </w:tcPr>
          <w:p>
            <w:pPr>
              <w:ind w:left="140"/>
              <w:spacing w:after="0"/>
              <w:rPr>
                <w:sz w:val="20"/>
                <w:szCs w:val="20"/>
                <w:color w:val="auto"/>
              </w:rPr>
            </w:pPr>
            <w:r>
              <w:rPr>
                <w:rFonts w:ascii="Arial" w:cs="Arial" w:eastAsia="Arial" w:hAnsi="Arial"/>
                <w:sz w:val="17"/>
                <w:szCs w:val="17"/>
                <w:b w:val="1"/>
                <w:bCs w:val="1"/>
                <w:color w:val="auto"/>
              </w:rPr>
              <w:t>Accumulated</w:t>
            </w:r>
          </w:p>
        </w:tc>
        <w:tc>
          <w:tcPr>
            <w:tcW w:w="4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32"/>
        </w:trPr>
        <w:tc>
          <w:tcPr>
            <w:tcW w:w="29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13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7"/>
                <w:szCs w:val="17"/>
                <w:b w:val="1"/>
                <w:bCs w:val="1"/>
                <w:color w:val="auto"/>
              </w:rPr>
              <w:t>Amount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Shares</w:t>
            </w: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Amount</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capital</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deficit</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rPr>
              <w:t>(Deficit)</w:t>
            </w:r>
          </w:p>
        </w:tc>
        <w:tc>
          <w:tcPr>
            <w:tcW w:w="0" w:type="dxa"/>
            <w:vAlign w:val="bottom"/>
          </w:tcPr>
          <w:p>
            <w:pPr>
              <w:spacing w:after="0"/>
              <w:rPr>
                <w:sz w:val="1"/>
                <w:szCs w:val="1"/>
                <w:color w:val="auto"/>
              </w:rPr>
            </w:pPr>
          </w:p>
        </w:tc>
      </w:tr>
      <w:tr>
        <w:trPr>
          <w:trHeight w:val="193"/>
        </w:trPr>
        <w:tc>
          <w:tcPr>
            <w:tcW w:w="2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as of December 31, 2016</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3,719,366</w:t>
            </w:r>
          </w:p>
        </w:tc>
        <w:tc>
          <w:tcPr>
            <w:tcW w:w="600" w:type="dxa"/>
            <w:vAlign w:val="bottom"/>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670,090</w:t>
            </w:r>
          </w:p>
        </w:tc>
        <w:tc>
          <w:tcPr>
            <w:tcW w:w="420" w:type="dxa"/>
            <w:vAlign w:val="bottom"/>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8,896</w:t>
            </w:r>
          </w:p>
        </w:tc>
        <w:tc>
          <w:tcPr>
            <w:tcW w:w="42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line="194" w:lineRule="exact"/>
              <w:rPr>
                <w:sz w:val="20"/>
                <w:szCs w:val="20"/>
                <w:color w:val="auto"/>
              </w:rPr>
            </w:pPr>
            <w:r>
              <w:rPr>
                <w:rFonts w:ascii="Arial" w:cs="Arial" w:eastAsia="Arial" w:hAnsi="Arial"/>
                <w:sz w:val="17"/>
                <w:szCs w:val="17"/>
                <w:color w:val="auto"/>
              </w:rPr>
              <w:t>(7,631)</w:t>
            </w:r>
          </w:p>
        </w:tc>
        <w:tc>
          <w:tcPr>
            <w:tcW w:w="400" w:type="dxa"/>
            <w:vAlign w:val="bottom"/>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1,265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00" w:type="dxa"/>
            <w:vAlign w:val="bottom"/>
          </w:tcPr>
          <w:p>
            <w:pPr>
              <w:ind w:left="200"/>
              <w:spacing w:after="0"/>
              <w:rPr>
                <w:sz w:val="20"/>
                <w:szCs w:val="20"/>
                <w:color w:val="auto"/>
              </w:rPr>
            </w:pPr>
            <w:r>
              <w:rPr>
                <w:rFonts w:ascii="Arial" w:cs="Arial" w:eastAsia="Arial" w:hAnsi="Arial"/>
                <w:sz w:val="17"/>
                <w:szCs w:val="17"/>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7"/>
                <w:szCs w:val="17"/>
                <w:color w:val="auto"/>
              </w:rPr>
              <w:t>26</w:t>
            </w:r>
          </w:p>
        </w:tc>
        <w:tc>
          <w:tcPr>
            <w:tcW w:w="420" w:type="dxa"/>
            <w:vAlign w:val="bottom"/>
          </w:tcPr>
          <w:p>
            <w:pPr>
              <w:spacing w:after="0"/>
              <w:rPr>
                <w:sz w:val="17"/>
                <w:szCs w:val="17"/>
                <w:color w:val="auto"/>
              </w:rPr>
            </w:pP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Issuance of convertible Preferred</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Stock, net of issuance costs of</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$25</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1,260,802</w:t>
            </w:r>
          </w:p>
        </w:tc>
        <w:tc>
          <w:tcPr>
            <w:tcW w:w="6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2,975</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tcPr>
          <w:p>
            <w:pPr>
              <w:ind w:left="200"/>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(5,558)</w:t>
            </w:r>
          </w:p>
        </w:tc>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(5,558)</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2017</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4,980,168</w:t>
            </w:r>
          </w:p>
        </w:tc>
        <w:tc>
          <w:tcPr>
            <w:tcW w:w="6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670,090</w:t>
            </w: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11,897</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(13,189)</w:t>
            </w:r>
          </w:p>
        </w:tc>
        <w:tc>
          <w:tcPr>
            <w:tcW w:w="4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(1,292)</w:t>
            </w:r>
          </w:p>
        </w:tc>
        <w:tc>
          <w:tcPr>
            <w:tcW w:w="0" w:type="dxa"/>
            <w:vAlign w:val="bottom"/>
          </w:tcPr>
          <w:p>
            <w:pPr>
              <w:spacing w:after="0"/>
              <w:rPr>
                <w:sz w:val="1"/>
                <w:szCs w:val="1"/>
                <w:color w:val="auto"/>
              </w:rPr>
            </w:pPr>
          </w:p>
        </w:tc>
      </w:tr>
      <w:tr>
        <w:trPr>
          <w:trHeight w:val="200"/>
        </w:trPr>
        <w:tc>
          <w:tcPr>
            <w:tcW w:w="2900" w:type="dxa"/>
            <w:vAlign w:val="bottom"/>
          </w:tcPr>
          <w:p>
            <w:pPr>
              <w:ind w:left="200"/>
              <w:spacing w:after="0"/>
              <w:rPr>
                <w:sz w:val="20"/>
                <w:szCs w:val="20"/>
                <w:color w:val="auto"/>
              </w:rPr>
            </w:pPr>
            <w:r>
              <w:rPr>
                <w:rFonts w:ascii="Arial" w:cs="Arial" w:eastAsia="Arial" w:hAnsi="Arial"/>
                <w:sz w:val="17"/>
                <w:szCs w:val="17"/>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7"/>
                <w:szCs w:val="17"/>
                <w:color w:val="auto"/>
              </w:rPr>
              <w:t>240</w:t>
            </w:r>
          </w:p>
        </w:tc>
        <w:tc>
          <w:tcPr>
            <w:tcW w:w="420" w:type="dxa"/>
            <w:vAlign w:val="bottom"/>
          </w:tcPr>
          <w:p>
            <w:pPr>
              <w:spacing w:after="0"/>
              <w:rPr>
                <w:sz w:val="17"/>
                <w:szCs w:val="17"/>
                <w:color w:val="auto"/>
              </w:rPr>
            </w:pP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Issuance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57,323</w:t>
            </w: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19</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Arial" w:cs="Arial" w:eastAsia="Arial" w:hAnsi="Arial"/>
                <w:sz w:val="17"/>
                <w:szCs w:val="17"/>
                <w:color w:val="auto"/>
              </w:rPr>
              <w:t>Issuance of convertible Preferred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tcPr>
          <w:p>
            <w:pPr>
              <w:ind w:left="420"/>
              <w:spacing w:after="0"/>
              <w:rPr>
                <w:sz w:val="20"/>
                <w:szCs w:val="20"/>
                <w:color w:val="auto"/>
              </w:rPr>
            </w:pPr>
            <w:r>
              <w:rPr>
                <w:rFonts w:ascii="Arial" w:cs="Arial" w:eastAsia="Arial" w:hAnsi="Arial"/>
                <w:sz w:val="17"/>
                <w:szCs w:val="17"/>
                <w:color w:val="auto"/>
              </w:rPr>
              <w:t>Stock, net of issuance costs of</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00" w:type="dxa"/>
            <w:vAlign w:val="bottom"/>
          </w:tcPr>
          <w:p>
            <w:pPr>
              <w:ind w:left="420"/>
              <w:spacing w:after="0"/>
              <w:rPr>
                <w:sz w:val="20"/>
                <w:szCs w:val="20"/>
                <w:color w:val="auto"/>
              </w:rPr>
            </w:pPr>
            <w:r>
              <w:rPr>
                <w:rFonts w:ascii="Arial" w:cs="Arial" w:eastAsia="Arial" w:hAnsi="Arial"/>
                <w:sz w:val="17"/>
                <w:szCs w:val="17"/>
                <w:color w:val="auto"/>
              </w:rPr>
              <w:t>$378</w:t>
            </w:r>
          </w:p>
        </w:tc>
        <w:tc>
          <w:tcPr>
            <w:tcW w:w="960" w:type="dxa"/>
            <w:vAlign w:val="bottom"/>
          </w:tcPr>
          <w:p>
            <w:pPr>
              <w:jc w:val="right"/>
              <w:spacing w:after="0"/>
              <w:rPr>
                <w:sz w:val="20"/>
                <w:szCs w:val="20"/>
                <w:color w:val="auto"/>
              </w:rPr>
            </w:pPr>
            <w:r>
              <w:rPr>
                <w:rFonts w:ascii="Arial" w:cs="Arial" w:eastAsia="Arial" w:hAnsi="Arial"/>
                <w:sz w:val="17"/>
                <w:szCs w:val="17"/>
                <w:color w:val="auto"/>
              </w:rPr>
              <w:t>17,697,417</w:t>
            </w:r>
          </w:p>
        </w:tc>
        <w:tc>
          <w:tcPr>
            <w:tcW w:w="6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2</w:t>
            </w: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7"/>
                <w:szCs w:val="17"/>
                <w:color w:val="auto"/>
              </w:rPr>
              <w:t>118,620</w:t>
            </w:r>
          </w:p>
        </w:tc>
        <w:tc>
          <w:tcPr>
            <w:tcW w:w="420" w:type="dxa"/>
            <w:vAlign w:val="bottom"/>
          </w:tcPr>
          <w:p>
            <w:pPr>
              <w:spacing w:after="0"/>
              <w:rPr>
                <w:sz w:val="17"/>
                <w:szCs w:val="17"/>
                <w:color w:val="auto"/>
              </w:rPr>
            </w:pP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118,622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(12,521)</w:t>
            </w:r>
          </w:p>
        </w:tc>
        <w:tc>
          <w:tcPr>
            <w:tcW w:w="4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(12,521)</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as of December 31,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22,677,585</w:t>
            </w:r>
          </w:p>
        </w:tc>
        <w:tc>
          <w:tcPr>
            <w:tcW w:w="6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2</w:t>
            </w:r>
          </w:p>
        </w:tc>
        <w:tc>
          <w:tcPr>
            <w:tcW w:w="8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727,413</w:t>
            </w:r>
          </w:p>
        </w:tc>
        <w:tc>
          <w:tcPr>
            <w:tcW w:w="4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130,776</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(25,710)</w:t>
            </w:r>
          </w:p>
        </w:tc>
        <w:tc>
          <w:tcPr>
            <w:tcW w:w="4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105,068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160"/>
          </w:cols>
          <w:pgMar w:left="240" w:top="455"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Consolidated statements of cash flows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Year Ended</w:t>
      </w:r>
    </w:p>
    <w:p>
      <w:pPr>
        <w:spacing w:after="0" w:line="27"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635</wp:posOffset>
            </wp:positionV>
            <wp:extent cx="11176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3" w:lineRule="exact"/>
        <w:rPr>
          <w:sz w:val="20"/>
          <w:szCs w:val="20"/>
          <w:color w:val="auto"/>
        </w:rPr>
      </w:pPr>
    </w:p>
    <w:p>
      <w:pPr>
        <w:jc w:val="both"/>
        <w:ind w:left="9640"/>
        <w:spacing w:after="0"/>
        <w:tabs>
          <w:tab w:leader="none" w:pos="1064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270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09435" cy="12700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14605</wp:posOffset>
            </wp:positionV>
            <wp:extent cx="6909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1160"/>
          </w:cols>
          <w:pgMar w:left="240" w:top="455" w:right="499" w:bottom="1440" w:gutter="0" w:footer="0" w:header="0"/>
        </w:sectPr>
      </w:pP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Cash flows from operating activities:</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Adjustments to reconcile net loss to net cash used in operating activities:</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7"/>
          <w:szCs w:val="17"/>
          <w:color w:val="auto"/>
        </w:rPr>
        <w:t>Stock-based compensation</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Loss on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7"/>
          <w:szCs w:val="17"/>
          <w:color w:val="auto"/>
        </w:rPr>
        <w:t>Changes in assets and liabilities: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Accounts payable and accrued liabilities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17780</wp:posOffset>
            </wp:positionV>
            <wp:extent cx="6909435" cy="1270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spacing w:after="0" w:line="1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Net cash used in operating activities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Purchases of property and equipment</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17780</wp:posOffset>
            </wp:positionV>
            <wp:extent cx="6909435" cy="1270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spacing w:after="0" w:line="1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Net cash used in investing activities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Proceeds from simple agreement for future equity</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Proceeds from issuance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Preferred Stock issuance costs</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980" w:type="dxa"/>
            <w:vAlign w:val="bottom"/>
          </w:tcPr>
          <w:p>
            <w:pPr>
              <w:jc w:val="right"/>
              <w:ind w:right="93"/>
              <w:spacing w:after="0"/>
              <w:rPr>
                <w:sz w:val="20"/>
                <w:szCs w:val="20"/>
                <w:color w:val="auto"/>
              </w:rPr>
            </w:pPr>
            <w:r>
              <w:rPr>
                <w:rFonts w:ascii="Arial" w:cs="Arial" w:eastAsia="Arial" w:hAnsi="Arial"/>
                <w:sz w:val="17"/>
                <w:szCs w:val="17"/>
                <w:color w:val="auto"/>
              </w:rPr>
              <w:t>$ (12,521)</w:t>
            </w:r>
          </w:p>
        </w:tc>
        <w:tc>
          <w:tcPr>
            <w:tcW w:w="840" w:type="dxa"/>
            <w:vAlign w:val="bottom"/>
          </w:tcPr>
          <w:p>
            <w:pPr>
              <w:jc w:val="right"/>
              <w:spacing w:after="0"/>
              <w:rPr>
                <w:sz w:val="20"/>
                <w:szCs w:val="20"/>
                <w:color w:val="auto"/>
              </w:rPr>
            </w:pPr>
            <w:r>
              <w:rPr>
                <w:rFonts w:ascii="Arial" w:cs="Arial" w:eastAsia="Arial" w:hAnsi="Arial"/>
                <w:sz w:val="17"/>
                <w:szCs w:val="17"/>
                <w:color w:val="auto"/>
              </w:rPr>
              <w:t>$(5,558)</w:t>
            </w:r>
          </w:p>
        </w:tc>
      </w:tr>
      <w:tr>
        <w:trPr>
          <w:trHeight w:val="591"/>
        </w:trPr>
        <w:tc>
          <w:tcPr>
            <w:tcW w:w="980" w:type="dxa"/>
            <w:vAlign w:val="bottom"/>
          </w:tcPr>
          <w:p>
            <w:pPr>
              <w:jc w:val="right"/>
              <w:ind w:right="153"/>
              <w:spacing w:after="0"/>
              <w:rPr>
                <w:sz w:val="20"/>
                <w:szCs w:val="20"/>
                <w:color w:val="auto"/>
              </w:rPr>
            </w:pPr>
            <w:r>
              <w:rPr>
                <w:rFonts w:ascii="Arial" w:cs="Arial" w:eastAsia="Arial" w:hAnsi="Arial"/>
                <w:sz w:val="17"/>
                <w:szCs w:val="17"/>
                <w:color w:val="auto"/>
              </w:rPr>
              <w:t>214</w:t>
            </w:r>
          </w:p>
        </w:tc>
        <w:tc>
          <w:tcPr>
            <w:tcW w:w="84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00"/>
        </w:trPr>
        <w:tc>
          <w:tcPr>
            <w:tcW w:w="980" w:type="dxa"/>
            <w:vAlign w:val="bottom"/>
          </w:tcPr>
          <w:p>
            <w:pPr>
              <w:jc w:val="right"/>
              <w:ind w:right="153"/>
              <w:spacing w:after="0"/>
              <w:rPr>
                <w:sz w:val="20"/>
                <w:szCs w:val="20"/>
                <w:color w:val="auto"/>
              </w:rPr>
            </w:pPr>
            <w:r>
              <w:rPr>
                <w:rFonts w:ascii="Arial" w:cs="Arial" w:eastAsia="Arial" w:hAnsi="Arial"/>
                <w:sz w:val="17"/>
                <w:szCs w:val="17"/>
                <w:color w:val="auto"/>
              </w:rPr>
              <w:t>240</w:t>
            </w:r>
          </w:p>
        </w:tc>
        <w:tc>
          <w:tcPr>
            <w:tcW w:w="8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9"/>
        </w:trPr>
        <w:tc>
          <w:tcPr>
            <w:tcW w:w="980" w:type="dxa"/>
            <w:vAlign w:val="bottom"/>
          </w:tcPr>
          <w:p>
            <w:pPr>
              <w:jc w:val="right"/>
              <w:ind w:right="153"/>
              <w:spacing w:after="0"/>
              <w:rPr>
                <w:sz w:val="20"/>
                <w:szCs w:val="20"/>
                <w:color w:val="auto"/>
              </w:rPr>
            </w:pPr>
            <w:r>
              <w:rPr>
                <w:rFonts w:ascii="Arial" w:cs="Arial" w:eastAsia="Arial" w:hAnsi="Arial"/>
                <w:sz w:val="17"/>
                <w:szCs w:val="17"/>
                <w:color w:val="auto"/>
              </w:rPr>
              <w:t>10</w:t>
            </w: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r>
    </w:tbl>
    <w:p>
      <w:pPr>
        <w:spacing w:after="0" w:line="191" w:lineRule="exact"/>
        <w:rPr>
          <w:sz w:val="20"/>
          <w:szCs w:val="20"/>
          <w:color w:val="auto"/>
        </w:rPr>
      </w:pPr>
    </w:p>
    <w:p>
      <w:pPr>
        <w:ind w:left="1520" w:hanging="1126"/>
        <w:spacing w:after="0"/>
        <w:tabs>
          <w:tab w:leader="none" w:pos="15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(72)</w:t>
      </w:r>
    </w:p>
    <w:p>
      <w:pPr>
        <w:spacing w:after="0" w:line="16" w:lineRule="exact"/>
        <w:rPr>
          <w:sz w:val="20"/>
          <w:szCs w:val="20"/>
          <w:color w:val="auto"/>
        </w:rPr>
      </w:pPr>
    </w:p>
    <w:p>
      <w:pPr>
        <w:ind w:left="300"/>
        <w:spacing w:after="0"/>
        <w:tabs>
          <w:tab w:leader="none" w:pos="1460" w:val="left"/>
        </w:tabs>
        <w:rPr>
          <w:sz w:val="20"/>
          <w:szCs w:val="20"/>
          <w:color w:val="auto"/>
        </w:rPr>
      </w:pPr>
      <w:r>
        <w:rPr>
          <w:rFonts w:ascii="Arial" w:cs="Arial" w:eastAsia="Arial" w:hAnsi="Arial"/>
          <w:sz w:val="17"/>
          <w:szCs w:val="17"/>
          <w:color w:val="auto"/>
        </w:rPr>
        <w:t>1,735</w:t>
      </w:r>
      <w:r>
        <w:rPr>
          <w:sz w:val="20"/>
          <w:szCs w:val="20"/>
          <w:color w:val="auto"/>
        </w:rPr>
        <w:tab/>
      </w:r>
      <w:r>
        <w:rPr>
          <w:rFonts w:ascii="Arial" w:cs="Arial" w:eastAsia="Arial" w:hAnsi="Arial"/>
          <w:sz w:val="17"/>
          <w:szCs w:val="17"/>
          <w:color w:val="auto"/>
        </w:rPr>
        <w:t>100</w:t>
      </w:r>
    </w:p>
    <w:p>
      <w:pPr>
        <w:spacing w:after="0" w:line="5" w:lineRule="exact"/>
        <w:rPr>
          <w:sz w:val="20"/>
          <w:szCs w:val="20"/>
          <w:color w:val="auto"/>
        </w:rPr>
      </w:pPr>
    </w:p>
    <w:p>
      <w:pPr>
        <w:ind w:left="1680" w:hanging="1189"/>
        <w:spacing w:after="0"/>
        <w:tabs>
          <w:tab w:leader="none" w:pos="1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3</w:t>
      </w:r>
    </w:p>
    <w:p>
      <w:pPr>
        <w:spacing w:after="0" w:line="31"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(10,964)(5,384)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1176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11176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278" w:lineRule="exact"/>
        <w:rPr>
          <w:sz w:val="20"/>
          <w:szCs w:val="20"/>
          <w:color w:val="auto"/>
        </w:rPr>
      </w:pPr>
    </w:p>
    <w:p>
      <w:pPr>
        <w:ind w:left="1420" w:hanging="1026"/>
        <w:spacing w:after="0"/>
        <w:tabs>
          <w:tab w:leader="none" w:pos="1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(113)</w:t>
      </w:r>
    </w:p>
    <w:p>
      <w:pPr>
        <w:spacing w:after="0" w:line="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10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1176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11" w:lineRule="exact"/>
        <w:rPr>
          <w:sz w:val="20"/>
          <w:szCs w:val="20"/>
          <w:color w:val="auto"/>
        </w:rPr>
      </w:pPr>
    </w:p>
    <w:p>
      <w:pPr>
        <w:ind w:left="1420" w:hanging="1026"/>
        <w:spacing w:after="0"/>
        <w:tabs>
          <w:tab w:leader="none" w:pos="14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1176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3,000</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116,000</w:t>
      </w:r>
      <w:r>
        <w:rPr>
          <w:rFonts w:ascii="Arial" w:cs="Arial" w:eastAsia="Arial" w:hAnsi="Arial"/>
          <w:sz w:val="16"/>
          <w:szCs w:val="16"/>
          <w:color w:val="auto"/>
        </w:rPr>
        <w:t>3,000</w:t>
      </w:r>
    </w:p>
    <w:p>
      <w:pPr>
        <w:spacing w:after="0" w:line="5" w:lineRule="exact"/>
        <w:rPr>
          <w:sz w:val="20"/>
          <w:szCs w:val="20"/>
          <w:color w:val="auto"/>
        </w:rPr>
      </w:pPr>
    </w:p>
    <w:p>
      <w:pPr>
        <w:ind w:left="1520" w:hanging="1126"/>
        <w:spacing w:after="0"/>
        <w:tabs>
          <w:tab w:leader="none" w:pos="15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(25)</w:t>
      </w:r>
    </w:p>
    <w:p>
      <w:pPr>
        <w:spacing w:after="0" w:line="1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19</w:t>
      </w:r>
      <w:r>
        <w:rPr>
          <w:rFonts w:ascii="Arial" w:cs="Arial" w:eastAsia="Arial" w:hAnsi="Arial"/>
          <w:sz w:val="16"/>
          <w:szCs w:val="16"/>
          <w:color w:val="auto"/>
        </w:rPr>
        <w:t>—</w:t>
      </w:r>
    </w:p>
    <w:p>
      <w:pPr>
        <w:spacing w:after="0" w:line="5" w:lineRule="exact"/>
        <w:rPr>
          <w:sz w:val="20"/>
          <w:szCs w:val="20"/>
          <w:color w:val="auto"/>
        </w:rPr>
      </w:pPr>
    </w:p>
    <w:p>
      <w:pPr>
        <w:ind w:left="1620" w:hanging="1033"/>
        <w:spacing w:after="0"/>
        <w:tabs>
          <w:tab w:leader="none" w:pos="16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(1)</w:t>
      </w:r>
    </w:p>
    <w:p>
      <w:pPr>
        <w:spacing w:after="0" w:line="12" w:lineRule="exact"/>
        <w:rPr>
          <w:sz w:val="20"/>
          <w:szCs w:val="20"/>
          <w:color w:val="auto"/>
        </w:rPr>
      </w:pPr>
    </w:p>
    <w:p>
      <w:pPr>
        <w:sectPr>
          <w:pgSz w:w="11900" w:h="16838" w:orient="portrait"/>
          <w:cols w:equalWidth="0" w:num="2">
            <w:col w:w="8560" w:space="720"/>
            <w:col w:w="1880"/>
          </w:cols>
          <w:pgMar w:left="240" w:top="455" w:right="499" w:bottom="1440" w:gutter="0" w:footer="0" w:header="0"/>
          <w:type w:val="continuous"/>
        </w:sectPr>
      </w:pPr>
    </w:p>
    <w:tbl>
      <w:tblPr>
        <w:tblLayout w:type="fixed"/>
        <w:tblInd w:w="280" w:type="dxa"/>
        <w:tblCellMar>
          <w:top w:w="0" w:type="dxa"/>
          <w:left w:w="0" w:type="dxa"/>
          <w:bottom w:w="0" w:type="dxa"/>
          <w:right w:w="0" w:type="dxa"/>
        </w:tblCellMar>
      </w:tblPr>
      <w:tr>
        <w:trPr>
          <w:trHeight w:val="213"/>
        </w:trPr>
        <w:tc>
          <w:tcPr>
            <w:tcW w:w="9000" w:type="dxa"/>
            <w:vAlign w:val="bottom"/>
          </w:tcPr>
          <w:p>
            <w:pPr>
              <w:ind w:left="840"/>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115,639</w:t>
            </w:r>
          </w:p>
        </w:tc>
        <w:tc>
          <w:tcPr>
            <w:tcW w:w="3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5,974</w:t>
            </w:r>
          </w:p>
        </w:tc>
        <w:tc>
          <w:tcPr>
            <w:tcW w:w="120" w:type="dxa"/>
            <w:vAlign w:val="bottom"/>
          </w:tcPr>
          <w:p>
            <w:pPr>
              <w:spacing w:after="0"/>
              <w:rPr>
                <w:sz w:val="18"/>
                <w:szCs w:val="18"/>
                <w:color w:val="auto"/>
              </w:rPr>
            </w:pPr>
          </w:p>
        </w:tc>
      </w:tr>
      <w:tr>
        <w:trPr>
          <w:trHeight w:val="200"/>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cash, cash equivalents and restricted cash</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103,750</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20" w:type="dxa"/>
            <w:vAlign w:val="bottom"/>
            <w:shd w:val="clear" w:color="auto" w:fill="CCEEFF"/>
          </w:tcPr>
          <w:p>
            <w:pPr>
              <w:spacing w:after="0"/>
              <w:rPr>
                <w:sz w:val="17"/>
                <w:szCs w:val="17"/>
                <w:color w:val="auto"/>
              </w:rPr>
            </w:pPr>
          </w:p>
        </w:tc>
      </w:tr>
      <w:tr>
        <w:trPr>
          <w:trHeight w:val="207"/>
        </w:trPr>
        <w:tc>
          <w:tcPr>
            <w:tcW w:w="9000" w:type="dxa"/>
            <w:vAlign w:val="bottom"/>
          </w:tcPr>
          <w:p>
            <w:pPr>
              <w:spacing w:after="0"/>
              <w:rPr>
                <w:sz w:val="20"/>
                <w:szCs w:val="20"/>
                <w:color w:val="auto"/>
              </w:rPr>
            </w:pPr>
            <w:r>
              <w:rPr>
                <w:rFonts w:ascii="Arial" w:cs="Arial" w:eastAsia="Arial" w:hAnsi="Arial"/>
                <w:sz w:val="17"/>
                <w:szCs w:val="17"/>
                <w:color w:val="auto"/>
              </w:rPr>
              <w:t>Cash, cash equivalents and restricted cash—beginning of year</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1,853</w:t>
            </w: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w:t>
            </w:r>
          </w:p>
        </w:tc>
        <w:tc>
          <w:tcPr>
            <w:tcW w:w="120" w:type="dxa"/>
            <w:vAlign w:val="bottom"/>
          </w:tcPr>
          <w:p>
            <w:pPr>
              <w:spacing w:after="0"/>
              <w:rPr>
                <w:sz w:val="17"/>
                <w:szCs w:val="17"/>
                <w:color w:val="auto"/>
              </w:rPr>
            </w:pPr>
          </w:p>
        </w:tc>
      </w:tr>
      <w:tr>
        <w:trPr>
          <w:trHeight w:val="200"/>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105,603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1,853</w:t>
            </w:r>
          </w:p>
        </w:tc>
        <w:tc>
          <w:tcPr>
            <w:tcW w:w="120" w:type="dxa"/>
            <w:vAlign w:val="bottom"/>
            <w:shd w:val="clear" w:color="auto" w:fill="CCEEFF"/>
          </w:tcPr>
          <w:p>
            <w:pPr>
              <w:spacing w:after="0"/>
              <w:rPr>
                <w:sz w:val="17"/>
                <w:szCs w:val="17"/>
                <w:color w:val="auto"/>
              </w:rPr>
            </w:pPr>
          </w:p>
        </w:tc>
      </w:tr>
      <w:tr>
        <w:trPr>
          <w:trHeight w:val="273"/>
        </w:trPr>
        <w:tc>
          <w:tcPr>
            <w:tcW w:w="9000" w:type="dxa"/>
            <w:vAlign w:val="bottom"/>
          </w:tcPr>
          <w:p>
            <w:pPr>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9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 included in accrued expenses and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r>
      <w:tr>
        <w:trPr>
          <w:trHeight w:val="20"/>
        </w:trPr>
        <w:tc>
          <w:tcPr>
            <w:tcW w:w="9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9000" w:type="dxa"/>
            <w:vAlign w:val="bottom"/>
          </w:tcPr>
          <w:p>
            <w:pPr>
              <w:ind w:left="200"/>
              <w:spacing w:after="0"/>
              <w:rPr>
                <w:sz w:val="20"/>
                <w:szCs w:val="20"/>
                <w:color w:val="auto"/>
              </w:rPr>
            </w:pPr>
            <w:r>
              <w:rPr>
                <w:rFonts w:ascii="Arial" w:cs="Arial" w:eastAsia="Arial" w:hAnsi="Arial"/>
                <w:sz w:val="17"/>
                <w:szCs w:val="17"/>
                <w:color w:val="auto"/>
              </w:rPr>
              <w:t>Issuance of convertible Preferred Stock in exchange for simple agreement for future equity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3,000</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9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160"/>
          </w:cols>
          <w:pgMar w:left="240" w:top="455" w:right="49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right="4360"/>
        <w:spacing w:after="0" w:line="264" w:lineRule="auto"/>
        <w:rPr>
          <w:sz w:val="20"/>
          <w:szCs w:val="20"/>
          <w:color w:val="auto"/>
        </w:rPr>
      </w:pPr>
      <w:r>
        <w:rPr>
          <w:rFonts w:ascii="Arial" w:cs="Arial" w:eastAsia="Arial" w:hAnsi="Arial"/>
          <w:sz w:val="31"/>
          <w:szCs w:val="31"/>
          <w:b w:val="1"/>
          <w:bCs w:val="1"/>
          <w:color w:val="auto"/>
        </w:rPr>
        <w:t>Stoke Therapeutics, Inc. and subsidiaries Notes to consolidated financial statements</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 Nature of the business and basis of presentation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Organization</w:t>
      </w:r>
    </w:p>
    <w:p>
      <w:pPr>
        <w:spacing w:after="0" w:line="131" w:lineRule="exact"/>
        <w:rPr>
          <w:sz w:val="20"/>
          <w:szCs w:val="20"/>
          <w:color w:val="auto"/>
        </w:rPr>
      </w:pPr>
    </w:p>
    <w:p>
      <w:pPr>
        <w:ind w:left="280" w:right="220"/>
        <w:spacing w:after="0" w:line="253" w:lineRule="auto"/>
        <w:rPr>
          <w:sz w:val="20"/>
          <w:szCs w:val="20"/>
          <w:color w:val="auto"/>
        </w:rPr>
      </w:pPr>
      <w:r>
        <w:rPr>
          <w:rFonts w:ascii="Arial" w:cs="Arial" w:eastAsia="Arial" w:hAnsi="Arial"/>
          <w:sz w:val="17"/>
          <w:szCs w:val="17"/>
          <w:color w:val="auto"/>
        </w:rPr>
        <w:t>Stoke Therapeutics, Inc. (the Company) was founded in June 2014 and was incorporated under the laws of the State of Delaware. The Company is an early-stage biopharmaceutical company pioneering a new way to treat the underlying causes of severe genetic diseases by precisely upregulating protein expression.</w:t>
      </w:r>
    </w:p>
    <w:p>
      <w:pPr>
        <w:spacing w:after="0" w:line="89" w:lineRule="exact"/>
        <w:rPr>
          <w:sz w:val="20"/>
          <w:szCs w:val="20"/>
          <w:color w:val="auto"/>
        </w:rPr>
      </w:pPr>
    </w:p>
    <w:p>
      <w:pPr>
        <w:ind w:left="280" w:right="160"/>
        <w:spacing w:after="0" w:line="247" w:lineRule="auto"/>
        <w:rPr>
          <w:sz w:val="20"/>
          <w:szCs w:val="20"/>
          <w:color w:val="auto"/>
        </w:rPr>
      </w:pPr>
      <w:r>
        <w:rPr>
          <w:rFonts w:ascii="Arial" w:cs="Arial" w:eastAsia="Arial" w:hAnsi="Arial"/>
          <w:sz w:val="17"/>
          <w:szCs w:val="17"/>
          <w:color w:val="auto"/>
        </w:rPr>
        <w:t>On June 6, 2019, the Company effected a 9.95-for-one reverse split of the Company’s issued and outstanding common and convertible preferred stock. Upon the effectiveness of the reverse stock split, (i) all shares of outstanding common stock and convertible preferred stock were adjusted; (ii) the number of shares of common stock for which each outstanding option to purchase common stock is exercisable were adjusted; and (iii) the exercise price of each outstanding option to purchase common stock were adjusted. All of the outstanding common stock share numbers (including shares of common stock subject to the Company’s options and as converted for the outstanding convertible preferred stock shares), share prices, exercise prices and per share amounts contained in the consolidated financial statements have been retroactively adjusted in the consolidated financial statements to reflect this reverse stock split for all periods presented. The par value per share and the authorized number of shares of common stock and convertible preferred stock were not adjusted as a result of the reverse stock split.</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Uncertainties</w:t>
      </w:r>
    </w:p>
    <w:p>
      <w:pPr>
        <w:spacing w:after="0" w:line="131" w:lineRule="exact"/>
        <w:rPr>
          <w:sz w:val="20"/>
          <w:szCs w:val="20"/>
          <w:color w:val="auto"/>
        </w:rPr>
      </w:pPr>
    </w:p>
    <w:p>
      <w:pPr>
        <w:ind w:left="280" w:right="200"/>
        <w:spacing w:after="0" w:line="24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Liquidity</w:t>
      </w:r>
    </w:p>
    <w:p>
      <w:pPr>
        <w:spacing w:after="0" w:line="13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Company expects that its operating losses and negative cash flows will continue for the foreseeable future. As of the issuance date of its consolidated financial statements as of and for the year ended December 31, 2018, the Company expects that its cash and cash equivalents will be sufficient to fund its operating expenses and capital expenditure requirements through at least twelve months from the issuance date of its consolidated financial statements. The future viability of the Company beyond that date is dependent on its ability to raise additional capital to finance its operations.</w:t>
      </w:r>
    </w:p>
    <w:p>
      <w:pPr>
        <w:spacing w:after="0" w:line="93"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The Company plans to seek additional funding through public or private equity offerings, debt financings, other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140"/>
          </w:cols>
          <w:pgMar w:left="240" w:top="455"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2. Summary of significant accounting policies and recent accounting pronouncements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31" w:lineRule="exact"/>
        <w:rPr>
          <w:sz w:val="20"/>
          <w:szCs w:val="20"/>
          <w:color w:val="auto"/>
        </w:rPr>
      </w:pPr>
    </w:p>
    <w:p>
      <w:pPr>
        <w:ind w:left="280" w:right="300"/>
        <w:spacing w:after="0" w:line="253"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(GAAP), and include the accounts of Stoke Therapeutics, Inc. and its wholly-owned subsidiary. All intercompany transactions between and among its consolidated subsidiary have been eliminated.</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131"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In the accompanying statements of operations, the unaudited pro forma basic and diluted net loss per share attributable to common stockholders for the year ended December 31, 2018 has been prepared to give effect to the automatic conversion of all outstanding shares of convertible preferred stock as if the Company’s proposed initial public offering had occurred on the later of January 1, 2018 or the issuance date of the convertible preferred stock.</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31" w:lineRule="exact"/>
        <w:rPr>
          <w:sz w:val="20"/>
          <w:szCs w:val="20"/>
          <w:color w:val="auto"/>
        </w:rPr>
      </w:pPr>
    </w:p>
    <w:p>
      <w:pPr>
        <w:jc w:val="both"/>
        <w:ind w:left="280" w:right="20"/>
        <w:spacing w:after="0" w:line="25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liabilities, equity, expenses and disclosure of contingent assets and liabilities. Estimates are periodically reviewed in light of changes in circumstances, facts and experience. Actual results could differ from our estimates.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31" w:lineRule="exact"/>
        <w:rPr>
          <w:sz w:val="20"/>
          <w:szCs w:val="20"/>
          <w:color w:val="auto"/>
        </w:rPr>
      </w:pPr>
    </w:p>
    <w:p>
      <w:pPr>
        <w:ind w:left="280" w:right="500"/>
        <w:spacing w:after="0" w:line="262"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The Company deposits its cash in checking, sweep account and money market accounts.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Restricted cash</w:t>
      </w:r>
    </w:p>
    <w:p>
      <w:pPr>
        <w:spacing w:after="0" w:line="131" w:lineRule="exact"/>
        <w:rPr>
          <w:sz w:val="20"/>
          <w:szCs w:val="20"/>
          <w:color w:val="auto"/>
        </w:rPr>
      </w:pPr>
    </w:p>
    <w:p>
      <w:pPr>
        <w:ind w:left="280" w:right="360"/>
        <w:spacing w:after="0" w:line="262" w:lineRule="auto"/>
        <w:rPr>
          <w:sz w:val="20"/>
          <w:szCs w:val="20"/>
          <w:color w:val="auto"/>
        </w:rPr>
      </w:pPr>
      <w:r>
        <w:rPr>
          <w:rFonts w:ascii="Arial" w:cs="Arial" w:eastAsia="Arial" w:hAnsi="Arial"/>
          <w:sz w:val="17"/>
          <w:szCs w:val="17"/>
          <w:color w:val="auto"/>
        </w:rPr>
        <w:t>At December 31, 2018, restricted cash consisted of money market accounts collateralizing a letter of credit issued as a security deposit in connection with the Company’s lease of its corporate facilities.</w:t>
      </w:r>
    </w:p>
    <w:p>
      <w:pPr>
        <w:spacing w:after="0" w:line="80" w:lineRule="exact"/>
        <w:rPr>
          <w:sz w:val="20"/>
          <w:szCs w:val="20"/>
          <w:color w:val="auto"/>
        </w:rPr>
      </w:pPr>
    </w:p>
    <w:p>
      <w:pPr>
        <w:ind w:left="280" w:right="380"/>
        <w:spacing w:after="0" w:line="262" w:lineRule="auto"/>
        <w:rPr>
          <w:sz w:val="20"/>
          <w:szCs w:val="20"/>
          <w:color w:val="auto"/>
        </w:rPr>
      </w:pPr>
      <w:r>
        <w:rPr>
          <w:rFonts w:ascii="Arial" w:cs="Arial" w:eastAsia="Arial" w:hAnsi="Arial"/>
          <w:sz w:val="17"/>
          <w:szCs w:val="17"/>
          <w:color w:val="auto"/>
        </w:rPr>
        <w:t>The following table reconciles cash and cash equivalents and restricted cash per the consolidated balance sheet to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p>
      <w:pPr>
        <w:ind w:left="9500"/>
        <w:spacing w:after="0"/>
        <w:rPr>
          <w:sz w:val="20"/>
          <w:szCs w:val="20"/>
          <w:color w:val="auto"/>
        </w:rPr>
      </w:pPr>
      <w:r>
        <w:rPr>
          <w:rFonts w:ascii="Arial" w:cs="Arial" w:eastAsia="Arial" w:hAnsi="Arial"/>
          <w:sz w:val="17"/>
          <w:szCs w:val="17"/>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14605</wp:posOffset>
            </wp:positionV>
            <wp:extent cx="11093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25" w:lineRule="exact"/>
        <w:rPr>
          <w:sz w:val="20"/>
          <w:szCs w:val="20"/>
          <w:color w:val="auto"/>
        </w:rPr>
      </w:pPr>
    </w:p>
    <w:p>
      <w:pPr>
        <w:ind w:left="9840"/>
        <w:spacing w:after="0"/>
        <w:tabs>
          <w:tab w:leader="none" w:pos="1070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3"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55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366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ind w:right="133"/>
              <w:spacing w:after="0" w:line="194" w:lineRule="exact"/>
              <w:rPr>
                <w:sz w:val="20"/>
                <w:szCs w:val="20"/>
                <w:color w:val="auto"/>
              </w:rPr>
            </w:pPr>
            <w:r>
              <w:rPr>
                <w:rFonts w:ascii="Arial" w:cs="Arial" w:eastAsia="Arial" w:hAnsi="Arial"/>
                <w:sz w:val="17"/>
                <w:szCs w:val="17"/>
                <w:color w:val="auto"/>
              </w:rPr>
              <w:t>105,399</w:t>
            </w: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1,797</w:t>
            </w:r>
          </w:p>
        </w:tc>
        <w:tc>
          <w:tcPr>
            <w:tcW w:w="60" w:type="dxa"/>
            <w:vAlign w:val="bottom"/>
            <w:tcBorders>
              <w:top w:val="single" w:sz="8" w:color="auto"/>
            </w:tcBorders>
            <w:shd w:val="clear" w:color="auto" w:fill="CCEEFF"/>
          </w:tcPr>
          <w:p>
            <w:pPr>
              <w:spacing w:after="0"/>
              <w:rPr>
                <w:sz w:val="16"/>
                <w:szCs w:val="16"/>
                <w:color w:val="auto"/>
              </w:rPr>
            </w:pPr>
          </w:p>
        </w:tc>
      </w:tr>
      <w:tr>
        <w:trPr>
          <w:trHeight w:val="200"/>
        </w:trPr>
        <w:tc>
          <w:tcPr>
            <w:tcW w:w="5580" w:type="dxa"/>
            <w:vAlign w:val="bottom"/>
          </w:tcPr>
          <w:p>
            <w:pPr>
              <w:spacing w:after="0"/>
              <w:rPr>
                <w:sz w:val="20"/>
                <w:szCs w:val="20"/>
                <w:color w:val="auto"/>
              </w:rPr>
            </w:pPr>
            <w:r>
              <w:rPr>
                <w:rFonts w:ascii="Arial" w:cs="Arial" w:eastAsia="Arial" w:hAnsi="Arial"/>
                <w:sz w:val="17"/>
                <w:szCs w:val="17"/>
                <w:color w:val="auto"/>
              </w:rPr>
              <w:t>Restricted cash</w:t>
            </w:r>
          </w:p>
        </w:tc>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204</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56</w:t>
            </w:r>
          </w:p>
        </w:tc>
      </w:tr>
      <w:tr>
        <w:trPr>
          <w:trHeight w:val="27"/>
        </w:trPr>
        <w:tc>
          <w:tcPr>
            <w:tcW w:w="5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58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105,603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w:t>
            </w:r>
          </w:p>
        </w:tc>
        <w:tc>
          <w:tcPr>
            <w:tcW w:w="60" w:type="dxa"/>
            <w:vAlign w:val="bottom"/>
            <w:shd w:val="clear" w:color="auto" w:fill="CCEEFF"/>
          </w:tcPr>
          <w:p>
            <w:pPr>
              <w:spacing w:after="0"/>
              <w:rPr>
                <w:sz w:val="17"/>
                <w:szCs w:val="17"/>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31"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Financial instruments that potentially expose the Company to concentrations of credit risk primarily consist of cash and cash equivalents. The Company maintains its cash and cash equivalents at an accredited financial institution in amounts that exceed federally insured limits. The Company does not believe that it is subject to unusual credit risk beyond the normal credit risk associated with commercial banking relationships.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3" w:lineRule="exact"/>
        <w:rPr>
          <w:sz w:val="20"/>
          <w:szCs w:val="20"/>
          <w:color w:val="auto"/>
        </w:rPr>
      </w:pPr>
    </w:p>
    <w:p>
      <w:pPr>
        <w:ind w:left="280" w:right="260"/>
        <w:spacing w:after="0" w:line="284" w:lineRule="auto"/>
        <w:rPr>
          <w:sz w:val="20"/>
          <w:szCs w:val="20"/>
          <w:color w:val="auto"/>
        </w:rPr>
      </w:pPr>
      <w:r>
        <w:rPr>
          <w:rFonts w:ascii="Arial" w:cs="Arial" w:eastAsia="Arial" w:hAnsi="Arial"/>
          <w:sz w:val="17"/>
          <w:szCs w:val="17"/>
          <w:color w:val="auto"/>
        </w:rPr>
        <w:t xml:space="preserve">Accounting Standards Codification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160"/>
          </w:cols>
          <w:pgMar w:left="240" w:top="455"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48" w:lineRule="auto"/>
        <w:rPr>
          <w:sz w:val="20"/>
          <w:szCs w:val="20"/>
          <w:color w:val="auto"/>
        </w:rPr>
      </w:pPr>
      <w:r>
        <w:rPr>
          <w:rFonts w:ascii="Arial" w:cs="Arial" w:eastAsia="Arial" w:hAnsi="Arial"/>
          <w:sz w:val="17"/>
          <w:szCs w:val="17"/>
          <w:color w:val="auto"/>
        </w:rPr>
        <w:t>(observable inputs) and the Company’s own assumptions (unobservable inputs). Observable inputs are those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Level 1—Quoted market prices in active markets for identical assets or liabilities.</w:t>
      </w:r>
    </w:p>
    <w:p>
      <w:pPr>
        <w:spacing w:after="0" w:line="111" w:lineRule="exact"/>
        <w:rPr>
          <w:sz w:val="20"/>
          <w:szCs w:val="20"/>
          <w:color w:val="auto"/>
        </w:rPr>
      </w:pPr>
    </w:p>
    <w:p>
      <w:pPr>
        <w:ind w:left="280" w:right="400"/>
        <w:spacing w:after="0" w:line="262" w:lineRule="auto"/>
        <w:rPr>
          <w:sz w:val="20"/>
          <w:szCs w:val="20"/>
          <w:color w:val="auto"/>
        </w:rPr>
      </w:pPr>
      <w:r>
        <w:rPr>
          <w:rFonts w:ascii="Arial" w:cs="Arial" w:eastAsia="Arial" w:hAnsi="Arial"/>
          <w:sz w:val="17"/>
          <w:szCs w:val="17"/>
          <w:color w:val="auto"/>
        </w:rPr>
        <w:t>Level 2—Inputs other than Level 1 inputs that are either directly or indirectly observable, such as quoted market prices, interest rates and yield curves.</w:t>
      </w:r>
    </w:p>
    <w:p>
      <w:pPr>
        <w:spacing w:after="0" w:line="80" w:lineRule="exact"/>
        <w:rPr>
          <w:sz w:val="20"/>
          <w:szCs w:val="20"/>
          <w:color w:val="auto"/>
        </w:rPr>
      </w:pPr>
    </w:p>
    <w:p>
      <w:pPr>
        <w:ind w:left="280" w:right="520"/>
        <w:spacing w:after="0" w:line="262" w:lineRule="auto"/>
        <w:rPr>
          <w:sz w:val="20"/>
          <w:szCs w:val="20"/>
          <w:color w:val="auto"/>
        </w:rPr>
      </w:pPr>
      <w:r>
        <w:rPr>
          <w:rFonts w:ascii="Arial" w:cs="Arial" w:eastAsia="Arial" w:hAnsi="Arial"/>
          <w:sz w:val="17"/>
          <w:szCs w:val="17"/>
          <w:color w:val="auto"/>
        </w:rPr>
        <w:t>Level 3—Unobservable inputs developed using estimates of assumptions developed by the Company, which reflect those that a market participant would use.</w:t>
      </w:r>
    </w:p>
    <w:p>
      <w:pPr>
        <w:spacing w:after="0" w:line="80"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31"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consolidated statements of operations.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31" w:lineRule="exact"/>
        <w:rPr>
          <w:sz w:val="20"/>
          <w:szCs w:val="20"/>
          <w:color w:val="auto"/>
        </w:rPr>
      </w:pPr>
    </w:p>
    <w:p>
      <w:pPr>
        <w:ind w:left="280" w:right="60"/>
        <w:spacing w:after="0" w:line="248" w:lineRule="auto"/>
        <w:rPr>
          <w:sz w:val="20"/>
          <w:szCs w:val="20"/>
          <w:color w:val="auto"/>
        </w:rPr>
      </w:pPr>
      <w:r>
        <w:rPr>
          <w:rFonts w:ascii="Arial" w:cs="Arial" w:eastAsia="Arial" w:hAnsi="Arial"/>
          <w:sz w:val="17"/>
          <w:szCs w:val="17"/>
          <w:color w:val="auto"/>
        </w:rPr>
        <w:t>Property and equipment are initially recorded at cost less accumulated depreciation. Cost includes the acquisition costs and all costs necessary to bring the asset to the location and working condition necessary for its intended use. Depreciation expense is recognized using the straight-line method over the estimated useful life of each asset. Upon retirement or sale, the cost of assets disposed of and the related accumulated depreciation are removed from the accounts and any resulting gain or loss is included in the accompanying consolidated statements of operations. Expenditures for normal, recurring or periodic repairs and maintenance related to property and equipment are charged to expense as incurred. The cost for planned major maintenance activities, including the related acquisition or construction of assets, is capitalized if it will result in future economic benefits.</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Estimated useful lives for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32"/>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Property and equipment</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Estimated useful life</w:t>
            </w:r>
          </w:p>
        </w:tc>
      </w:tr>
      <w:tr>
        <w:trPr>
          <w:trHeight w:val="197"/>
        </w:trPr>
        <w:tc>
          <w:tcPr>
            <w:tcW w:w="4500" w:type="dxa"/>
            <w:vAlign w:val="bottom"/>
          </w:tcPr>
          <w:p>
            <w:pPr>
              <w:spacing w:after="0"/>
              <w:rPr>
                <w:sz w:val="20"/>
                <w:szCs w:val="20"/>
                <w:color w:val="auto"/>
              </w:rPr>
            </w:pPr>
            <w:r>
              <w:rPr>
                <w:rFonts w:ascii="Arial" w:cs="Arial" w:eastAsia="Arial" w:hAnsi="Arial"/>
                <w:sz w:val="17"/>
                <w:szCs w:val="17"/>
                <w:color w:val="auto"/>
              </w:rPr>
              <w:t>Computer and office equipment</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3-5 years</w:t>
            </w:r>
          </w:p>
        </w:tc>
      </w:tr>
      <w:tr>
        <w:trPr>
          <w:trHeight w:val="200"/>
        </w:trPr>
        <w:tc>
          <w:tcPr>
            <w:tcW w:w="4500" w:type="dxa"/>
            <w:vAlign w:val="bottom"/>
          </w:tcPr>
          <w:p>
            <w:pPr>
              <w:spacing w:after="0"/>
              <w:rPr>
                <w:sz w:val="20"/>
                <w:szCs w:val="20"/>
                <w:color w:val="auto"/>
              </w:rPr>
            </w:pPr>
            <w:r>
              <w:rPr>
                <w:rFonts w:ascii="Arial" w:cs="Arial" w:eastAsia="Arial" w:hAnsi="Arial"/>
                <w:sz w:val="17"/>
                <w:szCs w:val="17"/>
                <w:color w:val="auto"/>
              </w:rPr>
              <w:t>Laboratory equipment and Furniture and fixtures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5-7 years</w:t>
            </w:r>
          </w:p>
        </w:tc>
      </w:tr>
      <w:tr>
        <w:trPr>
          <w:trHeight w:val="200"/>
        </w:trPr>
        <w:tc>
          <w:tcPr>
            <w:tcW w:w="450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Lesser of estimated useful life or remaining</w:t>
            </w:r>
          </w:p>
        </w:tc>
      </w:tr>
      <w:tr>
        <w:trPr>
          <w:trHeight w:val="210"/>
        </w:trPr>
        <w:tc>
          <w:tcPr>
            <w:tcW w:w="4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lease term</w:t>
            </w:r>
          </w:p>
        </w:tc>
      </w:tr>
      <w:tr>
        <w:trPr>
          <w:trHeight w:val="353"/>
        </w:trPr>
        <w:tc>
          <w:tcPr>
            <w:tcW w:w="4500" w:type="dxa"/>
            <w:vAlign w:val="bottom"/>
          </w:tcPr>
          <w:p>
            <w:pPr>
              <w:spacing w:after="0"/>
              <w:rPr>
                <w:sz w:val="24"/>
                <w:szCs w:val="24"/>
                <w:color w:val="auto"/>
              </w:rPr>
            </w:pPr>
          </w:p>
        </w:tc>
        <w:tc>
          <w:tcPr>
            <w:tcW w:w="6380" w:type="dxa"/>
            <w:vAlign w:val="bottom"/>
            <w:gridSpan w:val="3"/>
          </w:tcPr>
          <w:p>
            <w:pPr>
              <w:ind w:left="800"/>
              <w:spacing w:after="0"/>
              <w:rPr>
                <w:sz w:val="20"/>
                <w:szCs w:val="20"/>
                <w:color w:val="auto"/>
              </w:rPr>
            </w:pPr>
            <w:r>
              <w:rPr>
                <w:rFonts w:ascii="Arial" w:cs="Arial" w:eastAsia="Arial" w:hAnsi="Arial"/>
                <w:sz w:val="17"/>
                <w:szCs w:val="17"/>
                <w:color w:val="auto"/>
              </w:rPr>
              <w:t>F-9</w:t>
            </w:r>
          </w:p>
        </w:tc>
      </w:tr>
    </w:tbl>
    <w:p>
      <w:pPr>
        <w:sectPr>
          <w:pgSz w:w="11900" w:h="16838" w:orient="portrait"/>
          <w:cols w:equalWidth="0" w:num="1">
            <w:col w:w="11160"/>
          </w:cols>
          <w:pgMar w:left="240" w:top="455"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31"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The Company reviews the recoverability of its long-lived assets when events or changes in circumstances occur that indicate that the carrying value of the assets may not be recoverable. The assessment of possible impairment is based on the ability to recover the carrying value of the assets from the expected future cash flows (undiscounted and without interest expense) of the related operations. If these cash flows are less than the carrying value of such assets, an impairment loss for the difference between the estimated fair value and carrying value is recorded. There were no impairment losses recognized during the years ended December 31, 2018 and 2017.</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31" w:lineRule="exact"/>
        <w:rPr>
          <w:sz w:val="20"/>
          <w:szCs w:val="20"/>
          <w:color w:val="auto"/>
        </w:rPr>
      </w:pPr>
    </w:p>
    <w:p>
      <w:pPr>
        <w:ind w:left="280" w:right="380"/>
        <w:spacing w:after="0" w:line="253" w:lineRule="auto"/>
        <w:rPr>
          <w:sz w:val="20"/>
          <w:szCs w:val="20"/>
          <w:color w:val="auto"/>
        </w:rPr>
      </w:pPr>
      <w:r>
        <w:rPr>
          <w:rFonts w:ascii="Arial" w:cs="Arial" w:eastAsia="Arial" w:hAnsi="Arial"/>
          <w:sz w:val="17"/>
          <w:szCs w:val="17"/>
          <w:color w:val="auto"/>
        </w:rPr>
        <w:t>Research and development costs are expensed as incurred. Research and development expenses are comprised of costs incurred in performing research and development activities, including salaries and benefits, facilities costs, depreciation, third-party license fees, and costs related to third parties engaged to conduct preclinical research development activities.</w:t>
      </w:r>
    </w:p>
    <w:p>
      <w:pPr>
        <w:spacing w:after="0" w:line="8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to conduct research on its behalf. These agreements are generally cancellable.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Stock options</w:t>
      </w:r>
    </w:p>
    <w:p>
      <w:pPr>
        <w:spacing w:after="0" w:line="13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The Company measures its stock-based awards granted based on the estimated fair values of the awards and recognizes the compensation for employees and nonemployees over the requisite service period. The Company uses the Black-Scholes option-pricing model to estimate the fair value of its stock-based awards. The Company has elected the practical expedient to use the midpoint between vesting date and the contractual term as the expected term for certain awards with service or performance conditions. Stock-based compensation is recognized using the straight-line method. Forfeitures of unvested stock-based awards are accounted for when they occur.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Patent costs</w:t>
      </w:r>
    </w:p>
    <w:p>
      <w:pPr>
        <w:spacing w:after="0" w:line="131" w:lineRule="exact"/>
        <w:rPr>
          <w:sz w:val="20"/>
          <w:szCs w:val="20"/>
          <w:color w:val="auto"/>
        </w:rPr>
      </w:pPr>
    </w:p>
    <w:p>
      <w:pPr>
        <w:ind w:left="280" w:right="100"/>
        <w:spacing w:after="0" w:line="253"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Rent expense</w:t>
      </w:r>
    </w:p>
    <w:p>
      <w:pPr>
        <w:spacing w:after="0" w:line="131"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The Company’s real estate operating lease provides for scheduled annual rent increases throughout the lease term. The Company recognizes the effects of the scheduled rent increases on a straight-line basis over the full term of the lease. Tenant improvement allowances, if any, provided by a landlord are recorded as deferred rent and amortized as reduction to rent expense over the lease term.</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Income taxes</w:t>
      </w:r>
    </w:p>
    <w:p>
      <w:pPr>
        <w:spacing w:after="0" w:line="131" w:lineRule="exact"/>
        <w:rPr>
          <w:sz w:val="20"/>
          <w:szCs w:val="20"/>
          <w:color w:val="auto"/>
        </w:rPr>
      </w:pPr>
    </w:p>
    <w:p>
      <w:pPr>
        <w:ind w:left="280" w:right="20"/>
        <w:spacing w:after="0" w:line="25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estimated future tax consequences attributable to temporary differences between the consolidated financial statement carrying amounts of existing assets and liabilities and their respective tax base. Deferred tax assets and liabilities are determined on the basis of the differences</w:t>
      </w:r>
    </w:p>
    <w:p>
      <w:pPr>
        <w:spacing w:after="0" w:line="3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140"/>
          </w:cols>
          <w:pgMar w:left="240" w:top="455" w:right="5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80"/>
        <w:spacing w:after="0" w:line="248" w:lineRule="auto"/>
        <w:rPr>
          <w:sz w:val="20"/>
          <w:szCs w:val="20"/>
          <w:color w:val="auto"/>
        </w:rPr>
      </w:pPr>
      <w:r>
        <w:rPr>
          <w:rFonts w:ascii="Arial" w:cs="Arial" w:eastAsia="Arial" w:hAnsi="Arial"/>
          <w:sz w:val="17"/>
          <w:szCs w:val="17"/>
          <w:color w:val="auto"/>
        </w:rPr>
        <w:t>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2018 and 2017, the Company has recorded a full valuation allowance.</w:t>
      </w:r>
    </w:p>
    <w:p>
      <w:pPr>
        <w:spacing w:after="0" w:line="93"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Reserves are provided for tax benefits for which realization is uncertain. Such benefits are only recognized when the underlying tax position is considered more-likely-than-not to be sustained on examination by a taxing authority, assuming they possess full knowledge of the position and facts. Interest and penalties related to uncertain tax positions are recognized in the provision of income taxes; however, the Company currently has no interest or penalties related to uncertain income tax benefits.</w:t>
      </w:r>
    </w:p>
    <w:p>
      <w:pPr>
        <w:spacing w:after="0" w:line="89"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The Tax Cuts and Jobs Act (the TCJA) was enacted on December 22, 2017. The TCJA reduces the U.S. federal corporate tax rate from a top rate of 35% to a flat rate of 21%. The Company continues to monitor for legislative developments, issuance of regulations and technical memorandum to provide further clarification and/or interpretations of the TCJA and will adjust its consolidated financial statements as needed.</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3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Company calculates basic and diluted net loss per share attributable to common stockholders in conformity with the two-class method required for participating securities. The Company considers its convertible preferred stock (Preferred Stock) to be participating securities as in the event a dividend is paid on common stock, the holders of Preferred Stock would be entitled to receive dividends on a basis consistent with the common stockholders. Under the two-class method, the net loss attributable to common stockholders is not allocated to the Preferred Stock as the holders of the Preferred Stock do not have a contractual obligation to share in losses.</w:t>
      </w:r>
    </w:p>
    <w:p>
      <w:pPr>
        <w:spacing w:after="0" w:line="93"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Under the two-class method, basic net loss per share attributable to common stockholders is computed by dividing the net loss attributable to common stockholders by the weighted average number of shares of common stock.</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Segment and geographic information</w:t>
      </w:r>
    </w:p>
    <w:p>
      <w:pPr>
        <w:spacing w:after="0" w:line="131"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operates in one segment in the United States. The Company’s chief executive officer, as the chief operating decision-maker, manages and allocates resources to the operations of the Company on a total company basis using consolidated financial information.</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Emerging growth company and smaller reporting company status</w:t>
      </w:r>
    </w:p>
    <w:p>
      <w:pPr>
        <w:spacing w:after="0" w:line="131"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89" w:lineRule="exact"/>
        <w:rPr>
          <w:sz w:val="20"/>
          <w:szCs w:val="20"/>
          <w:color w:val="auto"/>
        </w:rPr>
      </w:pPr>
    </w:p>
    <w:p>
      <w:pPr>
        <w:ind w:left="280" w:right="220"/>
        <w:spacing w:after="0" w:line="245" w:lineRule="auto"/>
        <w:rPr>
          <w:sz w:val="20"/>
          <w:szCs w:val="20"/>
          <w:color w:val="auto"/>
        </w:rPr>
      </w:pPr>
      <w:r>
        <w:rPr>
          <w:rFonts w:ascii="Arial" w:cs="Arial" w:eastAsia="Arial" w:hAnsi="Arial"/>
          <w:sz w:val="17"/>
          <w:szCs w:val="17"/>
          <w:color w:val="auto"/>
        </w:rPr>
        <w:t>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spacing w:after="0" w:line="1" w:lineRule="exact"/>
        <w:rPr>
          <w:sz w:val="20"/>
          <w:szCs w:val="20"/>
          <w:color w:val="auto"/>
        </w:rPr>
      </w:pPr>
    </w:p>
    <w:p>
      <w:pPr>
        <w:ind w:left="280" w:right="220" w:hanging="7"/>
        <w:spacing w:after="0" w:line="262" w:lineRule="auto"/>
        <w:tabs>
          <w:tab w:leader="none" w:pos="52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 Company’s consolidated financial statements may</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140"/>
          </w:cols>
          <w:pgMar w:left="240" w:top="455"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not be comparable to companies that comply with the new or revised accounting pronouncements as of public company effective dates.</w:t>
      </w:r>
    </w:p>
    <w:p>
      <w:pPr>
        <w:spacing w:after="0" w:line="111" w:lineRule="exact"/>
        <w:rPr>
          <w:sz w:val="20"/>
          <w:szCs w:val="20"/>
          <w:color w:val="auto"/>
        </w:rPr>
      </w:pPr>
    </w:p>
    <w:p>
      <w:pPr>
        <w:ind w:left="280" w:right="160"/>
        <w:spacing w:after="0" w:line="245" w:lineRule="auto"/>
        <w:rPr>
          <w:sz w:val="20"/>
          <w:szCs w:val="20"/>
          <w:color w:val="auto"/>
        </w:rPr>
      </w:pPr>
      <w:r>
        <w:rPr>
          <w:rFonts w:ascii="Arial" w:cs="Arial" w:eastAsia="Arial" w:hAnsi="Arial"/>
          <w:sz w:val="17"/>
          <w:szCs w:val="17"/>
          <w:color w:val="auto"/>
        </w:rPr>
        <w:t>The Company will remain an emerging growth company until the earliest of (i) the last day of the Company’s first fiscal year (a) following the fifth anniversary of the completion of this offering, (b) in which the Company has total annual gross revenues of at least $1.07 billion, or</w:t>
      </w:r>
    </w:p>
    <w:p>
      <w:pPr>
        <w:spacing w:after="0" w:line="1" w:lineRule="exact"/>
        <w:rPr>
          <w:sz w:val="20"/>
          <w:szCs w:val="20"/>
          <w:color w:val="auto"/>
        </w:rPr>
      </w:pPr>
    </w:p>
    <w:p>
      <w:pPr>
        <w:jc w:val="both"/>
        <w:ind w:left="280" w:right="120" w:hanging="7"/>
        <w:spacing w:after="0" w:line="253" w:lineRule="auto"/>
        <w:tabs>
          <w:tab w:leader="none" w:pos="53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when the Company is deemed to be a large accelerated filer, which means the market value of the Company’s common stock that is held by non-affiliates exceeds $700.0 million as of the prior June 30</w:t>
      </w:r>
      <w:r>
        <w:rPr>
          <w:rFonts w:ascii="Arial" w:cs="Arial" w:eastAsia="Arial" w:hAnsi="Arial"/>
          <w:sz w:val="11"/>
          <w:szCs w:val="11"/>
          <w:color w:val="auto"/>
        </w:rPr>
        <w:t>th</w:t>
      </w:r>
      <w:r>
        <w:rPr>
          <w:rFonts w:ascii="Arial" w:cs="Arial" w:eastAsia="Arial" w:hAnsi="Arial"/>
          <w:sz w:val="17"/>
          <w:szCs w:val="17"/>
          <w:color w:val="auto"/>
        </w:rPr>
        <w:t xml:space="preserve"> and (ii) the date on which the Company has issued more than $1.0 billion in non-convertible debt securities during the prior three-year period.</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 Company is also a “smaller reporting company,” meaning that in the event of an initial public offering the market value of its stock held by non-affiliates plus the proposed aggregate amount of gross proceeds to the Company as a result of such offering is less than $700 million and its annual revenue is less than $100 million during the most recently completed fiscal year. The Company may continue to be a smaller reporting company as long as either (i) the market value of its stock held by non-affiliates is less than $250 million or (ii) its annual revenue is less than $100 million during the most recently completed fiscal year and the market value of its stock held by non-affiliates is less than $700 million. If the Company is a smaller reporting company at the time it ceases to be an emerging growth company, the Company may continue to rely on exemptions from certain disclosure requirements that are available to smaller reporting companies. Specifically, as a smaller reporting company, the Company may choose to present only the two most recent fiscal years of audited financial statements in its Annual Report on Form 10-K and, similar to emerging growth companies, smaller reporting companies have reduced disclosure obligations regarding executive compensation.</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3" w:lineRule="exact"/>
        <w:rPr>
          <w:sz w:val="20"/>
          <w:szCs w:val="20"/>
          <w:color w:val="auto"/>
        </w:rPr>
      </w:pPr>
    </w:p>
    <w:p>
      <w:pPr>
        <w:ind w:left="280" w:right="280"/>
        <w:spacing w:after="0" w:line="252"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(Topic 718): </w:t>
      </w:r>
      <w:r>
        <w:rPr>
          <w:rFonts w:ascii="Arial" w:cs="Arial" w:eastAsia="Arial" w:hAnsi="Arial"/>
          <w:sz w:val="17"/>
          <w:szCs w:val="17"/>
          <w:i w:val="1"/>
          <w:iCs w:val="1"/>
          <w:color w:val="auto"/>
        </w:rPr>
        <w:t>Scope of Modification Accounting</w:t>
      </w:r>
      <w:r>
        <w:rPr>
          <w:rFonts w:ascii="Arial" w:cs="Arial" w:eastAsia="Arial" w:hAnsi="Arial"/>
          <w:sz w:val="17"/>
          <w:szCs w:val="17"/>
          <w:color w:val="auto"/>
        </w:rPr>
        <w:t>, which provides guidance about which changes to the terms or conditions of a share-based payment award require an entity to apply modification accounting in Topic 718. The amendments in this ASU should be applied prospectively to an award modified on or after the adoption date.</w:t>
      </w:r>
    </w:p>
    <w:p>
      <w:pPr>
        <w:spacing w:after="0" w:line="2" w:lineRule="exact"/>
        <w:rPr>
          <w:sz w:val="20"/>
          <w:szCs w:val="20"/>
          <w:color w:val="auto"/>
        </w:rPr>
      </w:pPr>
    </w:p>
    <w:p>
      <w:pPr>
        <w:ind w:left="280" w:right="20"/>
        <w:spacing w:after="0" w:line="262" w:lineRule="auto"/>
        <w:rPr>
          <w:sz w:val="20"/>
          <w:szCs w:val="20"/>
          <w:color w:val="auto"/>
        </w:rPr>
      </w:pPr>
      <w:r>
        <w:rPr>
          <w:rFonts w:ascii="Arial" w:cs="Arial" w:eastAsia="Arial" w:hAnsi="Arial"/>
          <w:sz w:val="17"/>
          <w:szCs w:val="17"/>
          <w:color w:val="auto"/>
        </w:rPr>
        <w:t>The Company adopted ASU 2017-09 effective January 1, 2018, and the adoption of ASU 2017-09 did not impact the Company’s consolidated financial statements or financial statement disclosures.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3"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with guidance regarding the accounting for and disclosure of leases. The update requires lessees to recognize all leases, including operating leases, with a term greater than 12 months on the consolidated balance sheet. This update also requires lessees and lessors to disclose key information about their leasing transactions. This guidance will be effective for public companies for annual and interim periods beginning after December 15, 2018. For all other entities, this standard is effective for annual reporting periods beginning after December 15, 2019, and interim periods within annual periods beginning after December 15, 2020. The Company will adopt this standard on January 1, 2020. While the Company expects the implementation of ASU 2016-02 to result in the recognition of right-of-use assets and lease liabilities for leased facilities, the Company is still evaluating the impact that the adoption of ASU 2016-2 will have on its consolidated financial statements.</w:t>
      </w:r>
    </w:p>
    <w:p>
      <w:pPr>
        <w:spacing w:after="0" w:line="71"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Distinguishing Liabilities from Equity (Topic 480) and Derivatives and Hedging (Topic 815): </w:t>
      </w:r>
      <w:r>
        <w:rPr>
          <w:rFonts w:ascii="Arial" w:cs="Arial" w:eastAsia="Arial" w:hAnsi="Arial"/>
          <w:sz w:val="17"/>
          <w:szCs w:val="17"/>
          <w:i w:val="1"/>
          <w:iCs w:val="1"/>
          <w:color w:val="auto"/>
        </w:rPr>
        <w:t>I. Accounting for Certain Financial Instruments with Down Round Features; II. Replacement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 Part I of this update addresses the complexity of accounting for certain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Down round features are features of certain equity-linked instruments (or embedded features) that result in the strike price being reduced on the basis of the pricing of future equity offerings. Current accounting</w:t>
      </w:r>
    </w:p>
    <w:p>
      <w:pPr>
        <w:spacing w:after="0" w:line="12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140"/>
          </w:cols>
          <w:pgMar w:left="240" w:top="455"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For public business entities, the amendments in Part I of ASU-2017-11 are effective for fiscal years and interim periods within those years beginning after December 15, 2018. For all other entities, the amendments in Part I of this update are effective for fiscal years beginning after December 15, 2019, and interim periods within fiscal years beginning after December 15, 2020. The Company intends to adopt Part I of this update on January 1, 2020. Early adoption is permitted for all entities, including adoption in an interim period. The Company is currently assessing the potential impact of adopting ASU 2017-11 on its consolidated financial statements and financial statement disclosures.</w:t>
      </w:r>
    </w:p>
    <w:p>
      <w:pPr>
        <w:spacing w:after="0" w:line="76"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This ASU removed the following disclosure requirements: (1) the amount of and reasons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will be effective for all entities, for fiscal years beginning after December 15, 2019 with early adoption permitted. The Company intends to adopt this standard on January 1, 2020 and does not expect that the adoption of this update will have a material impact on its consolidated financial statements.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3. Fair value measurements</w:t>
      </w:r>
    </w:p>
    <w:p>
      <w:pPr>
        <w:spacing w:after="0" w:line="141" w:lineRule="exact"/>
        <w:rPr>
          <w:sz w:val="20"/>
          <w:szCs w:val="20"/>
          <w:color w:val="auto"/>
        </w:rPr>
      </w:pPr>
    </w:p>
    <w:p>
      <w:pPr>
        <w:jc w:val="both"/>
        <w:ind w:left="280" w:right="40"/>
        <w:spacing w:after="0" w:line="262" w:lineRule="auto"/>
        <w:rPr>
          <w:sz w:val="20"/>
          <w:szCs w:val="20"/>
          <w:color w:val="auto"/>
        </w:rPr>
      </w:pPr>
      <w:r>
        <w:rPr>
          <w:rFonts w:ascii="Arial" w:cs="Arial" w:eastAsia="Arial" w:hAnsi="Arial"/>
          <w:sz w:val="17"/>
          <w:szCs w:val="17"/>
          <w:color w:val="auto"/>
        </w:rPr>
        <w:t>There were no assets or liabilities carried at fair value on a recurring basis as of December 31, 2018. As of December 31, 2017, the Company had a $3,000 Simple Agreement for Future Equity (SAFE) obligation, which represents a Level 3 measurement within the fair value hierarchy.</w:t>
      </w:r>
    </w:p>
    <w:p>
      <w:pPr>
        <w:spacing w:after="0" w:line="80" w:lineRule="exact"/>
        <w:rPr>
          <w:sz w:val="20"/>
          <w:szCs w:val="20"/>
          <w:color w:val="auto"/>
        </w:rPr>
      </w:pPr>
    </w:p>
    <w:p>
      <w:pPr>
        <w:ind w:left="280" w:right="300"/>
        <w:spacing w:after="0" w:line="262"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Fair value measurements as of</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4585335</wp:posOffset>
            </wp:positionH>
            <wp:positionV relativeFrom="paragraph">
              <wp:posOffset>635</wp:posOffset>
            </wp:positionV>
            <wp:extent cx="24638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35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Level 1</w:t>
            </w:r>
          </w:p>
        </w:tc>
        <w:tc>
          <w:tcPr>
            <w:tcW w:w="10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b w:val="1"/>
                <w:bCs w:val="1"/>
                <w:color w:val="auto"/>
              </w:rPr>
              <w:t>Level 2</w:t>
            </w:r>
          </w:p>
        </w:tc>
        <w:tc>
          <w:tcPr>
            <w:tcW w:w="10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b w:val="1"/>
                <w:bCs w:val="1"/>
                <w:color w:val="auto"/>
              </w:rPr>
              <w:t>Level 3</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47"/>
        </w:trPr>
        <w:tc>
          <w:tcPr>
            <w:tcW w:w="3520" w:type="dxa"/>
            <w:vAlign w:val="bottom"/>
          </w:tcPr>
          <w:p>
            <w:pPr>
              <w:spacing w:after="0"/>
              <w:rPr>
                <w:sz w:val="4"/>
                <w:szCs w:val="4"/>
                <w:color w:val="auto"/>
              </w:rPr>
            </w:pPr>
          </w:p>
        </w:tc>
        <w:tc>
          <w:tcPr>
            <w:tcW w:w="3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3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352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3420" w:type="dxa"/>
            <w:vAlign w:val="bottom"/>
          </w:tcPr>
          <w:p>
            <w:pPr>
              <w:spacing w:after="0"/>
              <w:rPr>
                <w:sz w:val="17"/>
                <w:szCs w:val="17"/>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$105,399</w:t>
            </w:r>
          </w:p>
        </w:tc>
        <w:tc>
          <w:tcPr>
            <w:tcW w:w="4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$105,399</w:t>
            </w:r>
          </w:p>
        </w:tc>
        <w:tc>
          <w:tcPr>
            <w:tcW w:w="60" w:type="dxa"/>
            <w:vAlign w:val="bottom"/>
          </w:tcPr>
          <w:p>
            <w:pPr>
              <w:spacing w:after="0"/>
              <w:rPr>
                <w:sz w:val="17"/>
                <w:szCs w:val="17"/>
                <w:color w:val="auto"/>
              </w:rPr>
            </w:pPr>
          </w:p>
        </w:tc>
      </w:tr>
      <w:tr>
        <w:trPr>
          <w:trHeight w:val="200"/>
        </w:trPr>
        <w:tc>
          <w:tcPr>
            <w:tcW w:w="3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434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$105,399</w:t>
            </w:r>
          </w:p>
        </w:tc>
        <w:tc>
          <w:tcPr>
            <w:tcW w:w="4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$105,399</w:t>
            </w:r>
          </w:p>
        </w:tc>
        <w:tc>
          <w:tcPr>
            <w:tcW w:w="60" w:type="dxa"/>
            <w:vAlign w:val="bottom"/>
            <w:shd w:val="clear" w:color="auto" w:fill="CCEEFF"/>
          </w:tcPr>
          <w:p>
            <w:pPr>
              <w:spacing w:after="0"/>
              <w:rPr>
                <w:sz w:val="17"/>
                <w:szCs w:val="17"/>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3520" w:type="dxa"/>
            <w:vAlign w:val="bottom"/>
          </w:tcPr>
          <w:p>
            <w:pPr>
              <w:spacing w:after="0"/>
              <w:rPr>
                <w:sz w:val="24"/>
                <w:szCs w:val="24"/>
                <w:color w:val="auto"/>
              </w:rPr>
            </w:pPr>
          </w:p>
        </w:tc>
        <w:tc>
          <w:tcPr>
            <w:tcW w:w="4340" w:type="dxa"/>
            <w:vAlign w:val="bottom"/>
            <w:gridSpan w:val="2"/>
          </w:tcPr>
          <w:p>
            <w:pPr>
              <w:jc w:val="right"/>
              <w:ind w:right="2153"/>
              <w:spacing w:after="0"/>
              <w:rPr>
                <w:sz w:val="20"/>
                <w:szCs w:val="20"/>
                <w:color w:val="auto"/>
              </w:rPr>
            </w:pPr>
            <w:r>
              <w:rPr>
                <w:rFonts w:ascii="Arial" w:cs="Arial" w:eastAsia="Arial" w:hAnsi="Arial"/>
                <w:sz w:val="17"/>
                <w:szCs w:val="17"/>
                <w:color w:val="auto"/>
              </w:rPr>
              <w:t>F-13</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201930</wp:posOffset>
            </wp:positionV>
            <wp:extent cx="690943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345"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Fair value measurements as of</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635</wp:posOffset>
            </wp:positionV>
            <wp:extent cx="2218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7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Level 1</w:t>
            </w:r>
          </w:p>
        </w:tc>
        <w:tc>
          <w:tcPr>
            <w:tcW w:w="10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7"/>
                <w:szCs w:val="17"/>
                <w:b w:val="1"/>
                <w:bCs w:val="1"/>
                <w:color w:val="auto"/>
              </w:rPr>
              <w:t>Level 2</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Level 3</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47"/>
        </w:trPr>
        <w:tc>
          <w:tcPr>
            <w:tcW w:w="7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732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1,797</w:t>
            </w: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$1,797</w:t>
            </w:r>
          </w:p>
        </w:tc>
        <w:tc>
          <w:tcPr>
            <w:tcW w:w="60" w:type="dxa"/>
            <w:vAlign w:val="bottom"/>
          </w:tcPr>
          <w:p>
            <w:pPr>
              <w:spacing w:after="0"/>
              <w:rPr>
                <w:sz w:val="17"/>
                <w:szCs w:val="17"/>
                <w:color w:val="auto"/>
              </w:rPr>
            </w:pPr>
          </w:p>
        </w:tc>
      </w:tr>
      <w:tr>
        <w:trPr>
          <w:trHeight w:val="200"/>
        </w:trPr>
        <w:tc>
          <w:tcPr>
            <w:tcW w:w="73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1,797</w:t>
            </w:r>
          </w:p>
        </w:tc>
        <w:tc>
          <w:tcPr>
            <w:tcW w:w="4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60" w:type="dxa"/>
            <w:vAlign w:val="bottom"/>
            <w:shd w:val="clear" w:color="auto" w:fill="CCEEFF"/>
          </w:tcPr>
          <w:p>
            <w:pPr>
              <w:spacing w:after="0"/>
              <w:rPr>
                <w:sz w:val="17"/>
                <w:szCs w:val="17"/>
                <w:color w:val="auto"/>
              </w:rPr>
            </w:pPr>
          </w:p>
        </w:tc>
      </w:tr>
      <w:tr>
        <w:trPr>
          <w:trHeight w:val="273"/>
        </w:trPr>
        <w:tc>
          <w:tcPr>
            <w:tcW w:w="7320" w:type="dxa"/>
            <w:vAlign w:val="bottom"/>
          </w:tcPr>
          <w:p>
            <w:pPr>
              <w:spacing w:after="0"/>
              <w:rPr>
                <w:sz w:val="20"/>
                <w:szCs w:val="20"/>
                <w:color w:val="auto"/>
              </w:rPr>
            </w:pPr>
            <w:r>
              <w:rPr>
                <w:rFonts w:ascii="Arial" w:cs="Arial" w:eastAsia="Arial" w:hAnsi="Arial"/>
                <w:sz w:val="17"/>
                <w:szCs w:val="17"/>
                <w:color w:val="auto"/>
              </w:rPr>
              <w:t>Debt:</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0"/>
        </w:trPr>
        <w:tc>
          <w:tcPr>
            <w:tcW w:w="7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Simple agreement for future equity</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3,000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60" w:type="dxa"/>
            <w:vAlign w:val="bottom"/>
            <w:shd w:val="clear" w:color="auto" w:fill="CCEEFF"/>
          </w:tcPr>
          <w:p>
            <w:pPr>
              <w:spacing w:after="0"/>
              <w:rPr>
                <w:sz w:val="17"/>
                <w:szCs w:val="17"/>
                <w:color w:val="auto"/>
              </w:rPr>
            </w:pPr>
          </w:p>
        </w:tc>
      </w:tr>
      <w:tr>
        <w:trPr>
          <w:trHeight w:val="219"/>
        </w:trPr>
        <w:tc>
          <w:tcPr>
            <w:tcW w:w="732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19"/>
                <w:szCs w:val="19"/>
                <w:color w:val="auto"/>
              </w:rPr>
            </w:pPr>
          </w:p>
        </w:tc>
      </w:tr>
    </w:tbl>
    <w:p>
      <w:pPr>
        <w:spacing w:after="0" w:line="110"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The Company’s assets with fair value categorized as Level 1 within the fair value hierarchy include money market funds. Money market funds are publicly traded mutual funds and are presented as cash equivalents on the consolidated balance sheets as of December 31, 2018 and 2017.</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a roll-forward of the fair value of the SAFE for which fair value is determined by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 2017</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6880" w:type="dxa"/>
            <w:vAlign w:val="bottom"/>
          </w:tcPr>
          <w:p>
            <w:pPr>
              <w:spacing w:after="0"/>
              <w:rPr>
                <w:sz w:val="20"/>
                <w:szCs w:val="20"/>
                <w:color w:val="auto"/>
              </w:rPr>
            </w:pPr>
            <w:r>
              <w:rPr>
                <w:rFonts w:ascii="Arial" w:cs="Arial" w:eastAsia="Arial" w:hAnsi="Arial"/>
                <w:sz w:val="17"/>
                <w:szCs w:val="17"/>
                <w:color w:val="auto"/>
              </w:rPr>
              <w:t>Initial fair value</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7"/>
                <w:szCs w:val="17"/>
                <w:color w:val="auto"/>
              </w:rPr>
            </w:pPr>
          </w:p>
        </w:tc>
      </w:tr>
      <w:tr>
        <w:trPr>
          <w:trHeight w:val="20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Fair value adjustment</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7"/>
        </w:trPr>
        <w:tc>
          <w:tcPr>
            <w:tcW w:w="6880" w:type="dxa"/>
            <w:vAlign w:val="bottom"/>
          </w:tcPr>
          <w:p>
            <w:pPr>
              <w:spacing w:after="0"/>
              <w:rPr>
                <w:sz w:val="20"/>
                <w:szCs w:val="20"/>
                <w:color w:val="auto"/>
              </w:rPr>
            </w:pPr>
            <w:r>
              <w:rPr>
                <w:rFonts w:ascii="Arial" w:cs="Arial" w:eastAsia="Arial" w:hAnsi="Arial"/>
                <w:sz w:val="17"/>
                <w:szCs w:val="17"/>
                <w:color w:val="auto"/>
              </w:rPr>
              <w:t>Balance as of December 31, 2017</w:t>
            </w:r>
          </w:p>
        </w:tc>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7"/>
                <w:szCs w:val="17"/>
                <w:color w:val="auto"/>
              </w:rPr>
            </w:pPr>
          </w:p>
        </w:tc>
      </w:tr>
      <w:tr>
        <w:trPr>
          <w:trHeight w:val="20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Fair value adjustment</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6880" w:type="dxa"/>
            <w:vAlign w:val="bottom"/>
          </w:tcPr>
          <w:p>
            <w:pPr>
              <w:spacing w:after="0"/>
              <w:rPr>
                <w:sz w:val="20"/>
                <w:szCs w:val="20"/>
                <w:color w:val="auto"/>
              </w:rPr>
            </w:pPr>
            <w:r>
              <w:rPr>
                <w:rFonts w:ascii="Arial" w:cs="Arial" w:eastAsia="Arial" w:hAnsi="Arial"/>
                <w:sz w:val="17"/>
                <w:szCs w:val="17"/>
                <w:color w:val="auto"/>
              </w:rPr>
              <w:t>Conversion into Preferred Stock, January 2018</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(3,000)</w:t>
            </w:r>
          </w:p>
        </w:tc>
      </w:tr>
      <w:tr>
        <w:trPr>
          <w:trHeight w:val="27"/>
        </w:trPr>
        <w:tc>
          <w:tcPr>
            <w:tcW w:w="68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2018</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0"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Fair value of the SAFE on issuance was determined to be equal to the proceeds received. Fair value of the SAFE on conversion into Preferred Stock (see Notes 6 and 8) was determined to be equal to the fair value of the 788,042 Preferred Stock received ($3,000). Given the proximity of the conversion of the SAFE to the financial reporting period end, the fair value of the SAFE as of December 31, 2017 was also determined to be equal to the fair value of the Preferred Stock, of $3,000, received on conversion.</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There were no transfers among Level 1, Level 2, or Level 3 categories in the periods presented.</w:t>
      </w:r>
    </w:p>
    <w:p>
      <w:pPr>
        <w:spacing w:after="0" w:line="111" w:lineRule="exact"/>
        <w:rPr>
          <w:sz w:val="20"/>
          <w:szCs w:val="20"/>
          <w:color w:val="auto"/>
        </w:rPr>
      </w:pPr>
    </w:p>
    <w:p>
      <w:pPr>
        <w:ind w:left="280" w:right="140"/>
        <w:spacing w:after="0" w:line="262" w:lineRule="auto"/>
        <w:rPr>
          <w:sz w:val="20"/>
          <w:szCs w:val="20"/>
          <w:color w:val="auto"/>
        </w:rPr>
      </w:pPr>
      <w:r>
        <w:rPr>
          <w:rFonts w:ascii="Arial" w:cs="Arial" w:eastAsia="Arial" w:hAnsi="Arial"/>
          <w:sz w:val="17"/>
          <w:szCs w:val="17"/>
          <w:color w:val="auto"/>
        </w:rPr>
        <w:t>The carrying value of cash, cash equivalents, accounts payable and accrued expenses that are reported on the consolidated balance sheets approximate their fair value due to the short-term nature of these assets and liabilities.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4. Property and equipment, net</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Property, and equipment,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38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As of December 31,</w:t>
            </w:r>
          </w:p>
        </w:tc>
      </w:tr>
      <w:tr>
        <w:trPr>
          <w:trHeight w:val="20"/>
        </w:trPr>
        <w:tc>
          <w:tcPr>
            <w:tcW w:w="3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382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2018</w:t>
            </w: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2017</w:t>
            </w:r>
          </w:p>
        </w:tc>
      </w:tr>
      <w:tr>
        <w:trPr>
          <w:trHeight w:val="193"/>
        </w:trPr>
        <w:tc>
          <w:tcPr>
            <w:tcW w:w="3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Laboratory equipment</w:t>
            </w:r>
          </w:p>
        </w:tc>
        <w:tc>
          <w:tcPr>
            <w:tcW w:w="51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93"/>
              <w:spacing w:after="0" w:line="194" w:lineRule="exact"/>
              <w:rPr>
                <w:sz w:val="20"/>
                <w:szCs w:val="20"/>
                <w:color w:val="auto"/>
              </w:rPr>
            </w:pPr>
            <w:r>
              <w:rPr>
                <w:rFonts w:ascii="Arial" w:cs="Arial" w:eastAsia="Arial" w:hAnsi="Arial"/>
                <w:sz w:val="17"/>
                <w:szCs w:val="17"/>
                <w:color w:val="auto"/>
              </w:rPr>
              <w:t>1,485</w:t>
            </w:r>
          </w:p>
        </w:tc>
        <w:tc>
          <w:tcPr>
            <w:tcW w:w="46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583</w:t>
            </w:r>
          </w:p>
        </w:tc>
        <w:tc>
          <w:tcPr>
            <w:tcW w:w="120" w:type="dxa"/>
            <w:vAlign w:val="bottom"/>
            <w:shd w:val="clear" w:color="auto" w:fill="CCEEFF"/>
          </w:tcPr>
          <w:p>
            <w:pPr>
              <w:spacing w:after="0"/>
              <w:rPr>
                <w:sz w:val="16"/>
                <w:szCs w:val="16"/>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7"/>
                <w:szCs w:val="17"/>
                <w:color w:val="auto"/>
              </w:rPr>
            </w:pPr>
          </w:p>
        </w:tc>
      </w:tr>
      <w:tr>
        <w:trPr>
          <w:trHeight w:val="200"/>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4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7"/>
                <w:szCs w:val="17"/>
                <w:color w:val="auto"/>
              </w:rPr>
              <w:t>Office equipment</w:t>
            </w:r>
          </w:p>
        </w:tc>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3"/>
              <w:spacing w:after="0"/>
              <w:rPr>
                <w:sz w:val="20"/>
                <w:szCs w:val="20"/>
                <w:color w:val="auto"/>
              </w:rPr>
            </w:pPr>
            <w:r>
              <w:rPr>
                <w:rFonts w:ascii="Arial" w:cs="Arial" w:eastAsia="Arial" w:hAnsi="Arial"/>
                <w:sz w:val="17"/>
                <w:szCs w:val="17"/>
                <w:color w:val="auto"/>
              </w:rPr>
              <w:t>70</w:t>
            </w:r>
          </w:p>
        </w:tc>
        <w:tc>
          <w:tcPr>
            <w:tcW w:w="4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7"/>
                <w:szCs w:val="17"/>
                <w:color w:val="auto"/>
              </w:rPr>
            </w:pPr>
          </w:p>
        </w:tc>
      </w:tr>
      <w:tr>
        <w:trPr>
          <w:trHeight w:val="200"/>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4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16</w:t>
            </w:r>
          </w:p>
        </w:tc>
        <w:tc>
          <w:tcPr>
            <w:tcW w:w="4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7"/>
        </w:trPr>
        <w:tc>
          <w:tcPr>
            <w:tcW w:w="38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rPr>
              <w:t>1,571</w:t>
            </w:r>
          </w:p>
        </w:tc>
        <w:tc>
          <w:tcPr>
            <w:tcW w:w="4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645</w:t>
            </w:r>
          </w:p>
        </w:tc>
        <w:tc>
          <w:tcPr>
            <w:tcW w:w="120" w:type="dxa"/>
            <w:vAlign w:val="bottom"/>
          </w:tcPr>
          <w:p>
            <w:pPr>
              <w:spacing w:after="0"/>
              <w:rPr>
                <w:sz w:val="17"/>
                <w:szCs w:val="17"/>
                <w:color w:val="auto"/>
              </w:rPr>
            </w:pPr>
          </w:p>
        </w:tc>
      </w:tr>
      <w:tr>
        <w:trPr>
          <w:trHeight w:val="200"/>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4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(379)</w:t>
            </w:r>
          </w:p>
        </w:tc>
        <w:tc>
          <w:tcPr>
            <w:tcW w:w="4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(172)</w:t>
            </w:r>
          </w:p>
        </w:tc>
      </w:tr>
      <w:tr>
        <w:trPr>
          <w:trHeight w:val="20"/>
        </w:trPr>
        <w:tc>
          <w:tcPr>
            <w:tcW w:w="3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3820" w:type="dxa"/>
            <w:vAlign w:val="bottom"/>
            <w:tcBorders>
              <w:bottom w:val="single" w:sz="8" w:color="auto"/>
            </w:tcBorders>
          </w:tcPr>
          <w:p>
            <w:pPr>
              <w:spacing w:after="0"/>
              <w:rPr>
                <w:sz w:val="19"/>
                <w:szCs w:val="19"/>
                <w:color w:val="auto"/>
              </w:rPr>
            </w:pPr>
          </w:p>
        </w:tc>
        <w:tc>
          <w:tcPr>
            <w:tcW w:w="5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1,192</w:t>
            </w: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120" w:type="dxa"/>
            <w:vAlign w:val="bottom"/>
          </w:tcPr>
          <w:p>
            <w:pPr>
              <w:spacing w:after="0"/>
              <w:rPr>
                <w:sz w:val="19"/>
                <w:szCs w:val="19"/>
                <w:color w:val="auto"/>
              </w:rPr>
            </w:pPr>
          </w:p>
        </w:tc>
      </w:tr>
      <w:tr>
        <w:trPr>
          <w:trHeight w:val="353"/>
        </w:trPr>
        <w:tc>
          <w:tcPr>
            <w:tcW w:w="3820" w:type="dxa"/>
            <w:vAlign w:val="bottom"/>
          </w:tcPr>
          <w:p>
            <w:pPr>
              <w:spacing w:after="0"/>
              <w:rPr>
                <w:sz w:val="24"/>
                <w:szCs w:val="24"/>
                <w:color w:val="auto"/>
              </w:rPr>
            </w:pPr>
          </w:p>
        </w:tc>
        <w:tc>
          <w:tcPr>
            <w:tcW w:w="5160" w:type="dxa"/>
            <w:vAlign w:val="bottom"/>
            <w:gridSpan w:val="2"/>
          </w:tcPr>
          <w:p>
            <w:pPr>
              <w:jc w:val="right"/>
              <w:ind w:right="3360"/>
              <w:spacing w:after="0"/>
              <w:rPr>
                <w:sz w:val="20"/>
                <w:szCs w:val="20"/>
                <w:color w:val="auto"/>
              </w:rPr>
            </w:pPr>
            <w:r>
              <w:rPr>
                <w:rFonts w:ascii="Arial" w:cs="Arial" w:eastAsia="Arial" w:hAnsi="Arial"/>
                <w:sz w:val="17"/>
                <w:szCs w:val="17"/>
                <w:color w:val="auto"/>
              </w:rPr>
              <w:t>F-14</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Depreciation expense was $214 and $113 for the years ended December 31, 2018 and 2017, respectively.</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5. Accrued and other current liabilities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Accrued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8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4"/>
          </w:tcPr>
          <w:p>
            <w:pPr>
              <w:jc w:val="right"/>
              <w:ind w:right="60"/>
              <w:spacing w:after="0"/>
              <w:rPr>
                <w:sz w:val="20"/>
                <w:szCs w:val="20"/>
                <w:color w:val="auto"/>
              </w:rPr>
            </w:pPr>
            <w:r>
              <w:rPr>
                <w:rFonts w:ascii="Arial" w:cs="Arial" w:eastAsia="Arial" w:hAnsi="Arial"/>
                <w:sz w:val="17"/>
                <w:szCs w:val="17"/>
                <w:b w:val="1"/>
                <w:bCs w:val="1"/>
                <w:color w:val="auto"/>
              </w:rPr>
              <w:t>As of December 31,</w:t>
            </w:r>
          </w:p>
        </w:tc>
      </w:tr>
      <w:tr>
        <w:trPr>
          <w:trHeight w:val="20"/>
        </w:trPr>
        <w:tc>
          <w:tcPr>
            <w:tcW w:w="8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8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2018</w:t>
            </w: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2017</w:t>
            </w:r>
          </w:p>
        </w:tc>
      </w:tr>
      <w:tr>
        <w:trPr>
          <w:trHeight w:val="193"/>
        </w:trPr>
        <w:tc>
          <w:tcPr>
            <w:tcW w:w="8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Accrued employee compensation costs</w:t>
            </w:r>
          </w:p>
        </w:tc>
        <w:tc>
          <w:tcPr>
            <w:tcW w:w="20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53"/>
              <w:spacing w:after="0" w:line="194" w:lineRule="exact"/>
              <w:rPr>
                <w:sz w:val="20"/>
                <w:szCs w:val="20"/>
                <w:color w:val="auto"/>
              </w:rPr>
            </w:pPr>
            <w:r>
              <w:rPr>
                <w:rFonts w:ascii="Arial" w:cs="Arial" w:eastAsia="Arial" w:hAnsi="Arial"/>
                <w:sz w:val="17"/>
                <w:szCs w:val="17"/>
                <w:color w:val="auto"/>
              </w:rPr>
              <w:t>901</w:t>
            </w:r>
          </w:p>
        </w:tc>
        <w:tc>
          <w:tcPr>
            <w:tcW w:w="46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382</w:t>
            </w:r>
          </w:p>
        </w:tc>
        <w:tc>
          <w:tcPr>
            <w:tcW w:w="60" w:type="dxa"/>
            <w:vAlign w:val="bottom"/>
            <w:shd w:val="clear" w:color="auto" w:fill="CCEEFF"/>
          </w:tcPr>
          <w:p>
            <w:pPr>
              <w:spacing w:after="0"/>
              <w:rPr>
                <w:sz w:val="16"/>
                <w:szCs w:val="16"/>
                <w:color w:val="auto"/>
              </w:rPr>
            </w:pPr>
          </w:p>
        </w:tc>
      </w:tr>
      <w:tr>
        <w:trPr>
          <w:trHeight w:val="200"/>
        </w:trPr>
        <w:tc>
          <w:tcPr>
            <w:tcW w:w="8880" w:type="dxa"/>
            <w:vAlign w:val="bottom"/>
          </w:tcPr>
          <w:p>
            <w:pPr>
              <w:spacing w:after="0"/>
              <w:rPr>
                <w:sz w:val="20"/>
                <w:szCs w:val="20"/>
                <w:color w:val="auto"/>
              </w:rPr>
            </w:pPr>
            <w:r>
              <w:rPr>
                <w:rFonts w:ascii="Arial" w:cs="Arial" w:eastAsia="Arial" w:hAnsi="Arial"/>
                <w:sz w:val="17"/>
                <w:szCs w:val="17"/>
                <w:color w:val="auto"/>
              </w:rPr>
              <w:t>Accrued professional</w:t>
            </w:r>
          </w:p>
        </w:tc>
        <w:tc>
          <w:tcPr>
            <w:tcW w:w="200" w:type="dxa"/>
            <w:vAlign w:val="bottom"/>
          </w:tcPr>
          <w:p>
            <w:pPr>
              <w:spacing w:after="0"/>
              <w:rPr>
                <w:sz w:val="17"/>
                <w:szCs w:val="17"/>
                <w:color w:val="auto"/>
              </w:rPr>
            </w:pPr>
          </w:p>
        </w:tc>
        <w:tc>
          <w:tcPr>
            <w:tcW w:w="760" w:type="dxa"/>
            <w:vAlign w:val="bottom"/>
          </w:tcPr>
          <w:p>
            <w:pPr>
              <w:jc w:val="right"/>
              <w:ind w:right="153"/>
              <w:spacing w:after="0"/>
              <w:rPr>
                <w:sz w:val="20"/>
                <w:szCs w:val="20"/>
                <w:color w:val="auto"/>
              </w:rPr>
            </w:pPr>
            <w:r>
              <w:rPr>
                <w:rFonts w:ascii="Arial" w:cs="Arial" w:eastAsia="Arial" w:hAnsi="Arial"/>
                <w:sz w:val="17"/>
                <w:szCs w:val="17"/>
                <w:color w:val="auto"/>
              </w:rPr>
              <w:t>200</w:t>
            </w:r>
          </w:p>
        </w:tc>
        <w:tc>
          <w:tcPr>
            <w:tcW w:w="4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102</w:t>
            </w:r>
          </w:p>
        </w:tc>
        <w:tc>
          <w:tcPr>
            <w:tcW w:w="60" w:type="dxa"/>
            <w:vAlign w:val="bottom"/>
          </w:tcPr>
          <w:p>
            <w:pPr>
              <w:spacing w:after="0"/>
              <w:rPr>
                <w:sz w:val="17"/>
                <w:szCs w:val="17"/>
                <w:color w:val="auto"/>
              </w:rPr>
            </w:pPr>
          </w:p>
        </w:tc>
      </w:tr>
      <w:tr>
        <w:trPr>
          <w:trHeight w:val="200"/>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Accrued research and development costs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234</w:t>
            </w:r>
          </w:p>
        </w:tc>
        <w:tc>
          <w:tcPr>
            <w:tcW w:w="4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w:t>
            </w:r>
          </w:p>
        </w:tc>
      </w:tr>
      <w:tr>
        <w:trPr>
          <w:trHeight w:val="207"/>
        </w:trPr>
        <w:tc>
          <w:tcPr>
            <w:tcW w:w="8880" w:type="dxa"/>
            <w:vAlign w:val="bottom"/>
          </w:tcPr>
          <w:p>
            <w:pPr>
              <w:spacing w:after="0"/>
              <w:rPr>
                <w:sz w:val="20"/>
                <w:szCs w:val="20"/>
                <w:color w:val="auto"/>
              </w:rPr>
            </w:pPr>
            <w:r>
              <w:rPr>
                <w:rFonts w:ascii="Arial" w:cs="Arial" w:eastAsia="Arial" w:hAnsi="Arial"/>
                <w:sz w:val="17"/>
                <w:szCs w:val="17"/>
                <w:color w:val="auto"/>
              </w:rPr>
              <w:t>Accrued other</w:t>
            </w:r>
          </w:p>
        </w:tc>
        <w:tc>
          <w:tcPr>
            <w:tcW w:w="200" w:type="dxa"/>
            <w:vAlign w:val="bottom"/>
          </w:tcPr>
          <w:p>
            <w:pPr>
              <w:spacing w:after="0"/>
              <w:rPr>
                <w:sz w:val="17"/>
                <w:szCs w:val="17"/>
                <w:color w:val="auto"/>
              </w:rPr>
            </w:pPr>
          </w:p>
        </w:tc>
        <w:tc>
          <w:tcPr>
            <w:tcW w:w="760" w:type="dxa"/>
            <w:vAlign w:val="bottom"/>
          </w:tcPr>
          <w:p>
            <w:pPr>
              <w:jc w:val="right"/>
              <w:ind w:right="153"/>
              <w:spacing w:after="0"/>
              <w:rPr>
                <w:sz w:val="20"/>
                <w:szCs w:val="20"/>
                <w:color w:val="auto"/>
              </w:rPr>
            </w:pPr>
            <w:r>
              <w:rPr>
                <w:rFonts w:ascii="Arial" w:cs="Arial" w:eastAsia="Arial" w:hAnsi="Arial"/>
                <w:sz w:val="17"/>
                <w:szCs w:val="17"/>
                <w:color w:val="auto"/>
              </w:rPr>
              <w:t>61</w:t>
            </w:r>
          </w:p>
        </w:tc>
        <w:tc>
          <w:tcPr>
            <w:tcW w:w="4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00"/>
        </w:trPr>
        <w:tc>
          <w:tcPr>
            <w:tcW w:w="88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1,396</w:t>
            </w:r>
          </w:p>
        </w:tc>
        <w:tc>
          <w:tcPr>
            <w:tcW w:w="4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60" w:type="dxa"/>
            <w:vAlign w:val="bottom"/>
            <w:shd w:val="clear" w:color="auto" w:fill="CCEEFF"/>
          </w:tcPr>
          <w:p>
            <w:pPr>
              <w:spacing w:after="0"/>
              <w:rPr>
                <w:sz w:val="17"/>
                <w:szCs w:val="17"/>
                <w:color w:val="auto"/>
              </w:rPr>
            </w:pPr>
          </w:p>
        </w:tc>
      </w:tr>
      <w:tr>
        <w:trPr>
          <w:trHeight w:val="20"/>
        </w:trPr>
        <w:tc>
          <w:tcPr>
            <w:tcW w:w="8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6. Simple agreement for future equity</w:t>
      </w:r>
    </w:p>
    <w:p>
      <w:pPr>
        <w:spacing w:after="0" w:line="141" w:lineRule="exact"/>
        <w:rPr>
          <w:sz w:val="20"/>
          <w:szCs w:val="20"/>
          <w:color w:val="auto"/>
        </w:rPr>
      </w:pPr>
    </w:p>
    <w:p>
      <w:pPr>
        <w:ind w:left="280" w:right="120"/>
        <w:spacing w:after="0" w:line="248" w:lineRule="auto"/>
        <w:rPr>
          <w:sz w:val="20"/>
          <w:szCs w:val="20"/>
          <w:color w:val="auto"/>
        </w:rPr>
      </w:pPr>
      <w:r>
        <w:rPr>
          <w:rFonts w:ascii="Arial" w:cs="Arial" w:eastAsia="Arial" w:hAnsi="Arial"/>
          <w:sz w:val="17"/>
          <w:szCs w:val="17"/>
          <w:color w:val="auto"/>
        </w:rPr>
        <w:t>In October 2017, the Company entered into a simple agreement for future equity (the SAFE) with an investor, receiving $3,000 in exchange for the investor’s right to participate in a future equity financing. The SAFE contained a number of conversion and redemption provisions, including settlement upon liquidity or dissolution events. The Company elected the fair value option of accounting for the SAFE (see Note 3). Issue costs of $21 related to the SAFE were recorded as a general and administrative expense for the year ended December 31, 2017 in the accompanying consolidated statements of operations. In January 2018, the investor exercised its rights to convert the SAFE in connection with the Company’s equity financing (See Note 8) and exchanged the SAFE for 788,042 shares of Series A-2 convertible Preferred Stock (Series A-2 Preferred).</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7. Commitments and contingencies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Operating lease</w:t>
      </w:r>
    </w:p>
    <w:p>
      <w:pPr>
        <w:spacing w:after="0" w:line="131" w:lineRule="exact"/>
        <w:rPr>
          <w:sz w:val="20"/>
          <w:szCs w:val="20"/>
          <w:color w:val="auto"/>
        </w:rPr>
      </w:pPr>
    </w:p>
    <w:p>
      <w:pPr>
        <w:ind w:left="280" w:right="40"/>
        <w:spacing w:after="0" w:line="249" w:lineRule="auto"/>
        <w:rPr>
          <w:sz w:val="20"/>
          <w:szCs w:val="20"/>
          <w:color w:val="auto"/>
        </w:rPr>
      </w:pPr>
      <w:r>
        <w:rPr>
          <w:rFonts w:ascii="Arial" w:cs="Arial" w:eastAsia="Arial" w:hAnsi="Arial"/>
          <w:sz w:val="17"/>
          <w:szCs w:val="17"/>
          <w:color w:val="auto"/>
        </w:rPr>
        <w:t>In December 2015, the Company entered into an agreement to lease its facility under a non-cancellable operating lease that expires December 2019. The lease includes two renewal options, each for five-year terms and at fair market value upon exercise. The lease contains escalating rent clauses which require higher rent payments in future years. The Company expenses rent on a straight-line basis over the term of the lease. The lease was terminated by the Company, effective December 31, 2018, without early termination fees or any additional obligation to the landlord.</w:t>
      </w:r>
    </w:p>
    <w:p>
      <w:pPr>
        <w:spacing w:after="0" w:line="93"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In August 2018, the Company entered into an agreement to sublease approximately 23,000 square feet of space for a term of three years. Lease terms are triple net lease commencing at $886 per year, then with three percent annual base rent increases plus operating expenses, real estate taxes, utilities and janitorial fees. The lease commencement date was December 10, 2018.</w:t>
      </w:r>
    </w:p>
    <w:p>
      <w:pPr>
        <w:spacing w:after="0" w:line="89"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In December 2018, the Company entered into an agreement to lease 2,485 square feet of space for a term of three years. The lease includes one renewal option for an additional two years. Lease terms commence at $231 per annum, with 2.5% annual base rent increases plus operating expenses, real estate taxes, utilities and janitorial fees. The Company expects to occupy this space in the first half of 2019.</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December 31, 2018, the future minimum payments for operating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3140" w:type="dxa"/>
            <w:vAlign w:val="bottom"/>
            <w:shd w:val="clear" w:color="auto" w:fill="CCEEFF"/>
          </w:tcPr>
          <w:p>
            <w:pPr>
              <w:jc w:val="right"/>
              <w:ind w:right="2673"/>
              <w:spacing w:after="0"/>
              <w:rPr>
                <w:sz w:val="20"/>
                <w:szCs w:val="20"/>
                <w:color w:val="auto"/>
              </w:rPr>
            </w:pPr>
            <w:r>
              <w:rPr>
                <w:rFonts w:ascii="Arial" w:cs="Arial" w:eastAsia="Arial" w:hAnsi="Arial"/>
                <w:sz w:val="17"/>
                <w:szCs w:val="17"/>
                <w:color w:val="auto"/>
                <w:w w:val="95"/>
              </w:rPr>
              <w:t>2019</w:t>
            </w:r>
          </w:p>
        </w:tc>
        <w:tc>
          <w:tcPr>
            <w:tcW w:w="7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60" w:type="dxa"/>
            <w:vAlign w:val="bottom"/>
            <w:shd w:val="clear" w:color="auto" w:fill="CCEEFF"/>
          </w:tcPr>
          <w:p>
            <w:pPr>
              <w:spacing w:after="0"/>
              <w:rPr>
                <w:sz w:val="17"/>
                <w:szCs w:val="17"/>
                <w:color w:val="auto"/>
              </w:rPr>
            </w:pPr>
          </w:p>
        </w:tc>
      </w:tr>
      <w:tr>
        <w:trPr>
          <w:trHeight w:val="200"/>
        </w:trPr>
        <w:tc>
          <w:tcPr>
            <w:tcW w:w="3140" w:type="dxa"/>
            <w:vAlign w:val="bottom"/>
          </w:tcPr>
          <w:p>
            <w:pPr>
              <w:jc w:val="right"/>
              <w:ind w:right="2673"/>
              <w:spacing w:after="0"/>
              <w:rPr>
                <w:sz w:val="20"/>
                <w:szCs w:val="20"/>
                <w:color w:val="auto"/>
              </w:rPr>
            </w:pPr>
            <w:r>
              <w:rPr>
                <w:rFonts w:ascii="Arial" w:cs="Arial" w:eastAsia="Arial" w:hAnsi="Arial"/>
                <w:sz w:val="17"/>
                <w:szCs w:val="17"/>
                <w:color w:val="auto"/>
                <w:w w:val="95"/>
              </w:rPr>
              <w:t>2020</w:t>
            </w:r>
          </w:p>
        </w:tc>
        <w:tc>
          <w:tcPr>
            <w:tcW w:w="7680" w:type="dxa"/>
            <w:vAlign w:val="bottom"/>
            <w:gridSpan w:val="2"/>
          </w:tcPr>
          <w:p>
            <w:pPr>
              <w:jc w:val="right"/>
              <w:spacing w:after="0"/>
              <w:rPr>
                <w:sz w:val="20"/>
                <w:szCs w:val="20"/>
                <w:color w:val="auto"/>
              </w:rPr>
            </w:pPr>
            <w:r>
              <w:rPr>
                <w:rFonts w:ascii="Arial" w:cs="Arial" w:eastAsia="Arial" w:hAnsi="Arial"/>
                <w:sz w:val="17"/>
                <w:szCs w:val="17"/>
                <w:color w:val="auto"/>
              </w:rPr>
              <w:t>1,149</w:t>
            </w:r>
          </w:p>
        </w:tc>
        <w:tc>
          <w:tcPr>
            <w:tcW w:w="60" w:type="dxa"/>
            <w:vAlign w:val="bottom"/>
          </w:tcPr>
          <w:p>
            <w:pPr>
              <w:spacing w:after="0"/>
              <w:rPr>
                <w:sz w:val="17"/>
                <w:szCs w:val="17"/>
                <w:color w:val="auto"/>
              </w:rPr>
            </w:pPr>
          </w:p>
        </w:tc>
      </w:tr>
      <w:tr>
        <w:trPr>
          <w:trHeight w:val="200"/>
        </w:trPr>
        <w:tc>
          <w:tcPr>
            <w:tcW w:w="3140" w:type="dxa"/>
            <w:vAlign w:val="bottom"/>
            <w:shd w:val="clear" w:color="auto" w:fill="CCEEFF"/>
          </w:tcPr>
          <w:p>
            <w:pPr>
              <w:jc w:val="right"/>
              <w:ind w:right="2673"/>
              <w:spacing w:after="0"/>
              <w:rPr>
                <w:sz w:val="20"/>
                <w:szCs w:val="20"/>
                <w:color w:val="auto"/>
              </w:rPr>
            </w:pPr>
            <w:r>
              <w:rPr>
                <w:rFonts w:ascii="Arial" w:cs="Arial" w:eastAsia="Arial" w:hAnsi="Arial"/>
                <w:sz w:val="17"/>
                <w:szCs w:val="17"/>
                <w:color w:val="auto"/>
                <w:w w:val="95"/>
              </w:rPr>
              <w:t>2021</w:t>
            </w:r>
          </w:p>
        </w:tc>
        <w:tc>
          <w:tcPr>
            <w:tcW w:w="7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60" w:type="dxa"/>
            <w:vAlign w:val="bottom"/>
            <w:shd w:val="clear" w:color="auto" w:fill="CCEEFF"/>
          </w:tcPr>
          <w:p>
            <w:pPr>
              <w:spacing w:after="0"/>
              <w:rPr>
                <w:sz w:val="17"/>
                <w:szCs w:val="17"/>
                <w:color w:val="auto"/>
              </w:rPr>
            </w:pPr>
          </w:p>
        </w:tc>
      </w:tr>
      <w:tr>
        <w:trPr>
          <w:trHeight w:val="200"/>
        </w:trPr>
        <w:tc>
          <w:tcPr>
            <w:tcW w:w="3140" w:type="dxa"/>
            <w:vAlign w:val="bottom"/>
          </w:tcPr>
          <w:p>
            <w:pPr>
              <w:jc w:val="right"/>
              <w:ind w:right="2673"/>
              <w:spacing w:after="0"/>
              <w:rPr>
                <w:sz w:val="20"/>
                <w:szCs w:val="20"/>
                <w:color w:val="auto"/>
              </w:rPr>
            </w:pPr>
            <w:r>
              <w:rPr>
                <w:rFonts w:ascii="Arial" w:cs="Arial" w:eastAsia="Arial" w:hAnsi="Arial"/>
                <w:sz w:val="17"/>
                <w:szCs w:val="17"/>
                <w:color w:val="auto"/>
                <w:w w:val="95"/>
              </w:rPr>
              <w:t>2022</w:t>
            </w:r>
          </w:p>
        </w:tc>
        <w:tc>
          <w:tcPr>
            <w:tcW w:w="7740" w:type="dxa"/>
            <w:vAlign w:val="bottom"/>
            <w:gridSpan w:val="3"/>
          </w:tcPr>
          <w:p>
            <w:pPr>
              <w:jc w:val="right"/>
              <w:ind w:right="60"/>
              <w:spacing w:after="0"/>
              <w:rPr>
                <w:sz w:val="20"/>
                <w:szCs w:val="20"/>
                <w:color w:val="auto"/>
              </w:rPr>
            </w:pPr>
            <w:r>
              <w:rPr>
                <w:rFonts w:ascii="Arial" w:cs="Arial" w:eastAsia="Arial" w:hAnsi="Arial"/>
                <w:sz w:val="17"/>
                <w:szCs w:val="17"/>
                <w:color w:val="auto"/>
              </w:rPr>
              <w:t>71</w:t>
            </w:r>
          </w:p>
        </w:tc>
      </w:tr>
      <w:tr>
        <w:trPr>
          <w:trHeight w:val="200"/>
        </w:trPr>
        <w:tc>
          <w:tcPr>
            <w:tcW w:w="3140" w:type="dxa"/>
            <w:vAlign w:val="bottom"/>
            <w:shd w:val="clear" w:color="auto" w:fill="CCEEFF"/>
          </w:tcPr>
          <w:p>
            <w:pPr>
              <w:jc w:val="right"/>
              <w:ind w:right="2673"/>
              <w:spacing w:after="0"/>
              <w:rPr>
                <w:sz w:val="20"/>
                <w:szCs w:val="20"/>
                <w:color w:val="auto"/>
              </w:rPr>
            </w:pPr>
            <w:r>
              <w:rPr>
                <w:rFonts w:ascii="Arial" w:cs="Arial" w:eastAsia="Arial" w:hAnsi="Arial"/>
                <w:sz w:val="17"/>
                <w:szCs w:val="17"/>
                <w:color w:val="auto"/>
                <w:w w:val="95"/>
              </w:rPr>
              <w:t>2023</w:t>
            </w:r>
          </w:p>
        </w:tc>
        <w:tc>
          <w:tcPr>
            <w:tcW w:w="7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0"/>
        </w:trPr>
        <w:tc>
          <w:tcPr>
            <w:tcW w:w="3140" w:type="dxa"/>
            <w:vAlign w:val="bottom"/>
          </w:tcPr>
          <w:p>
            <w:pPr>
              <w:jc w:val="right"/>
              <w:ind w:right="2053"/>
              <w:spacing w:after="0"/>
              <w:rPr>
                <w:sz w:val="20"/>
                <w:szCs w:val="20"/>
                <w:color w:val="auto"/>
              </w:rPr>
            </w:pPr>
            <w:r>
              <w:rPr>
                <w:rFonts w:ascii="Arial" w:cs="Arial" w:eastAsia="Arial" w:hAnsi="Arial"/>
                <w:sz w:val="17"/>
                <w:szCs w:val="17"/>
                <w:color w:val="auto"/>
              </w:rPr>
              <w:t>Thereafter</w:t>
            </w:r>
          </w:p>
        </w:tc>
        <w:tc>
          <w:tcPr>
            <w:tcW w:w="71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7"/>
        </w:trPr>
        <w:tc>
          <w:tcPr>
            <w:tcW w:w="31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314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$3,373</w:t>
            </w:r>
          </w:p>
        </w:tc>
        <w:tc>
          <w:tcPr>
            <w:tcW w:w="60" w:type="dxa"/>
            <w:vAlign w:val="bottom"/>
            <w:shd w:val="clear" w:color="auto" w:fill="CCEEFF"/>
          </w:tcPr>
          <w:p>
            <w:pPr>
              <w:spacing w:after="0"/>
              <w:rPr>
                <w:sz w:val="17"/>
                <w:szCs w:val="17"/>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3140" w:type="dxa"/>
            <w:vAlign w:val="bottom"/>
          </w:tcPr>
          <w:p>
            <w:pPr>
              <w:spacing w:after="0"/>
              <w:rPr>
                <w:sz w:val="24"/>
                <w:szCs w:val="24"/>
                <w:color w:val="auto"/>
              </w:rPr>
            </w:pPr>
          </w:p>
        </w:tc>
        <w:tc>
          <w:tcPr>
            <w:tcW w:w="7740" w:type="dxa"/>
            <w:vAlign w:val="bottom"/>
            <w:gridSpan w:val="3"/>
          </w:tcPr>
          <w:p>
            <w:pPr>
              <w:jc w:val="right"/>
              <w:ind w:right="5260"/>
              <w:spacing w:after="0"/>
              <w:rPr>
                <w:sz w:val="20"/>
                <w:szCs w:val="20"/>
                <w:color w:val="auto"/>
              </w:rPr>
            </w:pPr>
            <w:r>
              <w:rPr>
                <w:rFonts w:ascii="Arial" w:cs="Arial" w:eastAsia="Arial" w:hAnsi="Arial"/>
                <w:sz w:val="17"/>
                <w:szCs w:val="17"/>
                <w:color w:val="auto"/>
              </w:rPr>
              <w:t>F-15</w:t>
            </w:r>
          </w:p>
        </w:tc>
      </w:tr>
    </w:tbl>
    <w:p>
      <w:pPr>
        <w:sectPr>
          <w:pgSz w:w="11900" w:h="16838" w:orient="portrait"/>
          <w:cols w:equalWidth="0" w:num="1">
            <w:col w:w="11160"/>
          </w:cols>
          <w:pgMar w:left="240" w:top="455"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720"/>
        <w:spacing w:after="0" w:line="262" w:lineRule="auto"/>
        <w:rPr>
          <w:sz w:val="20"/>
          <w:szCs w:val="20"/>
          <w:color w:val="auto"/>
        </w:rPr>
      </w:pPr>
      <w:r>
        <w:rPr>
          <w:rFonts w:ascii="Arial" w:cs="Arial" w:eastAsia="Arial" w:hAnsi="Arial"/>
          <w:sz w:val="17"/>
          <w:szCs w:val="17"/>
          <w:color w:val="auto"/>
        </w:rPr>
        <w:t>Rent expense incurred under operating leases was approximately $326 and $235 for the years ended December 31, 2018 and 2017, respectively.</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Consulting Agreement</w:t>
      </w:r>
    </w:p>
    <w:p>
      <w:pPr>
        <w:spacing w:after="0" w:line="13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In October 2014, we entered into a consulting agreement with a member of our board of directors, who is also an employee of Cold Spring Harbor Laboratory (CSHL), to provide consulting services related to scientific research related to the development of antisense-based drugs, therapies, diagnostic and research tools, products, services and intellectual property. We made payments of $100 in each of the years ended December 31, 2018 and 2017, respectively, for such consulting services. The initial term of this agreement was five years and may be extended by the mutual consent of the Company and the board member.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License and research agreements</w:t>
      </w:r>
    </w:p>
    <w:p>
      <w:pPr>
        <w:spacing w:after="0" w:line="131" w:lineRule="exact"/>
        <w:rPr>
          <w:sz w:val="20"/>
          <w:szCs w:val="20"/>
          <w:color w:val="auto"/>
        </w:rPr>
      </w:pPr>
    </w:p>
    <w:p>
      <w:pPr>
        <w:ind w:left="280" w:right="40"/>
        <w:spacing w:after="0" w:line="246" w:lineRule="auto"/>
        <w:rPr>
          <w:sz w:val="20"/>
          <w:szCs w:val="20"/>
          <w:color w:val="auto"/>
        </w:rPr>
      </w:pPr>
      <w:r>
        <w:rPr>
          <w:rFonts w:ascii="Arial" w:cs="Arial" w:eastAsia="Arial" w:hAnsi="Arial"/>
          <w:sz w:val="17"/>
          <w:szCs w:val="17"/>
          <w:color w:val="auto"/>
        </w:rPr>
        <w:t>In July 2015, the Company entered into a worldwide license agreement, or the CSHL Agreement, with CSHL, with respect to Targeted Augmentation of Nuclear Gene Output (TANGO) patents. Under the CSHL Agreement, the Company receives an exclusive (except with respect to certain government rights and non-exclusive licenses), worldwide license under certain patents and applications relating to TANGO. As part of the CSHL Agreement, the Company granted CSHL 164,927 shares of common stock valued based on an independent appraisal at approximately $65. The CSHL Agreement obligates the Company to make additional payments that are contingent upon certain milestones being achieved. The Company is also required to pay royalties, tiered based on the scope of patent coverage for each licensed product, ranging from a low-single digit percentage to a mid-single digit percentage on annual net sales. These royalty obligations apply on a licensed product-by-licensed product and country-by-country basis until the latest of (i) the expiration of the last valid claim of a CSHL patent covering the applicable licensed product or (ii) the expiration of any regulatory exclusivity for the applicable licensed product. In addition, if the Company sublicenses the rights under the CSHL Agreement, the Company is required to pay a low double-digit percentage of the sublicense revenue to CSHL, which may be reduced to a low double-digit or a mid-single digit percentage upon achievement of certain clinical milestones for the applicable licensed product. Finally, the Company is required to pay an annual license maintenance fee of $10, which amount is creditable against any owed royalty or milestone payments. The maximum aggregate potential milestone payments payable total approximately $900. Additionally, certain licenses under the CSHL Agreement require the Company to reimburse CSHL for certain past and ongoing patent related expenses, however there were no expenses related to these reimbursable patent costs during the years ended December 31, 2018 and 2017.</w:t>
      </w:r>
    </w:p>
    <w:p>
      <w:pPr>
        <w:spacing w:after="0" w:line="302"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In April 2016, the Company entered into an exclusive, worldwide license agreement with the University of Southampton, or the Southampton Agreement, whereby the Company acquired rights to foundational technologies related to the Company’s TANGO technology. Under the Southampton Agreement, the Company receives an exclusive, worldwide license under certain licensed patents and applications relating to TANGO. As part of the Southampton Agreement, the Company paid 55 pounds sterling (approximately $72 as of the date thereof) as an up-front license fee. Under the Southampton Agreement, the Company may be obligated to make additional payments that are contingent upon certain milestones being achieved, as well as royalties on future product sales. These royalty obligations survive until the latest of (i) the expiration of the last valid claim of a licensed patent covering a subject product or (ii) the expiration of any regulatory exclusivity for the subject product in a country. In addition, if the Company sublicenses its rights under the Southampton Agreement, the Company is required to pay a mid-single digit percentage of the sublicense revenue to the University of Southampton. The maximum aggregate potential milestone payments payable by the Company total approximately 400 pounds sterling (approximately $508 as of December 31, 2018). As of December 31, 2018, and 2017, the Company has recorded no liabilities under the Southampton Agreement.</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160"/>
          </w:cols>
          <w:pgMar w:left="240" w:top="455"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Sponsored research agreement</w:t>
      </w:r>
    </w:p>
    <w:p>
      <w:pPr>
        <w:spacing w:after="0" w:line="131"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In December 2017, the Company entered into a sponsored research agreement with the University of Michigan (the University of Michigan Agreement) to fund research conducted at the University of Michigan through November 2018. The budget for the scope of work described in the research agreement was $428. In December 2018, the University of Michigan Agreement was renewed and extended through November 2020 with a budget for the scope of work of $624. The costs incurred by the Company under the University of Michigan Agreement are recorded as research and development expense and expensed in the period in which they are incurred. Research and development spending under the University of Michigan Agreement was $428 and $12 for years ended December 31, 2018 and 2017, respectively.</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Litigation</w:t>
      </w:r>
    </w:p>
    <w:p>
      <w:pPr>
        <w:spacing w:after="0" w:line="131" w:lineRule="exact"/>
        <w:rPr>
          <w:sz w:val="20"/>
          <w:szCs w:val="20"/>
          <w:color w:val="auto"/>
        </w:rPr>
      </w:pPr>
    </w:p>
    <w:p>
      <w:pPr>
        <w:ind w:left="280" w:right="200"/>
        <w:spacing w:after="0" w:line="253" w:lineRule="auto"/>
        <w:rPr>
          <w:sz w:val="20"/>
          <w:szCs w:val="20"/>
          <w:color w:val="auto"/>
        </w:rPr>
      </w:pPr>
      <w:r>
        <w:rPr>
          <w:rFonts w:ascii="Arial" w:cs="Arial" w:eastAsia="Arial" w:hAnsi="Arial"/>
          <w:sz w:val="17"/>
          <w:szCs w:val="17"/>
          <w:color w:val="auto"/>
        </w:rPr>
        <w:t>The Company may periodically become subject to legal proceedings and claims arising in connection with ongoing business activities, including claims or disputes related to patents that have been issued or that are pending in the field of research on which it is focused. As of December 31, 2018, the Company had no legal proceedings to which it was a party or to which its property was subject.</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8. Convertible preferred stock</w:t>
      </w:r>
    </w:p>
    <w:p>
      <w:pPr>
        <w:spacing w:after="0" w:line="141"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As of December 31, 2018, the Company’s amended and restated certificate of incorporation authorized the Company to issue 225,584,874 shares of $0.0001 par value convertible preferred stock, 49,540,132 are designated Series A convertible preferred stock (Series A Preferred), 75,777,370 are designated Series A-2 Preferred and 100,267,372 are designated Series B convertible preferred stock (Series B Preferred) (collectively, the Preferred Stock). The following table summarizes the Company’s issued and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62865</wp:posOffset>
            </wp:positionV>
            <wp:extent cx="690943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4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Series A</w:t>
            </w:r>
          </w:p>
        </w:tc>
        <w:tc>
          <w:tcPr>
            <w:tcW w:w="160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rPr>
              <w:t>Series A-2</w:t>
            </w:r>
          </w:p>
        </w:tc>
        <w:tc>
          <w:tcPr>
            <w:tcW w:w="74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Series B</w:t>
            </w:r>
          </w:p>
        </w:tc>
        <w:tc>
          <w:tcPr>
            <w:tcW w:w="176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Total convertible</w:t>
            </w:r>
          </w:p>
        </w:tc>
      </w:tr>
      <w:tr>
        <w:trPr>
          <w:trHeight w:val="219"/>
        </w:trPr>
        <w:tc>
          <w:tcPr>
            <w:tcW w:w="4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Preferred</w:t>
            </w:r>
          </w:p>
        </w:tc>
        <w:tc>
          <w:tcPr>
            <w:tcW w:w="6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Preferred</w:t>
            </w:r>
          </w:p>
        </w:tc>
        <w:tc>
          <w:tcPr>
            <w:tcW w:w="74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Preferred</w:t>
            </w:r>
          </w:p>
        </w:tc>
        <w:tc>
          <w:tcPr>
            <w:tcW w:w="84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Preferred</w:t>
            </w:r>
          </w:p>
        </w:tc>
      </w:tr>
      <w:tr>
        <w:trPr>
          <w:trHeight w:val="20"/>
        </w:trPr>
        <w:tc>
          <w:tcPr>
            <w:tcW w:w="4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4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9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Amount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9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Amount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Amount</w:t>
            </w: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7"/>
                <w:szCs w:val="17"/>
                <w:b w:val="1"/>
                <w:bCs w:val="1"/>
                <w:color w:val="auto"/>
              </w:rPr>
              <w:t>Shares</w:t>
            </w: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b w:val="1"/>
                <w:bCs w:val="1"/>
                <w:color w:val="auto"/>
              </w:rPr>
              <w:t>Amount</w:t>
            </w:r>
          </w:p>
        </w:tc>
      </w:tr>
      <w:tr>
        <w:trPr>
          <w:trHeight w:val="140"/>
        </w:trPr>
        <w:tc>
          <w:tcPr>
            <w:tcW w:w="43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 January 1, 2017</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3,719,866</w:t>
            </w:r>
          </w:p>
        </w:tc>
        <w:tc>
          <w:tcPr>
            <w:tcW w:w="280" w:type="dxa"/>
            <w:vAlign w:val="bottom"/>
            <w:shd w:val="clear" w:color="auto" w:fill="CCEEFF"/>
          </w:tcPr>
          <w:p>
            <w:pPr>
              <w:jc w:val="right"/>
              <w:ind w:right="1"/>
              <w:spacing w:after="0" w:line="140"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8,750</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3"/>
              <w:spacing w:after="0" w:line="140"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
              <w:spacing w:after="0" w:line="140"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49"/>
              <w:spacing w:after="0" w:line="140" w:lineRule="exact"/>
              <w:rPr>
                <w:sz w:val="20"/>
                <w:szCs w:val="20"/>
                <w:color w:val="auto"/>
              </w:rPr>
            </w:pPr>
            <w:r>
              <w:rPr>
                <w:rFonts w:ascii="Arial" w:cs="Arial" w:eastAsia="Arial" w:hAnsi="Arial"/>
                <w:sz w:val="13"/>
                <w:szCs w:val="13"/>
                <w:color w:val="auto"/>
              </w:rPr>
              <w:t>3,719,366</w:t>
            </w:r>
          </w:p>
        </w:tc>
        <w:tc>
          <w:tcPr>
            <w:tcW w:w="3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8,750</w:t>
            </w:r>
          </w:p>
        </w:tc>
        <w:tc>
          <w:tcPr>
            <w:tcW w:w="40" w:type="dxa"/>
            <w:vAlign w:val="bottom"/>
            <w:shd w:val="clear" w:color="auto" w:fill="CCEEFF"/>
          </w:tcPr>
          <w:p>
            <w:pPr>
              <w:spacing w:after="0"/>
              <w:rPr>
                <w:sz w:val="12"/>
                <w:szCs w:val="12"/>
                <w:color w:val="auto"/>
              </w:rPr>
            </w:pPr>
          </w:p>
        </w:tc>
      </w:tr>
      <w:tr>
        <w:trPr>
          <w:trHeight w:val="153"/>
        </w:trPr>
        <w:tc>
          <w:tcPr>
            <w:tcW w:w="4320" w:type="dxa"/>
            <w:vAlign w:val="bottom"/>
          </w:tcPr>
          <w:p>
            <w:pPr>
              <w:ind w:left="200"/>
              <w:spacing w:after="0" w:line="147" w:lineRule="exact"/>
              <w:rPr>
                <w:sz w:val="20"/>
                <w:szCs w:val="20"/>
                <w:color w:val="auto"/>
              </w:rPr>
            </w:pPr>
            <w:r>
              <w:rPr>
                <w:rFonts w:ascii="Arial" w:cs="Arial" w:eastAsia="Arial" w:hAnsi="Arial"/>
                <w:sz w:val="13"/>
                <w:szCs w:val="13"/>
                <w:color w:val="auto"/>
              </w:rPr>
              <w:t>Issuance, net of issuance costs of $25</w:t>
            </w:r>
          </w:p>
        </w:tc>
        <w:tc>
          <w:tcPr>
            <w:tcW w:w="6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1,260,802</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line="147" w:lineRule="exact"/>
              <w:rPr>
                <w:sz w:val="20"/>
                <w:szCs w:val="20"/>
                <w:color w:val="auto"/>
              </w:rPr>
            </w:pPr>
            <w:r>
              <w:rPr>
                <w:rFonts w:ascii="Arial" w:cs="Arial" w:eastAsia="Arial" w:hAnsi="Arial"/>
                <w:sz w:val="13"/>
                <w:szCs w:val="13"/>
                <w:color w:val="auto"/>
              </w:rPr>
              <w:t>2,975</w:t>
            </w:r>
          </w:p>
        </w:tc>
        <w:tc>
          <w:tcPr>
            <w:tcW w:w="6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line="147"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49"/>
              <w:spacing w:after="0" w:line="147" w:lineRule="exact"/>
              <w:rPr>
                <w:sz w:val="20"/>
                <w:szCs w:val="20"/>
                <w:color w:val="auto"/>
              </w:rPr>
            </w:pPr>
            <w:r>
              <w:rPr>
                <w:rFonts w:ascii="Arial" w:cs="Arial" w:eastAsia="Arial" w:hAnsi="Arial"/>
                <w:sz w:val="13"/>
                <w:szCs w:val="13"/>
                <w:color w:val="auto"/>
              </w:rPr>
              <w:t>1,260,802</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2,975</w:t>
            </w:r>
          </w:p>
        </w:tc>
        <w:tc>
          <w:tcPr>
            <w:tcW w:w="40" w:type="dxa"/>
            <w:vAlign w:val="bottom"/>
          </w:tcPr>
          <w:p>
            <w:pPr>
              <w:spacing w:after="0"/>
              <w:rPr>
                <w:sz w:val="13"/>
                <w:szCs w:val="13"/>
                <w:color w:val="auto"/>
              </w:rPr>
            </w:pPr>
          </w:p>
        </w:tc>
      </w:tr>
      <w:tr>
        <w:trPr>
          <w:trHeight w:val="147"/>
        </w:trPr>
        <w:tc>
          <w:tcPr>
            <w:tcW w:w="43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Balance, December 31, 2017</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4,980,168</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11,725</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49"/>
              <w:spacing w:after="0" w:line="147" w:lineRule="exact"/>
              <w:rPr>
                <w:sz w:val="20"/>
                <w:szCs w:val="20"/>
                <w:color w:val="auto"/>
              </w:rPr>
            </w:pPr>
            <w:r>
              <w:rPr>
                <w:rFonts w:ascii="Arial" w:cs="Arial" w:eastAsia="Arial" w:hAnsi="Arial"/>
                <w:sz w:val="13"/>
                <w:szCs w:val="13"/>
                <w:color w:val="auto"/>
              </w:rPr>
              <w:t>4,980,168</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11,725</w:t>
            </w:r>
          </w:p>
        </w:tc>
        <w:tc>
          <w:tcPr>
            <w:tcW w:w="40" w:type="dxa"/>
            <w:vAlign w:val="bottom"/>
            <w:shd w:val="clear" w:color="auto" w:fill="CCEEFF"/>
          </w:tcPr>
          <w:p>
            <w:pPr>
              <w:spacing w:after="0"/>
              <w:rPr>
                <w:sz w:val="12"/>
                <w:szCs w:val="12"/>
                <w:color w:val="auto"/>
              </w:rPr>
            </w:pPr>
          </w:p>
        </w:tc>
      </w:tr>
      <w:tr>
        <w:trPr>
          <w:trHeight w:val="147"/>
        </w:trPr>
        <w:tc>
          <w:tcPr>
            <w:tcW w:w="4320" w:type="dxa"/>
            <w:vAlign w:val="bottom"/>
          </w:tcPr>
          <w:p>
            <w:pPr>
              <w:ind w:left="200"/>
              <w:spacing w:after="0" w:line="147" w:lineRule="exact"/>
              <w:rPr>
                <w:sz w:val="20"/>
                <w:szCs w:val="20"/>
                <w:color w:val="auto"/>
              </w:rPr>
            </w:pPr>
            <w:r>
              <w:rPr>
                <w:rFonts w:ascii="Arial" w:cs="Arial" w:eastAsia="Arial" w:hAnsi="Arial"/>
                <w:sz w:val="13"/>
                <w:szCs w:val="13"/>
                <w:color w:val="auto"/>
              </w:rPr>
              <w:t>Issuance upon conversion of SAFE</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788,042</w:t>
            </w:r>
          </w:p>
        </w:tc>
        <w:tc>
          <w:tcPr>
            <w:tcW w:w="28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3,000</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49"/>
              <w:spacing w:after="0" w:line="147" w:lineRule="exact"/>
              <w:rPr>
                <w:sz w:val="20"/>
                <w:szCs w:val="20"/>
                <w:color w:val="auto"/>
              </w:rPr>
            </w:pPr>
            <w:r>
              <w:rPr>
                <w:rFonts w:ascii="Arial" w:cs="Arial" w:eastAsia="Arial" w:hAnsi="Arial"/>
                <w:sz w:val="13"/>
                <w:szCs w:val="13"/>
                <w:color w:val="auto"/>
              </w:rPr>
              <w:t>788,042</w:t>
            </w:r>
          </w:p>
        </w:tc>
        <w:tc>
          <w:tcPr>
            <w:tcW w:w="34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3"/>
                <w:szCs w:val="13"/>
                <w:color w:val="auto"/>
              </w:rPr>
              <w:t>3,000</w:t>
            </w:r>
          </w:p>
        </w:tc>
        <w:tc>
          <w:tcPr>
            <w:tcW w:w="40" w:type="dxa"/>
            <w:vAlign w:val="bottom"/>
          </w:tcPr>
          <w:p>
            <w:pPr>
              <w:spacing w:after="0"/>
              <w:rPr>
                <w:sz w:val="12"/>
                <w:szCs w:val="12"/>
                <w:color w:val="auto"/>
              </w:rPr>
            </w:pPr>
          </w:p>
        </w:tc>
      </w:tr>
      <w:tr>
        <w:trPr>
          <w:trHeight w:val="147"/>
        </w:trPr>
        <w:tc>
          <w:tcPr>
            <w:tcW w:w="4320" w:type="dxa"/>
            <w:vAlign w:val="bottom"/>
            <w:shd w:val="clear" w:color="auto" w:fill="CCEEFF"/>
          </w:tcPr>
          <w:p>
            <w:pPr>
              <w:ind w:left="200"/>
              <w:spacing w:after="0" w:line="147" w:lineRule="exact"/>
              <w:rPr>
                <w:sz w:val="20"/>
                <w:szCs w:val="20"/>
                <w:color w:val="auto"/>
              </w:rPr>
            </w:pPr>
            <w:r>
              <w:rPr>
                <w:rFonts w:ascii="Arial" w:cs="Arial" w:eastAsia="Arial" w:hAnsi="Arial"/>
                <w:sz w:val="13"/>
                <w:szCs w:val="13"/>
                <w:color w:val="auto"/>
              </w:rPr>
              <w:t>Issuance, net of issuance costs of $120</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6,829,704</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25,880</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49"/>
              <w:spacing w:after="0" w:line="147" w:lineRule="exact"/>
              <w:rPr>
                <w:sz w:val="20"/>
                <w:szCs w:val="20"/>
                <w:color w:val="auto"/>
              </w:rPr>
            </w:pPr>
            <w:r>
              <w:rPr>
                <w:rFonts w:ascii="Arial" w:cs="Arial" w:eastAsia="Arial" w:hAnsi="Arial"/>
                <w:sz w:val="13"/>
                <w:szCs w:val="13"/>
                <w:color w:val="auto"/>
              </w:rPr>
              <w:t>6,829,704</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25,880</w:t>
            </w:r>
          </w:p>
        </w:tc>
        <w:tc>
          <w:tcPr>
            <w:tcW w:w="40" w:type="dxa"/>
            <w:vAlign w:val="bottom"/>
            <w:shd w:val="clear" w:color="auto" w:fill="CCEEFF"/>
          </w:tcPr>
          <w:p>
            <w:pPr>
              <w:spacing w:after="0"/>
              <w:rPr>
                <w:sz w:val="12"/>
                <w:szCs w:val="12"/>
                <w:color w:val="auto"/>
              </w:rPr>
            </w:pPr>
          </w:p>
        </w:tc>
      </w:tr>
      <w:tr>
        <w:trPr>
          <w:trHeight w:val="153"/>
        </w:trPr>
        <w:tc>
          <w:tcPr>
            <w:tcW w:w="4320" w:type="dxa"/>
            <w:vAlign w:val="bottom"/>
          </w:tcPr>
          <w:p>
            <w:pPr>
              <w:ind w:left="200"/>
              <w:spacing w:after="0" w:line="147" w:lineRule="exact"/>
              <w:rPr>
                <w:sz w:val="20"/>
                <w:szCs w:val="20"/>
                <w:color w:val="auto"/>
              </w:rPr>
            </w:pPr>
            <w:r>
              <w:rPr>
                <w:rFonts w:ascii="Arial" w:cs="Arial" w:eastAsia="Arial" w:hAnsi="Arial"/>
                <w:sz w:val="13"/>
                <w:szCs w:val="13"/>
                <w:color w:val="auto"/>
              </w:rPr>
              <w:t>Issuance, net of issuance costs of $258</w:t>
            </w:r>
          </w:p>
        </w:tc>
        <w:tc>
          <w:tcPr>
            <w:tcW w:w="6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10,079,671</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line="147" w:lineRule="exact"/>
              <w:rPr>
                <w:sz w:val="20"/>
                <w:szCs w:val="20"/>
                <w:color w:val="auto"/>
              </w:rPr>
            </w:pPr>
            <w:r>
              <w:rPr>
                <w:rFonts w:ascii="Arial" w:cs="Arial" w:eastAsia="Arial" w:hAnsi="Arial"/>
                <w:sz w:val="13"/>
                <w:szCs w:val="13"/>
                <w:color w:val="auto"/>
              </w:rPr>
              <w:t>89,742</w:t>
            </w:r>
          </w:p>
        </w:tc>
        <w:tc>
          <w:tcPr>
            <w:tcW w:w="840" w:type="dxa"/>
            <w:vAlign w:val="bottom"/>
            <w:tcBorders>
              <w:bottom w:val="single" w:sz="8" w:color="auto"/>
            </w:tcBorders>
          </w:tcPr>
          <w:p>
            <w:pPr>
              <w:jc w:val="right"/>
              <w:ind w:right="49"/>
              <w:spacing w:after="0" w:line="147" w:lineRule="exact"/>
              <w:rPr>
                <w:sz w:val="20"/>
                <w:szCs w:val="20"/>
                <w:color w:val="auto"/>
              </w:rPr>
            </w:pPr>
            <w:r>
              <w:rPr>
                <w:rFonts w:ascii="Arial" w:cs="Arial" w:eastAsia="Arial" w:hAnsi="Arial"/>
                <w:sz w:val="13"/>
                <w:szCs w:val="13"/>
                <w:color w:val="auto"/>
              </w:rPr>
              <w:t>10,079,671</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89,742</w:t>
            </w:r>
          </w:p>
        </w:tc>
        <w:tc>
          <w:tcPr>
            <w:tcW w:w="40" w:type="dxa"/>
            <w:vAlign w:val="bottom"/>
          </w:tcPr>
          <w:p>
            <w:pPr>
              <w:spacing w:after="0"/>
              <w:rPr>
                <w:sz w:val="13"/>
                <w:szCs w:val="13"/>
                <w:color w:val="auto"/>
              </w:rPr>
            </w:pPr>
          </w:p>
        </w:tc>
      </w:tr>
      <w:tr>
        <w:trPr>
          <w:trHeight w:val="147"/>
        </w:trPr>
        <w:tc>
          <w:tcPr>
            <w:tcW w:w="43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Balance, December 31, 2018</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4,980,168</w:t>
            </w:r>
          </w:p>
        </w:tc>
        <w:tc>
          <w:tcPr>
            <w:tcW w:w="280" w:type="dxa"/>
            <w:vAlign w:val="bottom"/>
            <w:shd w:val="clear" w:color="auto" w:fill="CCEEFF"/>
          </w:tcPr>
          <w:p>
            <w:pPr>
              <w:jc w:val="right"/>
              <w:ind w:right="1"/>
              <w:spacing w:after="0" w:line="147"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11,725</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7,617,746</w:t>
            </w:r>
          </w:p>
        </w:tc>
        <w:tc>
          <w:tcPr>
            <w:tcW w:w="280" w:type="dxa"/>
            <w:vAlign w:val="bottom"/>
            <w:shd w:val="clear" w:color="auto" w:fill="CCEEFF"/>
          </w:tcPr>
          <w:p>
            <w:pPr>
              <w:jc w:val="right"/>
              <w:ind w:right="3"/>
              <w:spacing w:after="0" w:line="147"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28,880</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10,079,671</w:t>
            </w:r>
          </w:p>
        </w:tc>
        <w:tc>
          <w:tcPr>
            <w:tcW w:w="280" w:type="dxa"/>
            <w:vAlign w:val="bottom"/>
            <w:shd w:val="clear" w:color="auto" w:fill="CCEEFF"/>
          </w:tcPr>
          <w:p>
            <w:pPr>
              <w:jc w:val="right"/>
              <w:ind w:right="1"/>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89,742</w:t>
            </w:r>
          </w:p>
        </w:tc>
        <w:tc>
          <w:tcPr>
            <w:tcW w:w="840" w:type="dxa"/>
            <w:vAlign w:val="bottom"/>
            <w:shd w:val="clear" w:color="auto" w:fill="CCEEFF"/>
          </w:tcPr>
          <w:p>
            <w:pPr>
              <w:jc w:val="right"/>
              <w:ind w:right="49"/>
              <w:spacing w:after="0" w:line="147" w:lineRule="exact"/>
              <w:rPr>
                <w:sz w:val="20"/>
                <w:szCs w:val="20"/>
                <w:color w:val="auto"/>
              </w:rPr>
            </w:pPr>
            <w:r>
              <w:rPr>
                <w:rFonts w:ascii="Arial" w:cs="Arial" w:eastAsia="Arial" w:hAnsi="Arial"/>
                <w:sz w:val="13"/>
                <w:szCs w:val="13"/>
                <w:color w:val="auto"/>
              </w:rPr>
              <w:t>22,677,585</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130,347</w:t>
            </w:r>
          </w:p>
        </w:tc>
        <w:tc>
          <w:tcPr>
            <w:tcW w:w="40" w:type="dxa"/>
            <w:vAlign w:val="bottom"/>
            <w:shd w:val="clear" w:color="auto" w:fill="CCEEFF"/>
          </w:tcPr>
          <w:p>
            <w:pPr>
              <w:spacing w:after="0"/>
              <w:rPr>
                <w:sz w:val="12"/>
                <w:szCs w:val="12"/>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Company’s Preferred Stock has the following rights and preferences, privileges and restrictions:</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Voting rights</w:t>
      </w:r>
    </w:p>
    <w:p>
      <w:pPr>
        <w:spacing w:after="0" w:line="131"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On any matter presented to the stockholders of the Company for their action or consideration at any meeting of stockholders of the Company,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of the Company, holders of Preferred Stock shall vote together with the holders of Common Stock as a single class.</w:t>
      </w:r>
    </w:p>
    <w:p>
      <w:pPr>
        <w:spacing w:after="0" w:line="93"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For so long as any shares of Preferred Stock remain outstanding, the holders of record of the shares of Preferred Stock, exclusively and as a separate class, shall be entitled to elect two directors of the Company.</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160"/>
          </w:cols>
          <w:pgMar w:left="240" w:top="455"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Dividends</w:t>
      </w:r>
    </w:p>
    <w:p>
      <w:pPr>
        <w:spacing w:after="0" w:line="131"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The holders of shares of Preferred Stock shall be entitled to receive non-cumulative dividends at the rate of eight percent of the original issue price (see below) of such series of such Preferred Stock per annum on such shares of Preferred Stock (subject to appropriate adjustment in the event of any stock dividend, stock split, combination or other similar recapitalization with respect to the Preferred Stock) when, as, and if declared by the Board of Directors (the Preferred Dividend).</w:t>
      </w:r>
    </w:p>
    <w:p>
      <w:pPr>
        <w:spacing w:after="0" w:line="89" w:lineRule="exact"/>
        <w:rPr>
          <w:sz w:val="20"/>
          <w:szCs w:val="20"/>
          <w:color w:val="auto"/>
        </w:rPr>
      </w:pPr>
    </w:p>
    <w:p>
      <w:pPr>
        <w:ind w:left="280" w:right="20"/>
        <w:spacing w:after="0" w:line="246" w:lineRule="auto"/>
        <w:rPr>
          <w:sz w:val="20"/>
          <w:szCs w:val="20"/>
          <w:color w:val="auto"/>
        </w:rPr>
      </w:pPr>
      <w:r>
        <w:rPr>
          <w:rFonts w:ascii="Arial" w:cs="Arial" w:eastAsia="Arial" w:hAnsi="Arial"/>
          <w:sz w:val="17"/>
          <w:szCs w:val="17"/>
          <w:color w:val="auto"/>
        </w:rPr>
        <w:t>The Company shall not declare, pay or set aside any dividends on shares of any other class or series of capital stock of the Company (other than dividends on shares of Common Stock payable in shares of Common Stock) unless the holders of the Preferred Stock then outstanding shall first receive, or simultaneously receive, a dividend on each outstanding share of Preferred Stock in an amount at least equal to the sum of (i) the amount of the Preferred Dividend then accrued on such share of Preferred Stock for the calendar year in which such dividends are being paid hereunder and not previously paid and (ii) (A) in the case of a dividend on common stock or any class or series that is convertible into common stock, that dividend per share of Preferred Stock as would equal the product of (l) the dividend payable on each share of such class or series determined, if applicable, as if all shares of such class or series had been converted into common stock and (2) the number of shares of common stock issuable upon conversion of a share of such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original issue price (see below) of such Preferred Stock; provided that, if the Company declares, pays or sets aside, on the same date, a dividend on shares of more than one class or series of capital stock of the Company, the dividend payable to the holders of a series of Preferred Stock shall be calculated based upon the dividend on the class or series of capital stock that would result in the highest dividend to such series of Preferred Stock.</w:t>
      </w:r>
    </w:p>
    <w:p>
      <w:pPr>
        <w:spacing w:after="0" w:line="10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The original issue price shall mean $8.9289 per share of Series B Preferred, subject to appropriate adjustment in the event of any stock dividend, stock split, combination or other similar recapitalization with respect to the Series B Preferred, $2.3794 per share of Series A Preferred, subject to appropriate adjustment in the event of any stock dividend, stock split, combination or other similar recapitalization with respect to the Series A Preferred, and $3.8069 per share of Series A-2 Preferred, subject to appropriate adjustment in the event of any stock dividend, stock split, combination or other similar recapitalization with respect to the Series A-2 Preferred.</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Optional conversion rights</w:t>
      </w:r>
    </w:p>
    <w:p>
      <w:pPr>
        <w:spacing w:after="0" w:line="13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of such share of Preferred Stock by the conversion price (as described below) of such share of Preferred Stock in effect at the time of conversion. The conversion price for each share of Preferred Stock shall initially be equal to the original issue price of such share of Preferred Stock. Such initial conversion price, and the rate at which shares of Preferred Stock may be converted into shares of common stock, is subject to adjustment.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Mandatory conversion rights</w:t>
      </w:r>
    </w:p>
    <w:p>
      <w:pPr>
        <w:spacing w:after="0" w:line="131"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Upon either (a) an initial public offering valuing the company at least $275,000 and for total offering proceeds not less than $75,000 or (b) the date and time, or the occurrence of an event, specified by vote or written consent of (i) a majority of the then-outstanding shares of Series A Preferred and Series A-2 Preferred, voting as a single class and (b) a majority of the outstanding Series B Preferred Stock voting together as a single class,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140"/>
          </w:cols>
          <w:pgMar w:left="240" w:top="455"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then all outstanding shares of Preferred Stock shall automatically be converted into shares of common stock, at the then effective conversion rate.</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Liquidation</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 xml:space="preserve">In the event of (i) any voluntary or involuntary liquidation, dissolution or winding up of the Company or (ii) the merger or consolidation of the Company or a subsidiary relinquishing a majority of the voting power of the capital stock, or the sale, lease, transfer, exclusive license or other disposition of all or substantially all assets of the Company (Deemed Liquidation Event), the holders of shares of Preferred Stock then outstanding shall be entitled to be paid out of the assets of the Company available for distribution to its stockholders before any payment shall be made to the holders of common stock by reason of their ownership thereof, an amount per share equal to the original issue price of such share of Preferred Stock, plus any dividends declared but unpaid thereon. If upon any such liquidation, dissolution or winding up of the Company or Deemed Liquidation Event, the assets of the Company available for distribution to its stockholders shall be insufficient to pay the holders of shares of Preferred Stock the full amount to which they shall be entitled, the holders of shares of Preferred Stock shall share ratably and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5" w:lineRule="exact"/>
        <w:rPr>
          <w:sz w:val="20"/>
          <w:szCs w:val="20"/>
          <w:color w:val="auto"/>
        </w:rPr>
      </w:pPr>
    </w:p>
    <w:p>
      <w:pPr>
        <w:ind w:left="280" w:right="300"/>
        <w:spacing w:after="0" w:line="248"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after the payment of all preferential amounts required to be paid to the holders of shares of Preferred Stock the remaining assets of the Company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of the Company immediately prior to such liquidation, dissolution or winding up of the Company.</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Anti-Dilution</w:t>
      </w:r>
    </w:p>
    <w:p>
      <w:pPr>
        <w:spacing w:after="0" w:line="131" w:lineRule="exact"/>
        <w:rPr>
          <w:sz w:val="20"/>
          <w:szCs w:val="20"/>
          <w:color w:val="auto"/>
        </w:rPr>
      </w:pPr>
    </w:p>
    <w:p>
      <w:pPr>
        <w:ind w:left="280" w:right="280"/>
        <w:spacing w:after="0" w:line="262" w:lineRule="auto"/>
        <w:rPr>
          <w:sz w:val="20"/>
          <w:szCs w:val="20"/>
          <w:color w:val="auto"/>
        </w:rPr>
      </w:pPr>
      <w:r>
        <w:rPr>
          <w:rFonts w:ascii="Arial" w:cs="Arial" w:eastAsia="Arial" w:hAnsi="Arial"/>
          <w:sz w:val="17"/>
          <w:szCs w:val="17"/>
          <w:color w:val="auto"/>
        </w:rPr>
        <w:t>Holders of convertible Preferred Stock are afforded certain anti-dilution protection with respect to corporate events such as stock splits and recapitalizations.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Redemption</w:t>
      </w:r>
    </w:p>
    <w:p>
      <w:pPr>
        <w:spacing w:after="0" w:line="131" w:lineRule="exact"/>
        <w:rPr>
          <w:sz w:val="20"/>
          <w:szCs w:val="20"/>
          <w:color w:val="auto"/>
        </w:rPr>
      </w:pPr>
    </w:p>
    <w:p>
      <w:pPr>
        <w:ind w:left="280" w:right="300"/>
        <w:spacing w:after="0" w:line="262" w:lineRule="auto"/>
        <w:rPr>
          <w:sz w:val="20"/>
          <w:szCs w:val="20"/>
          <w:color w:val="auto"/>
        </w:rPr>
      </w:pPr>
      <w:r>
        <w:rPr>
          <w:rFonts w:ascii="Arial" w:cs="Arial" w:eastAsia="Arial" w:hAnsi="Arial"/>
          <w:sz w:val="17"/>
          <w:szCs w:val="17"/>
          <w:color w:val="auto"/>
        </w:rPr>
        <w:t>The Company’s convertible Preferred Stock is not redeemable except in the event of any voluntary or involuntary liquidation, dissolution or winding up of the Company or a Deemed Liquidation Event, and only if elected by a majority of the Company’s Board of Directors.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9. Common stock</w:t>
      </w:r>
    </w:p>
    <w:p>
      <w:pPr>
        <w:spacing w:after="0" w:line="141" w:lineRule="exact"/>
        <w:rPr>
          <w:sz w:val="20"/>
          <w:szCs w:val="20"/>
          <w:color w:val="auto"/>
        </w:rPr>
      </w:pPr>
    </w:p>
    <w:p>
      <w:pPr>
        <w:ind w:left="280" w:right="440"/>
        <w:spacing w:after="0" w:line="251" w:lineRule="auto"/>
        <w:rPr>
          <w:sz w:val="20"/>
          <w:szCs w:val="20"/>
          <w:color w:val="auto"/>
        </w:rPr>
      </w:pPr>
      <w:r>
        <w:rPr>
          <w:rFonts w:ascii="Arial" w:cs="Arial" w:eastAsia="Arial" w:hAnsi="Arial"/>
          <w:sz w:val="17"/>
          <w:szCs w:val="17"/>
          <w:color w:val="auto"/>
        </w:rPr>
        <w:t>In June 2014, the Company issued 502,638 shares of common stock to its two founders. The shares vest at a rate of 1/3 on the first anniversary date and in 36 equal monthly installments thereafter. Vested shares as of December 31, 2018 and 2017 were 502,638 and 446,791 shares, respectively. In July 2015, the Company issued 164,927 shares of common stock to CSHL in exchange for an exclusive license to a patent (Note 7).</w:t>
      </w:r>
    </w:p>
    <w:p>
      <w:pPr>
        <w:spacing w:after="0" w:line="89"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The holders of record of the shares of common stock, exclusively and as a separate class, shall be entitled to elect two directors of the Company. The holders of the common stock and one Preferred Stock investor, voting together as a single class on an as-if-converted basis, shall be entitled to elect two directors and the holders of the common stock and the Preferred Stock, voting together as a single class on an as-if-converted basis, shall be entitled to elect one director.</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10. 2014 equity incentive plan</w:t>
      </w:r>
    </w:p>
    <w:p>
      <w:pPr>
        <w:spacing w:after="0" w:line="141" w:lineRule="exact"/>
        <w:rPr>
          <w:sz w:val="20"/>
          <w:szCs w:val="20"/>
          <w:color w:val="auto"/>
        </w:rPr>
      </w:pPr>
    </w:p>
    <w:p>
      <w:pPr>
        <w:ind w:left="280" w:right="360"/>
        <w:spacing w:after="0" w:line="262" w:lineRule="auto"/>
        <w:rPr>
          <w:sz w:val="20"/>
          <w:szCs w:val="20"/>
          <w:color w:val="auto"/>
        </w:rPr>
      </w:pPr>
      <w:r>
        <w:rPr>
          <w:rFonts w:ascii="Arial" w:cs="Arial" w:eastAsia="Arial" w:hAnsi="Arial"/>
          <w:sz w:val="17"/>
          <w:szCs w:val="17"/>
          <w:color w:val="auto"/>
        </w:rPr>
        <w:t>In June 2014, the Company’s board of directors and stockholders approved the 2014 Equity Incentive Plan (the 2014 Plan) under which it may grant incentive stock options, non-qualified stock options, restricted stock</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160"/>
          </w:cols>
          <w:pgMar w:left="240" w:top="455"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20"/>
        <w:spacing w:after="0" w:line="253" w:lineRule="auto"/>
        <w:rPr>
          <w:sz w:val="20"/>
          <w:szCs w:val="20"/>
          <w:color w:val="auto"/>
        </w:rPr>
      </w:pPr>
      <w:r>
        <w:rPr>
          <w:rFonts w:ascii="Arial" w:cs="Arial" w:eastAsia="Arial" w:hAnsi="Arial"/>
          <w:sz w:val="17"/>
          <w:szCs w:val="17"/>
          <w:color w:val="auto"/>
        </w:rPr>
        <w:t>awards, unrestricted stock awards, or restricted stock units to purchase up to 679,222 shares of common stock to employees, officers, directors and consultants of the Company. In January 2018, the Company increased the number of shares of common stock reserved for issuance under the 2014 Plan to 4,652,098 shares.</w:t>
      </w:r>
    </w:p>
    <w:p>
      <w:pPr>
        <w:spacing w:after="0" w:line="89" w:lineRule="exact"/>
        <w:rPr>
          <w:sz w:val="20"/>
          <w:szCs w:val="20"/>
          <w:color w:val="auto"/>
        </w:rPr>
      </w:pPr>
    </w:p>
    <w:p>
      <w:pPr>
        <w:ind w:left="280" w:right="220"/>
        <w:spacing w:after="0" w:line="262" w:lineRule="auto"/>
        <w:rPr>
          <w:sz w:val="20"/>
          <w:szCs w:val="20"/>
          <w:color w:val="auto"/>
        </w:rPr>
      </w:pPr>
      <w:r>
        <w:rPr>
          <w:rFonts w:ascii="Arial" w:cs="Arial" w:eastAsia="Arial" w:hAnsi="Arial"/>
          <w:sz w:val="17"/>
          <w:szCs w:val="17"/>
          <w:color w:val="auto"/>
        </w:rPr>
        <w:t>In 2016, the Company granted options to purchase 511,450 shares of common stock to certain of its employees, and directors. The options vest over three to four years and are exercisable at a per share price equal to the fair value of the common stock on the grant date.</w:t>
      </w:r>
    </w:p>
    <w:p>
      <w:pPr>
        <w:spacing w:after="0" w:line="80" w:lineRule="exact"/>
        <w:rPr>
          <w:sz w:val="20"/>
          <w:szCs w:val="20"/>
          <w:color w:val="auto"/>
        </w:rPr>
      </w:pPr>
    </w:p>
    <w:p>
      <w:pPr>
        <w:ind w:left="280" w:right="260"/>
        <w:spacing w:after="0" w:line="262" w:lineRule="auto"/>
        <w:rPr>
          <w:sz w:val="20"/>
          <w:szCs w:val="20"/>
          <w:color w:val="auto"/>
        </w:rPr>
      </w:pPr>
      <w:r>
        <w:rPr>
          <w:rFonts w:ascii="Arial" w:cs="Arial" w:eastAsia="Arial" w:hAnsi="Arial"/>
          <w:sz w:val="17"/>
          <w:szCs w:val="17"/>
          <w:color w:val="auto"/>
        </w:rPr>
        <w:t>In 2017, the Company granted options to purchase 143,487 shares of common stock to certain of its employees and directors. The options vest over four years and are exercisable at a per share price equal to the fair value of the common stock on the grant date.</w:t>
      </w:r>
    </w:p>
    <w:p>
      <w:pPr>
        <w:spacing w:after="0" w:line="80" w:lineRule="exact"/>
        <w:rPr>
          <w:sz w:val="20"/>
          <w:szCs w:val="20"/>
          <w:color w:val="auto"/>
        </w:rPr>
      </w:pPr>
    </w:p>
    <w:p>
      <w:pPr>
        <w:ind w:left="280" w:right="80"/>
        <w:spacing w:after="0" w:line="262" w:lineRule="auto"/>
        <w:rPr>
          <w:sz w:val="20"/>
          <w:szCs w:val="20"/>
          <w:color w:val="auto"/>
        </w:rPr>
      </w:pPr>
      <w:r>
        <w:rPr>
          <w:rFonts w:ascii="Arial" w:cs="Arial" w:eastAsia="Arial" w:hAnsi="Arial"/>
          <w:sz w:val="17"/>
          <w:szCs w:val="17"/>
          <w:color w:val="auto"/>
        </w:rPr>
        <w:t>In 2018, the Company granted options to purchase 2,969,181 shares of common stock to certain of its employees, and directors. The options vest over four years and are exercisable at a per share price equal to the fair value of the common stock on the grant date.</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December 31, 2018, there were 1,110,145 shares available for future issuance under the 2014 Plan.</w:t>
      </w:r>
    </w:p>
    <w:p>
      <w:pPr>
        <w:spacing w:after="0" w:line="111"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As there is not a public market for the Company’s common stock, the Company has determined the volatility for options granted in 2017 based on a study of reported data for a guideline group of companies that issued options with substantially similar terms. The risk-free interest rate is based on a zero-coupon United States Treasury instrument with terms consistent with the expected life of the stock options. The Company has not paid and does not anticipate paying cash dividends on shares of common stock; therefore, the expected dividend yield is assumed to be zero.</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 summary of stock option activity for awards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5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jc w:val="right"/>
              <w:ind w:right="173"/>
              <w:spacing w:after="0"/>
              <w:rPr>
                <w:sz w:val="20"/>
                <w:szCs w:val="20"/>
                <w:color w:val="auto"/>
              </w:rPr>
            </w:pPr>
            <w:r>
              <w:rPr>
                <w:rFonts w:ascii="Arial" w:cs="Arial" w:eastAsia="Arial" w:hAnsi="Arial"/>
                <w:sz w:val="17"/>
                <w:szCs w:val="17"/>
                <w:b w:val="1"/>
                <w:bCs w:val="1"/>
                <w:color w:val="auto"/>
              </w:rPr>
              <w:t>Weighted</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7"/>
                <w:szCs w:val="17"/>
                <w:b w:val="1"/>
                <w:bCs w:val="1"/>
                <w:color w:val="auto"/>
              </w:rPr>
              <w:t>Weighted</w:t>
            </w:r>
          </w:p>
        </w:tc>
        <w:tc>
          <w:tcPr>
            <w:tcW w:w="1440" w:type="dxa"/>
            <w:vAlign w:val="bottom"/>
          </w:tcPr>
          <w:p>
            <w:pPr>
              <w:jc w:val="right"/>
              <w:ind w:right="173"/>
              <w:spacing w:after="0"/>
              <w:rPr>
                <w:sz w:val="20"/>
                <w:szCs w:val="20"/>
                <w:color w:val="auto"/>
              </w:rPr>
            </w:pPr>
            <w:r>
              <w:rPr>
                <w:rFonts w:ascii="Arial" w:cs="Arial" w:eastAsia="Arial" w:hAnsi="Arial"/>
                <w:sz w:val="17"/>
                <w:szCs w:val="17"/>
                <w:b w:val="1"/>
                <w:bCs w:val="1"/>
                <w:color w:val="auto"/>
              </w:rPr>
              <w:t>average</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8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Number</w:t>
            </w:r>
          </w:p>
        </w:tc>
        <w:tc>
          <w:tcPr>
            <w:tcW w:w="36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Arial" w:cs="Arial" w:eastAsia="Arial" w:hAnsi="Arial"/>
                <w:sz w:val="17"/>
                <w:szCs w:val="17"/>
                <w:b w:val="1"/>
                <w:bCs w:val="1"/>
                <w:color w:val="auto"/>
              </w:rPr>
              <w:t>average</w:t>
            </w:r>
          </w:p>
        </w:tc>
        <w:tc>
          <w:tcPr>
            <w:tcW w:w="1440" w:type="dxa"/>
            <w:vAlign w:val="bottom"/>
          </w:tcPr>
          <w:p>
            <w:pPr>
              <w:jc w:val="right"/>
              <w:ind w:right="173"/>
              <w:spacing w:after="0"/>
              <w:rPr>
                <w:sz w:val="20"/>
                <w:szCs w:val="20"/>
                <w:color w:val="auto"/>
              </w:rPr>
            </w:pPr>
            <w:r>
              <w:rPr>
                <w:rFonts w:ascii="Arial" w:cs="Arial" w:eastAsia="Arial" w:hAnsi="Arial"/>
                <w:sz w:val="17"/>
                <w:szCs w:val="17"/>
                <w:b w:val="1"/>
                <w:bCs w:val="1"/>
                <w:color w:val="auto"/>
              </w:rPr>
              <w:t>remaining</w:t>
            </w:r>
          </w:p>
        </w:tc>
        <w:tc>
          <w:tcPr>
            <w:tcW w:w="1180" w:type="dxa"/>
            <w:vAlign w:val="bottom"/>
            <w:gridSpan w:val="3"/>
          </w:tcPr>
          <w:p>
            <w:pPr>
              <w:ind w:left="260"/>
              <w:spacing w:after="0"/>
              <w:rPr>
                <w:sz w:val="20"/>
                <w:szCs w:val="20"/>
                <w:color w:val="auto"/>
              </w:rPr>
            </w:pPr>
            <w:r>
              <w:rPr>
                <w:rFonts w:ascii="Arial" w:cs="Arial" w:eastAsia="Arial" w:hAnsi="Arial"/>
                <w:sz w:val="17"/>
                <w:szCs w:val="17"/>
                <w:b w:val="1"/>
                <w:bCs w:val="1"/>
                <w:color w:val="auto"/>
              </w:rPr>
              <w:t>Aggregate</w:t>
            </w:r>
          </w:p>
        </w:tc>
      </w:tr>
      <w:tr>
        <w:trPr>
          <w:trHeight w:val="200"/>
        </w:trPr>
        <w:tc>
          <w:tcPr>
            <w:tcW w:w="58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of</w:t>
            </w:r>
          </w:p>
        </w:tc>
        <w:tc>
          <w:tcPr>
            <w:tcW w:w="130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rPr>
              <w:t>exercise</w:t>
            </w:r>
          </w:p>
        </w:tc>
        <w:tc>
          <w:tcPr>
            <w:tcW w:w="1440" w:type="dxa"/>
            <w:vAlign w:val="bottom"/>
          </w:tcPr>
          <w:p>
            <w:pPr>
              <w:jc w:val="right"/>
              <w:ind w:right="173"/>
              <w:spacing w:after="0"/>
              <w:rPr>
                <w:sz w:val="20"/>
                <w:szCs w:val="20"/>
                <w:color w:val="auto"/>
              </w:rPr>
            </w:pPr>
            <w:r>
              <w:rPr>
                <w:rFonts w:ascii="Arial" w:cs="Arial" w:eastAsia="Arial" w:hAnsi="Arial"/>
                <w:sz w:val="17"/>
                <w:szCs w:val="17"/>
                <w:b w:val="1"/>
                <w:bCs w:val="1"/>
                <w:color w:val="auto"/>
              </w:rPr>
              <w:t>contractual</w:t>
            </w:r>
          </w:p>
        </w:tc>
        <w:tc>
          <w:tcPr>
            <w:tcW w:w="4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intrinsic</w:t>
            </w:r>
          </w:p>
        </w:tc>
      </w:tr>
      <w:tr>
        <w:trPr>
          <w:trHeight w:val="232"/>
        </w:trPr>
        <w:tc>
          <w:tcPr>
            <w:tcW w:w="5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shares</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price</w:t>
            </w: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life (years)</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value</w:t>
            </w:r>
            <w:r>
              <w:rPr>
                <w:rFonts w:ascii="Arial" w:cs="Arial" w:eastAsia="Arial" w:hAnsi="Arial"/>
                <w:sz w:val="11"/>
                <w:szCs w:val="11"/>
                <w:b w:val="1"/>
                <w:bCs w:val="1"/>
                <w:color w:val="auto"/>
              </w:rPr>
              <w:t>(1)</w:t>
            </w:r>
          </w:p>
        </w:tc>
      </w:tr>
      <w:tr>
        <w:trPr>
          <w:trHeight w:val="194"/>
        </w:trPr>
        <w:tc>
          <w:tcPr>
            <w:tcW w:w="5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as of December 31, 2016</w:t>
            </w:r>
          </w:p>
        </w:tc>
        <w:tc>
          <w:tcPr>
            <w:tcW w:w="8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501,932</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ind w:left="240"/>
              <w:spacing w:after="0" w:line="194"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0.40</w:t>
            </w:r>
          </w:p>
        </w:tc>
        <w:tc>
          <w:tcPr>
            <w:tcW w:w="144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rPr>
              <w:t>9.1</w:t>
            </w:r>
          </w:p>
        </w:tc>
        <w:tc>
          <w:tcPr>
            <w:tcW w:w="40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200"/>
        </w:trPr>
        <w:tc>
          <w:tcPr>
            <w:tcW w:w="5840" w:type="dxa"/>
            <w:vAlign w:val="bottom"/>
          </w:tcPr>
          <w:p>
            <w:pPr>
              <w:ind w:left="200"/>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143,487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0.40</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Forfeited or expired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(59,978)</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0.40</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7"/>
                <w:szCs w:val="17"/>
                <w:color w:val="auto"/>
              </w:rPr>
              <w:t>Outstanding as of December 31, 2017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585,441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0.40</w:t>
            </w:r>
          </w:p>
        </w:tc>
        <w:tc>
          <w:tcPr>
            <w:tcW w:w="1440" w:type="dxa"/>
            <w:vAlign w:val="bottom"/>
          </w:tcPr>
          <w:p>
            <w:pPr>
              <w:jc w:val="right"/>
              <w:ind w:right="173"/>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0"/>
        </w:trPr>
        <w:tc>
          <w:tcPr>
            <w:tcW w:w="5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2,969,181</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1.34</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5840" w:type="dxa"/>
            <w:vAlign w:val="bottom"/>
          </w:tcPr>
          <w:p>
            <w:pPr>
              <w:ind w:left="200"/>
              <w:spacing w:after="0"/>
              <w:rPr>
                <w:sz w:val="20"/>
                <w:szCs w:val="20"/>
                <w:color w:val="auto"/>
              </w:rPr>
            </w:pPr>
            <w:r>
              <w:rPr>
                <w:rFonts w:ascii="Arial" w:cs="Arial" w:eastAsia="Arial" w:hAnsi="Arial"/>
                <w:sz w:val="17"/>
                <w:szCs w:val="17"/>
                <w:color w:val="auto"/>
              </w:rPr>
              <w:t>Exercised</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(57,324)</w:t>
            </w:r>
          </w:p>
        </w:tc>
        <w:tc>
          <w:tcPr>
            <w:tcW w:w="36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0.44</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Forfeited or expired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(12,670)</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0.40</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7"/>
                <w:szCs w:val="17"/>
                <w:color w:val="auto"/>
              </w:rPr>
              <w:t>Outstanding as of December 31, 2018</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3,484,628</w:t>
            </w:r>
          </w:p>
        </w:tc>
        <w:tc>
          <w:tcPr>
            <w:tcW w:w="300" w:type="dxa"/>
            <w:vAlign w:val="bottom"/>
          </w:tcPr>
          <w:p>
            <w:pPr>
              <w:spacing w:after="0"/>
              <w:rPr>
                <w:sz w:val="18"/>
                <w:szCs w:val="18"/>
                <w:color w:val="auto"/>
              </w:rPr>
            </w:pPr>
          </w:p>
        </w:tc>
        <w:tc>
          <w:tcPr>
            <w:tcW w:w="360" w:type="dxa"/>
            <w:vAlign w:val="bottom"/>
          </w:tcPr>
          <w:p>
            <w:pPr>
              <w:ind w:left="24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1.20</w:t>
            </w:r>
          </w:p>
        </w:tc>
        <w:tc>
          <w:tcPr>
            <w:tcW w:w="1440" w:type="dxa"/>
            <w:vAlign w:val="bottom"/>
          </w:tcPr>
          <w:p>
            <w:pPr>
              <w:jc w:val="right"/>
              <w:ind w:right="173"/>
              <w:spacing w:after="0"/>
              <w:rPr>
                <w:sz w:val="20"/>
                <w:szCs w:val="20"/>
                <w:color w:val="auto"/>
              </w:rPr>
            </w:pPr>
            <w:r>
              <w:rPr>
                <w:rFonts w:ascii="Arial" w:cs="Arial" w:eastAsia="Arial" w:hAnsi="Arial"/>
                <w:sz w:val="17"/>
                <w:szCs w:val="17"/>
                <w:color w:val="auto"/>
              </w:rPr>
              <w:t>8.9</w:t>
            </w:r>
          </w:p>
        </w:tc>
        <w:tc>
          <w:tcPr>
            <w:tcW w:w="400" w:type="dxa"/>
            <w:vAlign w:val="bottom"/>
          </w:tcPr>
          <w:p>
            <w:pPr>
              <w:ind w:left="2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3,436</w:t>
            </w:r>
          </w:p>
        </w:tc>
        <w:tc>
          <w:tcPr>
            <w:tcW w:w="60" w:type="dxa"/>
            <w:vAlign w:val="bottom"/>
          </w:tcPr>
          <w:p>
            <w:pPr>
              <w:spacing w:after="0"/>
              <w:rPr>
                <w:sz w:val="18"/>
                <w:szCs w:val="18"/>
                <w:color w:val="auto"/>
              </w:rPr>
            </w:pPr>
          </w:p>
        </w:tc>
      </w:tr>
      <w:tr>
        <w:trPr>
          <w:trHeight w:val="200"/>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Exercisable as of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891,366</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0.58</w:t>
            </w:r>
          </w:p>
        </w:tc>
        <w:tc>
          <w:tcPr>
            <w:tcW w:w="14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8.1</w:t>
            </w:r>
          </w:p>
        </w:tc>
        <w:tc>
          <w:tcPr>
            <w:tcW w:w="4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w:t>
            </w:r>
          </w:p>
        </w:tc>
        <w:tc>
          <w:tcPr>
            <w:tcW w:w="60" w:type="dxa"/>
            <w:vAlign w:val="bottom"/>
            <w:shd w:val="clear" w:color="auto" w:fill="CCEEFF"/>
          </w:tcPr>
          <w:p>
            <w:pPr>
              <w:spacing w:after="0"/>
              <w:rPr>
                <w:sz w:val="17"/>
                <w:szCs w:val="17"/>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6" w:lineRule="exact"/>
        <w:rPr>
          <w:sz w:val="20"/>
          <w:szCs w:val="20"/>
          <w:color w:val="auto"/>
        </w:rPr>
      </w:pPr>
    </w:p>
    <w:p>
      <w:pPr>
        <w:ind w:left="600" w:right="120" w:hanging="327"/>
        <w:spacing w:after="0" w:line="253" w:lineRule="auto"/>
        <w:tabs>
          <w:tab w:leader="none" w:pos="6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aggregate intrinsic value is calculated as the difference between the exercise price of the underlying options and the estimated fair value of the common stock for the options that were in the money at December 31, 2018 and 2017.</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weighted average grant date fair value per share of stock options granted during the years ended December 31, 2018 and 2017 was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$0.79 and $0.25, respectively. The aggregate intrinsic value of stock options exercised during the year ended December 31, 2018 was $100.</w:t>
      </w:r>
    </w:p>
    <w:p>
      <w:pPr>
        <w:spacing w:after="0" w:line="111"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The aggregate grant date fair value of stock options granted during the years ended December 31, 2018 and 2017 was approximately $2,335 and $57, respectively.</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1" w:lineRule="exact"/>
        <w:rPr>
          <w:sz w:val="20"/>
          <w:szCs w:val="20"/>
          <w:color w:val="auto"/>
        </w:rPr>
      </w:pPr>
    </w:p>
    <w:p>
      <w:pPr>
        <w:ind w:left="280" w:right="740"/>
        <w:spacing w:after="0" w:line="262" w:lineRule="auto"/>
        <w:rPr>
          <w:sz w:val="20"/>
          <w:szCs w:val="20"/>
          <w:color w:val="auto"/>
        </w:rPr>
      </w:pPr>
      <w:r>
        <w:rPr>
          <w:rFonts w:ascii="Arial" w:cs="Arial" w:eastAsia="Arial" w:hAnsi="Arial"/>
          <w:sz w:val="17"/>
          <w:szCs w:val="17"/>
          <w:color w:val="auto"/>
        </w:rPr>
        <w:t>The Company recorded stock-based compensation expense of $240 and $26 during the years ended December 31, 2018 and 2017, respectively. As of December 31, 2018, there was $1,986 of unrecognized</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160"/>
          </w:cols>
          <w:pgMar w:left="240" w:top="455"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740"/>
        <w:spacing w:after="0" w:line="262" w:lineRule="auto"/>
        <w:rPr>
          <w:sz w:val="20"/>
          <w:szCs w:val="20"/>
          <w:color w:val="auto"/>
        </w:rPr>
      </w:pPr>
      <w:r>
        <w:rPr>
          <w:rFonts w:ascii="Arial" w:cs="Arial" w:eastAsia="Arial" w:hAnsi="Arial"/>
          <w:sz w:val="17"/>
          <w:szCs w:val="17"/>
          <w:color w:val="auto"/>
        </w:rPr>
        <w:t>compensation cost related to unvested stock-based compensation arrangements granted under the 2014 Plan. The compensation is expected to be recognized over a weighted average period of 4 years as of December 31, 2018.</w:t>
      </w:r>
    </w:p>
    <w:p>
      <w:pPr>
        <w:spacing w:after="0" w:line="80" w:lineRule="exact"/>
        <w:rPr>
          <w:sz w:val="20"/>
          <w:szCs w:val="20"/>
          <w:color w:val="auto"/>
        </w:rPr>
      </w:pPr>
    </w:p>
    <w:p>
      <w:pPr>
        <w:ind w:left="280" w:right="180"/>
        <w:spacing w:after="0" w:line="262" w:lineRule="auto"/>
        <w:rPr>
          <w:sz w:val="20"/>
          <w:szCs w:val="20"/>
          <w:color w:val="auto"/>
        </w:rPr>
      </w:pPr>
      <w:r>
        <w:rPr>
          <w:rFonts w:ascii="Arial" w:cs="Arial" w:eastAsia="Arial" w:hAnsi="Arial"/>
          <w:sz w:val="17"/>
          <w:szCs w:val="17"/>
          <w:color w:val="auto"/>
        </w:rPr>
        <w:t>Stock-based compensation expense recorded as research and development and general and administrative expenses in the accompanying consolidated statements of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7526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52600" cy="8255"/>
                    </a:xfrm>
                    <a:prstGeom prst="rect">
                      <a:avLst/>
                    </a:prstGeom>
                    <a:noFill/>
                  </pic:spPr>
                </pic:pic>
              </a:graphicData>
            </a:graphic>
          </wp:anchor>
        </w:drawing>
      </w:r>
    </w:p>
    <w:p>
      <w:pPr>
        <w:spacing w:after="0" w:line="25" w:lineRule="exact"/>
        <w:rPr>
          <w:sz w:val="20"/>
          <w:szCs w:val="20"/>
          <w:color w:val="auto"/>
        </w:rPr>
      </w:pPr>
    </w:p>
    <w:p>
      <w:pPr>
        <w:ind w:left="8920"/>
        <w:spacing w:after="0"/>
        <w:tabs>
          <w:tab w:leader="none" w:pos="1070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3"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80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380" w:type="dxa"/>
            <w:vAlign w:val="bottom"/>
            <w:tcBorders>
              <w:top w:val="single" w:sz="8" w:color="auto"/>
            </w:tcBorders>
            <w:shd w:val="clear" w:color="auto" w:fill="CCEEFF"/>
          </w:tcPr>
          <w:p>
            <w:pPr>
              <w:jc w:val="right"/>
              <w:ind w:right="193"/>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ind w:right="313"/>
              <w:spacing w:after="0" w:line="194" w:lineRule="exact"/>
              <w:rPr>
                <w:sz w:val="20"/>
                <w:szCs w:val="20"/>
                <w:color w:val="auto"/>
              </w:rPr>
            </w:pPr>
            <w:r>
              <w:rPr>
                <w:rFonts w:ascii="Arial" w:cs="Arial" w:eastAsia="Arial" w:hAnsi="Arial"/>
                <w:sz w:val="17"/>
                <w:szCs w:val="17"/>
                <w:color w:val="auto"/>
              </w:rPr>
              <w:t>117</w:t>
            </w:r>
          </w:p>
        </w:tc>
        <w:tc>
          <w:tcPr>
            <w:tcW w:w="860" w:type="dxa"/>
            <w:vAlign w:val="bottom"/>
            <w:tcBorders>
              <w:top w:val="single" w:sz="8" w:color="auto"/>
            </w:tcBorders>
            <w:shd w:val="clear" w:color="auto" w:fill="CCEEFF"/>
          </w:tcPr>
          <w:p>
            <w:pPr>
              <w:jc w:val="right"/>
              <w:ind w:right="253"/>
              <w:spacing w:after="0" w:line="194"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7</w:t>
            </w:r>
          </w:p>
        </w:tc>
      </w:tr>
      <w:tr>
        <w:trPr>
          <w:trHeight w:val="200"/>
        </w:trPr>
        <w:tc>
          <w:tcPr>
            <w:tcW w:w="80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80" w:type="dxa"/>
            <w:vAlign w:val="bottom"/>
          </w:tcPr>
          <w:p>
            <w:pPr>
              <w:spacing w:after="0"/>
              <w:rPr>
                <w:sz w:val="17"/>
                <w:szCs w:val="17"/>
                <w:color w:val="auto"/>
              </w:rPr>
            </w:pPr>
          </w:p>
        </w:tc>
        <w:tc>
          <w:tcPr>
            <w:tcW w:w="980" w:type="dxa"/>
            <w:vAlign w:val="bottom"/>
          </w:tcPr>
          <w:p>
            <w:pPr>
              <w:jc w:val="right"/>
              <w:ind w:right="313"/>
              <w:spacing w:after="0"/>
              <w:rPr>
                <w:sz w:val="20"/>
                <w:szCs w:val="20"/>
                <w:color w:val="auto"/>
              </w:rPr>
            </w:pPr>
            <w:r>
              <w:rPr>
                <w:rFonts w:ascii="Arial" w:cs="Arial" w:eastAsia="Arial" w:hAnsi="Arial"/>
                <w:sz w:val="17"/>
                <w:szCs w:val="17"/>
                <w:color w:val="auto"/>
              </w:rPr>
              <w:t>123</w:t>
            </w:r>
          </w:p>
        </w:tc>
        <w:tc>
          <w:tcPr>
            <w:tcW w:w="86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r>
      <w:tr>
        <w:trPr>
          <w:trHeight w:val="27"/>
        </w:trPr>
        <w:tc>
          <w:tcPr>
            <w:tcW w:w="80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80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240</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w:t>
            </w: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280" w:right="260"/>
        <w:spacing w:after="0" w:line="262" w:lineRule="auto"/>
        <w:rPr>
          <w:sz w:val="20"/>
          <w:szCs w:val="20"/>
          <w:color w:val="auto"/>
        </w:rPr>
      </w:pPr>
      <w:r>
        <w:rPr>
          <w:rFonts w:ascii="Arial" w:cs="Arial" w:eastAsia="Arial" w:hAnsi="Arial"/>
          <w:sz w:val="17"/>
          <w:szCs w:val="17"/>
          <w:color w:val="auto"/>
        </w:rPr>
        <w:t>The Company uses the Black-Scholes option pricing model to calculate the grant-date fair value of an award. The fair values of the options granted to employees and directors were calculated using the following assumptions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7160" w:type="dxa"/>
            <w:vAlign w:val="bottom"/>
          </w:tcPr>
          <w:p>
            <w:pPr>
              <w:spacing w:after="0"/>
              <w:rPr>
                <w:sz w:val="19"/>
                <w:szCs w:val="19"/>
                <w:color w:val="auto"/>
              </w:rPr>
            </w:pPr>
          </w:p>
        </w:tc>
        <w:tc>
          <w:tcPr>
            <w:tcW w:w="372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Year ended December 31,</w:t>
            </w:r>
          </w:p>
        </w:tc>
      </w:tr>
      <w:tr>
        <w:trPr>
          <w:trHeight w:val="220"/>
        </w:trPr>
        <w:tc>
          <w:tcPr>
            <w:tcW w:w="7160" w:type="dxa"/>
            <w:vAlign w:val="bottom"/>
            <w:tcBorders>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2018</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3"/>
        </w:trPr>
        <w:tc>
          <w:tcPr>
            <w:tcW w:w="7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1960" w:type="dxa"/>
            <w:vAlign w:val="bottom"/>
            <w:shd w:val="clear" w:color="auto" w:fill="CCEEFF"/>
          </w:tcPr>
          <w:p>
            <w:pPr>
              <w:jc w:val="right"/>
              <w:ind w:right="193"/>
              <w:spacing w:after="0" w:line="194" w:lineRule="exact"/>
              <w:rPr>
                <w:sz w:val="20"/>
                <w:szCs w:val="20"/>
                <w:color w:val="auto"/>
              </w:rPr>
            </w:pPr>
            <w:r>
              <w:rPr>
                <w:rFonts w:ascii="Arial" w:cs="Arial" w:eastAsia="Arial" w:hAnsi="Arial"/>
                <w:sz w:val="17"/>
                <w:szCs w:val="17"/>
                <w:color w:val="auto"/>
              </w:rPr>
              <w:t>2.67%—2.84%</w:t>
            </w:r>
          </w:p>
        </w:tc>
        <w:tc>
          <w:tcPr>
            <w:tcW w:w="1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2.27%</w:t>
            </w:r>
          </w:p>
        </w:tc>
        <w:tc>
          <w:tcPr>
            <w:tcW w:w="80" w:type="dxa"/>
            <w:vAlign w:val="bottom"/>
            <w:shd w:val="clear" w:color="auto" w:fill="CCEEFF"/>
          </w:tcPr>
          <w:p>
            <w:pPr>
              <w:spacing w:after="0"/>
              <w:rPr>
                <w:sz w:val="16"/>
                <w:szCs w:val="16"/>
                <w:color w:val="auto"/>
              </w:rPr>
            </w:pPr>
          </w:p>
        </w:tc>
      </w:tr>
      <w:tr>
        <w:trPr>
          <w:trHeight w:val="200"/>
        </w:trPr>
        <w:tc>
          <w:tcPr>
            <w:tcW w:w="71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960" w:type="dxa"/>
            <w:vAlign w:val="bottom"/>
          </w:tcPr>
          <w:p>
            <w:pPr>
              <w:jc w:val="right"/>
              <w:ind w:right="193"/>
              <w:spacing w:after="0"/>
              <w:rPr>
                <w:sz w:val="20"/>
                <w:szCs w:val="20"/>
                <w:color w:val="auto"/>
              </w:rPr>
            </w:pPr>
            <w:r>
              <w:rPr>
                <w:rFonts w:ascii="Arial" w:cs="Arial" w:eastAsia="Arial" w:hAnsi="Arial"/>
                <w:sz w:val="17"/>
                <w:szCs w:val="17"/>
                <w:color w:val="auto"/>
              </w:rPr>
              <w:t>0%</w:t>
            </w:r>
          </w:p>
        </w:tc>
        <w:tc>
          <w:tcPr>
            <w:tcW w:w="168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r>
      <w:tr>
        <w:trPr>
          <w:trHeight w:val="20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Expected life</w:t>
            </w:r>
          </w:p>
        </w:tc>
        <w:tc>
          <w:tcPr>
            <w:tcW w:w="19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6.25—6.375 years</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6.25—6.375 years</w:t>
            </w:r>
          </w:p>
        </w:tc>
      </w:tr>
      <w:tr>
        <w:trPr>
          <w:trHeight w:val="213"/>
        </w:trPr>
        <w:tc>
          <w:tcPr>
            <w:tcW w:w="7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Expected volatility</w:t>
            </w:r>
          </w:p>
        </w:tc>
        <w:tc>
          <w:tcPr>
            <w:tcW w:w="1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57%—60%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8"/>
                <w:szCs w:val="18"/>
                <w:color w:val="auto"/>
              </w:rPr>
            </w:pPr>
          </w:p>
        </w:tc>
      </w:tr>
    </w:tbl>
    <w:p>
      <w:pPr>
        <w:spacing w:after="0" w:line="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11. Net loss per share attributable to common stockholders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Year ended December 31,</w:t>
            </w:r>
          </w:p>
        </w:tc>
      </w:tr>
      <w:tr>
        <w:trPr>
          <w:trHeight w:val="220"/>
        </w:trPr>
        <w:tc>
          <w:tcPr>
            <w:tcW w:w="83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2018</w:t>
            </w:r>
          </w:p>
        </w:tc>
        <w:tc>
          <w:tcPr>
            <w:tcW w:w="4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47"/>
        </w:trPr>
        <w:tc>
          <w:tcPr>
            <w:tcW w:w="8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8300" w:type="dxa"/>
            <w:vAlign w:val="bottom"/>
          </w:tcPr>
          <w:p>
            <w:pPr>
              <w:ind w:left="420"/>
              <w:spacing w:after="0"/>
              <w:rPr>
                <w:sz w:val="20"/>
                <w:szCs w:val="20"/>
                <w:color w:val="auto"/>
              </w:rPr>
            </w:pPr>
            <w:r>
              <w:rPr>
                <w:rFonts w:ascii="Arial" w:cs="Arial" w:eastAsia="Arial" w:hAnsi="Arial"/>
                <w:sz w:val="17"/>
                <w:szCs w:val="17"/>
                <w:color w:val="auto"/>
              </w:rPr>
              <w:t>Net loss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3"/>
              <w:spacing w:after="0"/>
              <w:rPr>
                <w:sz w:val="20"/>
                <w:szCs w:val="20"/>
                <w:color w:val="auto"/>
              </w:rPr>
            </w:pPr>
            <w:r>
              <w:rPr>
                <w:rFonts w:ascii="Arial" w:cs="Arial" w:eastAsia="Arial" w:hAnsi="Arial"/>
                <w:sz w:val="17"/>
                <w:szCs w:val="17"/>
                <w:color w:val="auto"/>
              </w:rPr>
              <w:t>(12,521)</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(5,558)</w:t>
            </w:r>
          </w:p>
        </w:tc>
      </w:tr>
      <w:tr>
        <w:trPr>
          <w:trHeight w:val="73"/>
        </w:trPr>
        <w:tc>
          <w:tcPr>
            <w:tcW w:w="83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0"/>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7"/>
        </w:trPr>
        <w:tc>
          <w:tcPr>
            <w:tcW w:w="8300" w:type="dxa"/>
            <w:vAlign w:val="bottom"/>
          </w:tcPr>
          <w:p>
            <w:pPr>
              <w:ind w:left="200"/>
              <w:spacing w:after="0"/>
              <w:rPr>
                <w:sz w:val="20"/>
                <w:szCs w:val="20"/>
                <w:color w:val="auto"/>
              </w:rPr>
            </w:pPr>
            <w:r>
              <w:rPr>
                <w:rFonts w:ascii="Arial" w:cs="Arial" w:eastAsia="Arial" w:hAnsi="Arial"/>
                <w:sz w:val="17"/>
                <w:szCs w:val="17"/>
                <w:color w:val="auto"/>
              </w:rPr>
              <w:t>Weighted-average number of common shares, basic and diluted</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709,336</w:t>
            </w: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670,090</w:t>
            </w:r>
          </w:p>
        </w:tc>
        <w:tc>
          <w:tcPr>
            <w:tcW w:w="120" w:type="dxa"/>
            <w:vAlign w:val="bottom"/>
          </w:tcPr>
          <w:p>
            <w:pPr>
              <w:spacing w:after="0"/>
              <w:rPr>
                <w:sz w:val="17"/>
                <w:szCs w:val="17"/>
                <w:color w:val="auto"/>
              </w:rPr>
            </w:pPr>
          </w:p>
        </w:tc>
      </w:tr>
      <w:tr>
        <w:trPr>
          <w:trHeight w:val="200"/>
        </w:trPr>
        <w:tc>
          <w:tcPr>
            <w:tcW w:w="8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loss per common share attributable to common stockholders, basic and diluted</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(17.65)</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(8.29)</w:t>
            </w: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8300" w:type="dxa"/>
            <w:vAlign w:val="bottom"/>
          </w:tcPr>
          <w:p>
            <w:pPr>
              <w:ind w:left="5260"/>
              <w:spacing w:after="0"/>
              <w:rPr>
                <w:sz w:val="20"/>
                <w:szCs w:val="20"/>
                <w:color w:val="auto"/>
              </w:rPr>
            </w:pPr>
            <w:r>
              <w:rPr>
                <w:rFonts w:ascii="Arial" w:cs="Arial" w:eastAsia="Arial" w:hAnsi="Arial"/>
                <w:sz w:val="17"/>
                <w:szCs w:val="17"/>
                <w:color w:val="auto"/>
              </w:rPr>
              <w:t>F-21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The Company’s potential dilutive securities, which include Preferred Stock and common stock options,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65405</wp:posOffset>
            </wp:positionV>
            <wp:extent cx="690943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31"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8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December 31,</w:t>
            </w:r>
          </w:p>
        </w:tc>
      </w:tr>
      <w:tr>
        <w:trPr>
          <w:trHeight w:val="20"/>
        </w:trPr>
        <w:tc>
          <w:tcPr>
            <w:tcW w:w="8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8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2017</w:t>
            </w:r>
          </w:p>
        </w:tc>
      </w:tr>
      <w:tr>
        <w:trPr>
          <w:trHeight w:val="193"/>
        </w:trPr>
        <w:tc>
          <w:tcPr>
            <w:tcW w:w="8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Preferred Stock</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22,677,585</w:t>
            </w:r>
          </w:p>
        </w:tc>
        <w:tc>
          <w:tcPr>
            <w:tcW w:w="1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4,980,168</w:t>
            </w:r>
          </w:p>
        </w:tc>
        <w:tc>
          <w:tcPr>
            <w:tcW w:w="80" w:type="dxa"/>
            <w:vAlign w:val="bottom"/>
            <w:shd w:val="clear" w:color="auto" w:fill="CCEEFF"/>
          </w:tcPr>
          <w:p>
            <w:pPr>
              <w:spacing w:after="0"/>
              <w:rPr>
                <w:sz w:val="16"/>
                <w:szCs w:val="16"/>
                <w:color w:val="auto"/>
              </w:rPr>
            </w:pPr>
          </w:p>
        </w:tc>
      </w:tr>
      <w:tr>
        <w:trPr>
          <w:trHeight w:val="207"/>
        </w:trPr>
        <w:tc>
          <w:tcPr>
            <w:tcW w:w="8580" w:type="dxa"/>
            <w:vAlign w:val="bottom"/>
          </w:tcPr>
          <w:p>
            <w:pPr>
              <w:spacing w:after="0"/>
              <w:rPr>
                <w:sz w:val="20"/>
                <w:szCs w:val="20"/>
                <w:color w:val="auto"/>
              </w:rPr>
            </w:pPr>
            <w:r>
              <w:rPr>
                <w:rFonts w:ascii="Arial" w:cs="Arial" w:eastAsia="Arial" w:hAnsi="Arial"/>
                <w:sz w:val="17"/>
                <w:szCs w:val="17"/>
                <w:color w:val="auto"/>
              </w:rPr>
              <w:t>Outstanding options to purchase common stock</w:t>
            </w:r>
          </w:p>
        </w:tc>
        <w:tc>
          <w:tcPr>
            <w:tcW w:w="1060" w:type="dxa"/>
            <w:vAlign w:val="bottom"/>
          </w:tcPr>
          <w:p>
            <w:pPr>
              <w:jc w:val="right"/>
              <w:spacing w:after="0"/>
              <w:rPr>
                <w:sz w:val="20"/>
                <w:szCs w:val="20"/>
                <w:color w:val="auto"/>
              </w:rPr>
            </w:pPr>
            <w:r>
              <w:rPr>
                <w:rFonts w:ascii="Arial" w:cs="Arial" w:eastAsia="Arial" w:hAnsi="Arial"/>
                <w:sz w:val="17"/>
                <w:szCs w:val="17"/>
                <w:color w:val="auto"/>
              </w:rPr>
              <w:t>3,484,628</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585,441</w:t>
            </w:r>
          </w:p>
        </w:tc>
      </w:tr>
      <w:tr>
        <w:trPr>
          <w:trHeight w:val="200"/>
        </w:trPr>
        <w:tc>
          <w:tcPr>
            <w:tcW w:w="85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26,162,213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5,565,609</w:t>
            </w:r>
          </w:p>
        </w:tc>
        <w:tc>
          <w:tcPr>
            <w:tcW w:w="80" w:type="dxa"/>
            <w:vAlign w:val="bottom"/>
            <w:shd w:val="clear" w:color="auto" w:fill="CCEEFF"/>
          </w:tcPr>
          <w:p>
            <w:pPr>
              <w:spacing w:after="0"/>
              <w:rPr>
                <w:sz w:val="17"/>
                <w:szCs w:val="17"/>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131" w:lineRule="exact"/>
        <w:rPr>
          <w:sz w:val="20"/>
          <w:szCs w:val="20"/>
          <w:color w:val="auto"/>
        </w:rPr>
      </w:pPr>
    </w:p>
    <w:p>
      <w:pPr>
        <w:ind w:left="280" w:right="100"/>
        <w:spacing w:after="0" w:line="249" w:lineRule="auto"/>
        <w:rPr>
          <w:sz w:val="20"/>
          <w:szCs w:val="20"/>
          <w:color w:val="auto"/>
        </w:rPr>
      </w:pPr>
      <w:r>
        <w:rPr>
          <w:rFonts w:ascii="Arial" w:cs="Arial" w:eastAsia="Arial" w:hAnsi="Arial"/>
          <w:sz w:val="17"/>
          <w:szCs w:val="17"/>
          <w:color w:val="auto"/>
        </w:rPr>
        <w:t>The unaudited pro forma basic and diluted weighted average common shares outstanding used in the calculation of unaudited pro forma basic and diluted net loss per share attributable to common stockholders for the year ended December 31, 2018 gives effect to the automatic conversion upon the closing of the proposed initial public offering of all outstanding shares of convertible preferred stock as of December 31, 2018 into 22,677,585 shares of common stock as if the conversion had occurred on the later of January 1, 2018 or the issuance date of the convertible preferred stock.</w:t>
      </w:r>
    </w:p>
    <w:p>
      <w:pPr>
        <w:spacing w:after="0" w:line="93"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Unaudited pro forma basic and diluted net loss per share attributable to common stockholders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8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Year ended</w:t>
            </w:r>
          </w:p>
        </w:tc>
      </w:tr>
      <w:tr>
        <w:trPr>
          <w:trHeight w:val="219"/>
        </w:trPr>
        <w:tc>
          <w:tcPr>
            <w:tcW w:w="8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December 31, 2018</w:t>
            </w:r>
          </w:p>
        </w:tc>
      </w:tr>
      <w:tr>
        <w:trPr>
          <w:trHeight w:val="224"/>
        </w:trPr>
        <w:tc>
          <w:tcPr>
            <w:tcW w:w="8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(unaudited)</w:t>
            </w:r>
          </w:p>
        </w:tc>
      </w:tr>
      <w:tr>
        <w:trPr>
          <w:trHeight w:val="36"/>
        </w:trPr>
        <w:tc>
          <w:tcPr>
            <w:tcW w:w="8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0"/>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8620" w:type="dxa"/>
            <w:vAlign w:val="bottom"/>
          </w:tcPr>
          <w:p>
            <w:pPr>
              <w:ind w:left="420"/>
              <w:spacing w:after="0"/>
              <w:rPr>
                <w:sz w:val="20"/>
                <w:szCs w:val="20"/>
                <w:color w:val="auto"/>
              </w:rPr>
            </w:pPr>
            <w:r>
              <w:rPr>
                <w:rFonts w:ascii="Arial" w:cs="Arial" w:eastAsia="Arial" w:hAnsi="Arial"/>
                <w:sz w:val="17"/>
                <w:szCs w:val="17"/>
                <w:color w:val="auto"/>
              </w:rPr>
              <w:t>Net loss attributable to common stockholders</w:t>
            </w:r>
          </w:p>
        </w:tc>
        <w:tc>
          <w:tcPr>
            <w:tcW w:w="9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12,521</w:t>
            </w:r>
          </w:p>
        </w:tc>
      </w:tr>
      <w:tr>
        <w:trPr>
          <w:trHeight w:val="27"/>
        </w:trPr>
        <w:tc>
          <w:tcPr>
            <w:tcW w:w="8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86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 forma net loss attributable to common stockholders</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12,521</w:t>
            </w:r>
          </w:p>
        </w:tc>
      </w:tr>
      <w:tr>
        <w:trPr>
          <w:trHeight w:val="267"/>
        </w:trPr>
        <w:tc>
          <w:tcPr>
            <w:tcW w:w="8620" w:type="dxa"/>
            <w:vAlign w:val="bottom"/>
          </w:tcPr>
          <w:p>
            <w:pPr>
              <w:spacing w:after="0"/>
              <w:rPr>
                <w:sz w:val="20"/>
                <w:szCs w:val="20"/>
                <w:color w:val="auto"/>
              </w:rPr>
            </w:pPr>
            <w:r>
              <w:rPr>
                <w:rFonts w:ascii="Arial" w:cs="Arial" w:eastAsia="Arial" w:hAnsi="Arial"/>
                <w:sz w:val="17"/>
                <w:szCs w:val="17"/>
                <w:color w:val="auto"/>
              </w:rPr>
              <w:t>Denominator:</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86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Weighted average common shares outstanding—basic and diluted</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709,336</w:t>
            </w:r>
          </w:p>
        </w:tc>
      </w:tr>
      <w:tr>
        <w:trPr>
          <w:trHeight w:val="203"/>
        </w:trPr>
        <w:tc>
          <w:tcPr>
            <w:tcW w:w="8620" w:type="dxa"/>
            <w:vAlign w:val="bottom"/>
          </w:tcPr>
          <w:p>
            <w:pPr>
              <w:ind w:left="420"/>
              <w:spacing w:after="0"/>
              <w:rPr>
                <w:sz w:val="20"/>
                <w:szCs w:val="20"/>
                <w:color w:val="auto"/>
              </w:rPr>
            </w:pPr>
            <w:r>
              <w:rPr>
                <w:rFonts w:ascii="Arial" w:cs="Arial" w:eastAsia="Arial" w:hAnsi="Arial"/>
                <w:sz w:val="17"/>
                <w:szCs w:val="17"/>
                <w:color w:val="auto"/>
              </w:rPr>
              <w:t>Pro forma adjustment to reflect assumed automatic conversion of convertible preferred shares upon</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8620" w:type="dxa"/>
            <w:vAlign w:val="bottom"/>
          </w:tcPr>
          <w:p>
            <w:pPr>
              <w:ind w:left="640"/>
              <w:spacing w:after="0"/>
              <w:rPr>
                <w:sz w:val="20"/>
                <w:szCs w:val="20"/>
                <w:color w:val="auto"/>
              </w:rPr>
            </w:pPr>
            <w:r>
              <w:rPr>
                <w:rFonts w:ascii="Arial" w:cs="Arial" w:eastAsia="Arial" w:hAnsi="Arial"/>
                <w:sz w:val="17"/>
                <w:szCs w:val="17"/>
                <w:color w:val="auto"/>
              </w:rPr>
              <w:t>the closing of the proposed initial public offering</w:t>
            </w:r>
          </w:p>
        </w:tc>
        <w:tc>
          <w:tcPr>
            <w:tcW w:w="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12,075,475</w:t>
            </w:r>
          </w:p>
        </w:tc>
        <w:tc>
          <w:tcPr>
            <w:tcW w:w="120" w:type="dxa"/>
            <w:vAlign w:val="bottom"/>
          </w:tcPr>
          <w:p>
            <w:pPr>
              <w:spacing w:after="0"/>
              <w:rPr>
                <w:sz w:val="17"/>
                <w:szCs w:val="17"/>
                <w:color w:val="auto"/>
              </w:rPr>
            </w:pPr>
          </w:p>
        </w:tc>
      </w:tr>
      <w:tr>
        <w:trPr>
          <w:trHeight w:val="200"/>
        </w:trPr>
        <w:tc>
          <w:tcPr>
            <w:tcW w:w="86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 forma weighted average common shares outstanding—basic and diluted</w:t>
            </w:r>
          </w:p>
        </w:tc>
        <w:tc>
          <w:tcPr>
            <w:tcW w:w="5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12,784,811</w:t>
            </w:r>
          </w:p>
        </w:tc>
        <w:tc>
          <w:tcPr>
            <w:tcW w:w="120" w:type="dxa"/>
            <w:vAlign w:val="bottom"/>
            <w:shd w:val="clear" w:color="auto" w:fill="CCEEFF"/>
          </w:tcPr>
          <w:p>
            <w:pPr>
              <w:spacing w:after="0"/>
              <w:rPr>
                <w:sz w:val="17"/>
                <w:szCs w:val="17"/>
                <w:color w:val="auto"/>
              </w:rPr>
            </w:pPr>
          </w:p>
        </w:tc>
      </w:tr>
      <w:tr>
        <w:trPr>
          <w:trHeight w:val="207"/>
        </w:trPr>
        <w:tc>
          <w:tcPr>
            <w:tcW w:w="862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Pro forma net loss per share attributable to common stockholders—basic and diluted</w:t>
            </w:r>
          </w:p>
        </w:tc>
        <w:tc>
          <w:tcPr>
            <w:tcW w:w="940" w:type="dxa"/>
            <w:vAlign w:val="bottom"/>
            <w:tcBorders>
              <w:bottom w:val="single" w:sz="8" w:color="auto"/>
            </w:tcBorders>
            <w:gridSpan w:val="2"/>
          </w:tcPr>
          <w:p>
            <w:pPr>
              <w:ind w:left="58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(0.98)</w:t>
            </w:r>
          </w:p>
        </w:tc>
      </w:tr>
    </w:tbl>
    <w:p>
      <w:pPr>
        <w:spacing w:after="0" w:line="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12. Income taxes</w:t>
      </w:r>
    </w:p>
    <w:p>
      <w:pPr>
        <w:spacing w:after="0" w:line="14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 xml:space="preserve">Among other provisions, the TCJA reduces the historical U.S. federal corporate income tax rate from a top rate of 35% to a newly enacted flat rate of 21% beginning January 1, 2018. At the date the new legislation is enacted,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is required to recognize the effects of the change in tax law and rates on its deferred tax assets and liabilities as a charge to income tax expense. As a result of the above TCJA and the revaluation of deferred tax assets and liabilities at December 31, 2017, the Company recognized a decrease in its deferred tax assets of $1,506. This reduction in the Company’s deferred tax assets has been offset by a coinciding reduction in the associated valuation allowance, resulting in no additional tax expense.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160"/>
          </w:cols>
          <w:pgMar w:left="240" w:top="455"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0"/>
        <w:spacing w:after="0" w:line="262" w:lineRule="auto"/>
        <w:rPr>
          <w:sz w:val="20"/>
          <w:szCs w:val="20"/>
          <w:color w:val="auto"/>
        </w:rPr>
      </w:pPr>
      <w:r>
        <w:rPr>
          <w:rFonts w:ascii="Arial" w:cs="Arial" w:eastAsia="Arial" w:hAnsi="Arial"/>
          <w:sz w:val="17"/>
          <w:szCs w:val="17"/>
          <w:color w:val="auto"/>
        </w:rPr>
        <w:t>A reconciliation of the expected income tax expense (benefit) computed using the federal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7940" w:type="dxa"/>
            <w:vAlign w:val="bottom"/>
          </w:tcPr>
          <w:p>
            <w:pPr>
              <w:spacing w:after="0"/>
              <w:rPr>
                <w:sz w:val="19"/>
                <w:szCs w:val="19"/>
                <w:color w:val="auto"/>
              </w:rPr>
            </w:pPr>
          </w:p>
        </w:tc>
        <w:tc>
          <w:tcPr>
            <w:tcW w:w="294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Year ended December 31,</w:t>
            </w:r>
          </w:p>
        </w:tc>
      </w:tr>
      <w:tr>
        <w:trPr>
          <w:trHeight w:val="20"/>
        </w:trPr>
        <w:tc>
          <w:tcPr>
            <w:tcW w:w="79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0"/>
        </w:trPr>
        <w:tc>
          <w:tcPr>
            <w:tcW w:w="79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2018</w:t>
            </w: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rPr>
              <w:t>2017</w:t>
            </w:r>
          </w:p>
        </w:tc>
      </w:tr>
      <w:tr>
        <w:trPr>
          <w:trHeight w:val="193"/>
        </w:trPr>
        <w:tc>
          <w:tcPr>
            <w:tcW w:w="7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income tax benefit at the federal statutory rate</w:t>
            </w:r>
          </w:p>
        </w:tc>
        <w:tc>
          <w:tcPr>
            <w:tcW w:w="1680" w:type="dxa"/>
            <w:vAlign w:val="bottom"/>
            <w:shd w:val="clear" w:color="auto" w:fill="CCEEFF"/>
          </w:tcPr>
          <w:p>
            <w:pPr>
              <w:jc w:val="right"/>
              <w:ind w:right="713"/>
              <w:spacing w:after="0" w:line="194" w:lineRule="exact"/>
              <w:rPr>
                <w:sz w:val="20"/>
                <w:szCs w:val="20"/>
                <w:color w:val="auto"/>
              </w:rPr>
            </w:pPr>
            <w:r>
              <w:rPr>
                <w:rFonts w:ascii="Arial" w:cs="Arial" w:eastAsia="Arial" w:hAnsi="Arial"/>
                <w:sz w:val="17"/>
                <w:szCs w:val="17"/>
                <w:color w:val="auto"/>
              </w:rPr>
              <w:t>21.0</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34.0</w:t>
            </w:r>
          </w:p>
        </w:tc>
        <w:tc>
          <w:tcPr>
            <w:tcW w:w="220" w:type="dxa"/>
            <w:vAlign w:val="bottom"/>
            <w:shd w:val="clear" w:color="auto" w:fill="CCEEFF"/>
          </w:tcPr>
          <w:p>
            <w:pPr>
              <w:spacing w:after="0"/>
              <w:rPr>
                <w:sz w:val="16"/>
                <w:szCs w:val="16"/>
                <w:color w:val="auto"/>
              </w:rPr>
            </w:pPr>
          </w:p>
        </w:tc>
      </w:tr>
      <w:tr>
        <w:trPr>
          <w:trHeight w:val="200"/>
        </w:trPr>
        <w:tc>
          <w:tcPr>
            <w:tcW w:w="794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1680" w:type="dxa"/>
            <w:vAlign w:val="bottom"/>
          </w:tcPr>
          <w:p>
            <w:pPr>
              <w:jc w:val="right"/>
              <w:ind w:right="713"/>
              <w:spacing w:after="0"/>
              <w:rPr>
                <w:sz w:val="20"/>
                <w:szCs w:val="20"/>
                <w:color w:val="auto"/>
              </w:rPr>
            </w:pPr>
            <w:r>
              <w:rPr>
                <w:rFonts w:ascii="Arial" w:cs="Arial" w:eastAsia="Arial" w:hAnsi="Arial"/>
                <w:sz w:val="17"/>
                <w:szCs w:val="17"/>
                <w:color w:val="auto"/>
              </w:rPr>
              <w:t>6.2</w:t>
            </w:r>
          </w:p>
        </w:tc>
        <w:tc>
          <w:tcPr>
            <w:tcW w:w="104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7"/>
                <w:szCs w:val="17"/>
                <w:color w:val="auto"/>
              </w:rPr>
            </w:pPr>
          </w:p>
        </w:tc>
      </w:tr>
      <w:tr>
        <w:trPr>
          <w:trHeight w:val="200"/>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Non-deductible items</w:t>
            </w:r>
          </w:p>
        </w:tc>
        <w:tc>
          <w:tcPr>
            <w:tcW w:w="168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rPr>
              <w:t>(0.3)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r>
      <w:tr>
        <w:trPr>
          <w:trHeight w:val="200"/>
        </w:trPr>
        <w:tc>
          <w:tcPr>
            <w:tcW w:w="7940" w:type="dxa"/>
            <w:vAlign w:val="bottom"/>
          </w:tcPr>
          <w:p>
            <w:pPr>
              <w:spacing w:after="0"/>
              <w:rPr>
                <w:sz w:val="20"/>
                <w:szCs w:val="20"/>
                <w:color w:val="auto"/>
              </w:rPr>
            </w:pPr>
            <w:r>
              <w:rPr>
                <w:rFonts w:ascii="Arial" w:cs="Arial" w:eastAsia="Arial" w:hAnsi="Arial"/>
                <w:sz w:val="17"/>
                <w:szCs w:val="17"/>
                <w:color w:val="auto"/>
              </w:rPr>
              <w:t>Research and development credit, net</w:t>
            </w:r>
          </w:p>
        </w:tc>
        <w:tc>
          <w:tcPr>
            <w:tcW w:w="1680" w:type="dxa"/>
            <w:vAlign w:val="bottom"/>
          </w:tcPr>
          <w:p>
            <w:pPr>
              <w:jc w:val="right"/>
              <w:ind w:right="713"/>
              <w:spacing w:after="0"/>
              <w:rPr>
                <w:sz w:val="20"/>
                <w:szCs w:val="20"/>
                <w:color w:val="auto"/>
              </w:rPr>
            </w:pPr>
            <w:r>
              <w:rPr>
                <w:rFonts w:ascii="Arial" w:cs="Arial" w:eastAsia="Arial" w:hAnsi="Arial"/>
                <w:sz w:val="17"/>
                <w:szCs w:val="17"/>
                <w:color w:val="auto"/>
              </w:rPr>
              <w:t>0.9</w:t>
            </w:r>
          </w:p>
        </w:tc>
        <w:tc>
          <w:tcPr>
            <w:tcW w:w="1040" w:type="dxa"/>
            <w:vAlign w:val="bottom"/>
          </w:tcPr>
          <w:p>
            <w:pPr>
              <w:jc w:val="right"/>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7"/>
                <w:szCs w:val="17"/>
                <w:color w:val="auto"/>
              </w:rPr>
            </w:pPr>
          </w:p>
        </w:tc>
      </w:tr>
      <w:tr>
        <w:trPr>
          <w:trHeight w:val="200"/>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Tax rate reductions due to the TCJA</w:t>
            </w:r>
          </w:p>
        </w:tc>
        <w:tc>
          <w:tcPr>
            <w:tcW w:w="168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(27.2)</w:t>
            </w:r>
          </w:p>
        </w:tc>
      </w:tr>
      <w:tr>
        <w:trPr>
          <w:trHeight w:val="200"/>
        </w:trPr>
        <w:tc>
          <w:tcPr>
            <w:tcW w:w="7940" w:type="dxa"/>
            <w:vAlign w:val="bottom"/>
          </w:tcPr>
          <w:p>
            <w:pPr>
              <w:spacing w:after="0"/>
              <w:rPr>
                <w:sz w:val="20"/>
                <w:szCs w:val="20"/>
                <w:color w:val="auto"/>
              </w:rPr>
            </w:pPr>
            <w:r>
              <w:rPr>
                <w:rFonts w:ascii="Arial" w:cs="Arial" w:eastAsia="Arial" w:hAnsi="Arial"/>
                <w:sz w:val="17"/>
                <w:szCs w:val="17"/>
                <w:color w:val="auto"/>
              </w:rPr>
              <w:t>Other</w:t>
            </w:r>
          </w:p>
        </w:tc>
        <w:tc>
          <w:tcPr>
            <w:tcW w:w="1680" w:type="dxa"/>
            <w:vAlign w:val="bottom"/>
          </w:tcPr>
          <w:p>
            <w:pPr>
              <w:jc w:val="right"/>
              <w:ind w:right="713"/>
              <w:spacing w:after="0"/>
              <w:rPr>
                <w:sz w:val="20"/>
                <w:szCs w:val="20"/>
                <w:color w:val="auto"/>
              </w:rPr>
            </w:pPr>
            <w:r>
              <w:rPr>
                <w:rFonts w:ascii="Arial" w:cs="Arial" w:eastAsia="Arial" w:hAnsi="Arial"/>
                <w:sz w:val="17"/>
                <w:szCs w:val="17"/>
                <w:color w:val="auto"/>
              </w:rPr>
              <w:t>0.1</w:t>
            </w:r>
          </w:p>
        </w:tc>
        <w:tc>
          <w:tcPr>
            <w:tcW w:w="1040" w:type="dxa"/>
            <w:vAlign w:val="bottom"/>
          </w:tcPr>
          <w:p>
            <w:pPr>
              <w:jc w:val="right"/>
              <w:spacing w:after="0"/>
              <w:rPr>
                <w:sz w:val="20"/>
                <w:szCs w:val="20"/>
                <w:color w:val="auto"/>
              </w:rPr>
            </w:pPr>
            <w:r>
              <w:rPr>
                <w:rFonts w:ascii="Arial" w:cs="Arial" w:eastAsia="Arial" w:hAnsi="Arial"/>
                <w:sz w:val="17"/>
                <w:szCs w:val="17"/>
                <w:color w:val="auto"/>
              </w:rPr>
              <w:t>0.0</w:t>
            </w:r>
          </w:p>
        </w:tc>
        <w:tc>
          <w:tcPr>
            <w:tcW w:w="220" w:type="dxa"/>
            <w:vAlign w:val="bottom"/>
          </w:tcPr>
          <w:p>
            <w:pPr>
              <w:spacing w:after="0"/>
              <w:rPr>
                <w:sz w:val="17"/>
                <w:szCs w:val="17"/>
                <w:color w:val="auto"/>
              </w:rPr>
            </w:pPr>
          </w:p>
        </w:tc>
      </w:tr>
      <w:tr>
        <w:trPr>
          <w:trHeight w:val="200"/>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68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rPr>
              <w:t>(27.9)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(16.8)</w:t>
            </w:r>
          </w:p>
        </w:tc>
      </w:tr>
      <w:tr>
        <w:trPr>
          <w:trHeight w:val="20"/>
        </w:trPr>
        <w:tc>
          <w:tcPr>
            <w:tcW w:w="79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9"/>
        </w:trPr>
        <w:tc>
          <w:tcPr>
            <w:tcW w:w="7940" w:type="dxa"/>
            <w:vAlign w:val="bottom"/>
          </w:tcPr>
          <w:p>
            <w:pPr>
              <w:ind w:left="200"/>
              <w:spacing w:after="0"/>
              <w:rPr>
                <w:sz w:val="20"/>
                <w:szCs w:val="20"/>
                <w:color w:val="auto"/>
              </w:rPr>
            </w:pPr>
            <w:r>
              <w:rPr>
                <w:rFonts w:ascii="Arial" w:cs="Arial" w:eastAsia="Arial" w:hAnsi="Arial"/>
                <w:sz w:val="17"/>
                <w:szCs w:val="17"/>
                <w:color w:val="auto"/>
              </w:rPr>
              <w:t>Total</w:t>
            </w:r>
          </w:p>
        </w:tc>
        <w:tc>
          <w:tcPr>
            <w:tcW w:w="1680" w:type="dxa"/>
            <w:vAlign w:val="bottom"/>
          </w:tcPr>
          <w:p>
            <w:pPr>
              <w:jc w:val="right"/>
              <w:ind w:right="553"/>
              <w:spacing w:after="0"/>
              <w:rPr>
                <w:sz w:val="20"/>
                <w:szCs w:val="20"/>
                <w:color w:val="auto"/>
              </w:rPr>
            </w:pPr>
            <w:r>
              <w:rPr>
                <w:rFonts w:ascii="Arial" w:cs="Arial" w:eastAsia="Arial" w:hAnsi="Arial"/>
                <w:sz w:val="17"/>
                <w:szCs w:val="17"/>
                <w:color w:val="auto"/>
              </w:rPr>
              <w:t>0.0%</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r>
      <w:tr>
        <w:trPr>
          <w:trHeight w:val="313"/>
        </w:trPr>
        <w:tc>
          <w:tcPr>
            <w:tcW w:w="7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The principal components of the Company’s deferred tax assets and liabilities consist of the following:</w:t>
            </w:r>
          </w:p>
        </w:tc>
        <w:tc>
          <w:tcPr>
            <w:tcW w:w="16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68580</wp:posOffset>
            </wp:positionV>
            <wp:extent cx="690943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9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As of December 31,</w:t>
            </w:r>
          </w:p>
        </w:tc>
      </w:tr>
      <w:tr>
        <w:trPr>
          <w:trHeight w:val="220"/>
        </w:trPr>
        <w:tc>
          <w:tcPr>
            <w:tcW w:w="904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2018</w:t>
            </w:r>
          </w:p>
        </w:tc>
        <w:tc>
          <w:tcPr>
            <w:tcW w:w="3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47"/>
        </w:trPr>
        <w:tc>
          <w:tcPr>
            <w:tcW w:w="9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9040" w:type="dxa"/>
            <w:vAlign w:val="bottom"/>
          </w:tcPr>
          <w:p>
            <w:pPr>
              <w:ind w:left="200"/>
              <w:spacing w:after="0"/>
              <w:rPr>
                <w:sz w:val="20"/>
                <w:szCs w:val="20"/>
                <w:color w:val="auto"/>
              </w:rPr>
            </w:pPr>
            <w:r>
              <w:rPr>
                <w:rFonts w:ascii="Arial" w:cs="Arial" w:eastAsia="Arial" w:hAnsi="Arial"/>
                <w:sz w:val="17"/>
                <w:szCs w:val="17"/>
                <w:color w:val="auto"/>
              </w:rPr>
              <w:t>Federal and state net operating loss carryforwards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213"/>
              <w:spacing w:after="0"/>
              <w:rPr>
                <w:sz w:val="20"/>
                <w:szCs w:val="20"/>
                <w:color w:val="auto"/>
              </w:rPr>
            </w:pPr>
            <w:r>
              <w:rPr>
                <w:rFonts w:ascii="Arial" w:cs="Arial" w:eastAsia="Arial" w:hAnsi="Arial"/>
                <w:sz w:val="17"/>
                <w:szCs w:val="17"/>
                <w:color w:val="auto"/>
              </w:rPr>
              <w:t>6,637</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3,380</w:t>
            </w:r>
          </w:p>
        </w:tc>
        <w:tc>
          <w:tcPr>
            <w:tcW w:w="120" w:type="dxa"/>
            <w:vAlign w:val="bottom"/>
          </w:tcPr>
          <w:p>
            <w:pPr>
              <w:spacing w:after="0"/>
              <w:rPr>
                <w:sz w:val="17"/>
                <w:szCs w:val="17"/>
                <w:color w:val="auto"/>
              </w:rPr>
            </w:pPr>
          </w:p>
        </w:tc>
      </w:tr>
      <w:tr>
        <w:trPr>
          <w:trHeight w:val="200"/>
        </w:trPr>
        <w:tc>
          <w:tcPr>
            <w:tcW w:w="9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 tax credits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778</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20" w:type="dxa"/>
            <w:vAlign w:val="bottom"/>
            <w:shd w:val="clear" w:color="auto" w:fill="CCEEFF"/>
          </w:tcPr>
          <w:p>
            <w:pPr>
              <w:spacing w:after="0"/>
              <w:rPr>
                <w:sz w:val="17"/>
                <w:szCs w:val="17"/>
                <w:color w:val="auto"/>
              </w:rPr>
            </w:pPr>
          </w:p>
        </w:tc>
      </w:tr>
      <w:tr>
        <w:trPr>
          <w:trHeight w:val="207"/>
        </w:trPr>
        <w:tc>
          <w:tcPr>
            <w:tcW w:w="9040" w:type="dxa"/>
            <w:vAlign w:val="bottom"/>
          </w:tcPr>
          <w:p>
            <w:pPr>
              <w:ind w:left="20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210</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7"/>
                <w:szCs w:val="17"/>
                <w:color w:val="auto"/>
              </w:rPr>
            </w:pPr>
          </w:p>
        </w:tc>
      </w:tr>
      <w:tr>
        <w:trPr>
          <w:trHeight w:val="200"/>
        </w:trPr>
        <w:tc>
          <w:tcPr>
            <w:tcW w:w="9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Gross deferred tax assets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7,625</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4,126</w:t>
            </w:r>
          </w:p>
        </w:tc>
        <w:tc>
          <w:tcPr>
            <w:tcW w:w="120" w:type="dxa"/>
            <w:vAlign w:val="bottom"/>
            <w:shd w:val="clear" w:color="auto" w:fill="CCEEFF"/>
          </w:tcPr>
          <w:p>
            <w:pPr>
              <w:spacing w:after="0"/>
              <w:rPr>
                <w:sz w:val="17"/>
                <w:szCs w:val="17"/>
                <w:color w:val="auto"/>
              </w:rPr>
            </w:pPr>
          </w:p>
        </w:tc>
      </w:tr>
      <w:tr>
        <w:trPr>
          <w:trHeight w:val="200"/>
        </w:trPr>
        <w:tc>
          <w:tcPr>
            <w:tcW w:w="9040" w:type="dxa"/>
            <w:vAlign w:val="bottom"/>
          </w:tcPr>
          <w:p>
            <w:pPr>
              <w:ind w:left="200"/>
              <w:spacing w:after="0"/>
              <w:rPr>
                <w:sz w:val="20"/>
                <w:szCs w:val="20"/>
                <w:color w:val="auto"/>
              </w:rPr>
            </w:pPr>
            <w:r>
              <w:rPr>
                <w:rFonts w:ascii="Arial" w:cs="Arial" w:eastAsia="Arial" w:hAnsi="Arial"/>
                <w:sz w:val="17"/>
                <w:szCs w:val="17"/>
                <w:color w:val="auto"/>
              </w:rPr>
              <w:t>Less: valuation allowance</w:t>
            </w:r>
          </w:p>
        </w:tc>
        <w:tc>
          <w:tcPr>
            <w:tcW w:w="120" w:type="dxa"/>
            <w:vAlign w:val="bottom"/>
          </w:tcPr>
          <w:p>
            <w:pPr>
              <w:spacing w:after="0"/>
              <w:rPr>
                <w:sz w:val="17"/>
                <w:szCs w:val="17"/>
                <w:color w:val="auto"/>
              </w:rPr>
            </w:pPr>
          </w:p>
        </w:tc>
        <w:tc>
          <w:tcPr>
            <w:tcW w:w="780" w:type="dxa"/>
            <w:vAlign w:val="bottom"/>
          </w:tcPr>
          <w:p>
            <w:pPr>
              <w:jc w:val="right"/>
              <w:ind w:right="153"/>
              <w:spacing w:after="0"/>
              <w:rPr>
                <w:sz w:val="20"/>
                <w:szCs w:val="20"/>
                <w:color w:val="auto"/>
              </w:rPr>
            </w:pPr>
            <w:r>
              <w:rPr>
                <w:rFonts w:ascii="Arial" w:cs="Arial" w:eastAsia="Arial" w:hAnsi="Arial"/>
                <w:sz w:val="17"/>
                <w:szCs w:val="17"/>
                <w:color w:val="auto"/>
                <w:w w:val="96"/>
              </w:rPr>
              <w:t>(7,625)</w:t>
            </w:r>
          </w:p>
        </w:tc>
        <w:tc>
          <w:tcPr>
            <w:tcW w:w="3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(4,126)</w:t>
            </w: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9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0" w:lineRule="exact"/>
        <w:rPr>
          <w:sz w:val="20"/>
          <w:szCs w:val="20"/>
          <w:color w:val="auto"/>
        </w:rPr>
      </w:pPr>
    </w:p>
    <w:p>
      <w:pPr>
        <w:ind w:left="280"/>
        <w:spacing w:after="0" w:line="246" w:lineRule="auto"/>
        <w:rPr>
          <w:sz w:val="20"/>
          <w:szCs w:val="20"/>
          <w:color w:val="auto"/>
        </w:rPr>
      </w:pPr>
      <w:r>
        <w:rPr>
          <w:rFonts w:ascii="Arial" w:cs="Arial" w:eastAsia="Arial" w:hAnsi="Arial"/>
          <w:sz w:val="17"/>
          <w:szCs w:val="17"/>
          <w:color w:val="auto"/>
        </w:rPr>
        <w:t xml:space="preserve">As of December 31, 2018 and 2017, the Company had federal net operating loss carryforwards of $24,372 and $12,476, respectively, which may be available to reduce future taxable income, and expire at various dates beginning in 2034, for those net operating loss carryforwards generated prior to 2018. Net operating losses generated in 2018 and beyond have no expiration. As of December 31, 2018 and 2017, the Company had state net operating loss carry forwards of $24,030 and $12,293, respectively, which may be available to reduce future taxable income and expire at various dates beginning in 2034. In addition, at December 31, 2018 and 2017, the Company had federal research and development tax credit carryforwards of $443 and $172, respectively, and state research and development tax credit carry forwards of $425 and $241, respectively. Both federal and state research and development tax credit carry forwards may be available to reduce future tax liabilities and expire at various dates beginning in 2030. In accordance with Statement of ASC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management of the Company has evaluated the positive and negative evidence bearing upon the realizability of its deferred tax assets, which are comprised principally of net operating loss carryforwards. Management has determined that it is more likely than not that the Company will not recognize the benefits of federal and state deferred tax assets and, as a result, a full valuation allowance of $7,625 and $4,126 was established at December 31, 2018 and 2017, respectively. The change in the valuation allowance was an increase of $3,499 and $932 in 2018 and 2017, respectively.</w:t>
      </w:r>
    </w:p>
    <w:p>
      <w:pPr>
        <w:spacing w:after="0" w:line="102" w:lineRule="exact"/>
        <w:rPr>
          <w:sz w:val="20"/>
          <w:szCs w:val="20"/>
          <w:color w:val="auto"/>
        </w:rPr>
      </w:pPr>
    </w:p>
    <w:p>
      <w:pPr>
        <w:ind w:left="280" w:right="160"/>
        <w:spacing w:after="0" w:line="251" w:lineRule="auto"/>
        <w:rPr>
          <w:sz w:val="20"/>
          <w:szCs w:val="20"/>
          <w:color w:val="auto"/>
        </w:rPr>
      </w:pPr>
      <w:r>
        <w:rPr>
          <w:rFonts w:ascii="Arial" w:cs="Arial" w:eastAsia="Arial" w:hAnsi="Arial"/>
          <w:sz w:val="17"/>
          <w:szCs w:val="17"/>
          <w:color w:val="auto"/>
        </w:rPr>
        <w:t>Utilization of the net operating loss carryforwards and research and development tax credit carryforwards may be subject to a substantial annual limitation under Sections 382 and 383 of the Internal Revenue Code of 1986, as amended (the Code) due to ownership changes that have occurred previously or that could occur in the future. These ownership changes may limit the amount of carryforwards that can be utilized annually to offset future taxable income. The Company has not conducted a formal study to assess whether a change of control</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160"/>
          </w:cols>
          <w:pgMar w:left="240" w:top="455"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80"/>
        <w:spacing w:after="0" w:line="248" w:lineRule="auto"/>
        <w:rPr>
          <w:sz w:val="20"/>
          <w:szCs w:val="20"/>
          <w:color w:val="auto"/>
        </w:rPr>
      </w:pPr>
      <w:r>
        <w:rPr>
          <w:rFonts w:ascii="Arial" w:cs="Arial" w:eastAsia="Arial" w:hAnsi="Arial"/>
          <w:sz w:val="17"/>
          <w:szCs w:val="17"/>
          <w:color w:val="auto"/>
        </w:rPr>
        <w:t>has occurred or whether there have been multiple changes of control since inception due to the significant complexity and cost associated with such a study. If the Company has experienced a change of control, as defined for purposes of Section 382 and 383 of the Code, at any time since inception, utilization of the net operating loss carryforwards or research and development tax credit carryforwards may be subject to an annual limitation under Section 382 and 383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w:t>
      </w:r>
    </w:p>
    <w:p>
      <w:pPr>
        <w:spacing w:after="0" w:line="93"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Company applies ASC 740 related to accounting for uncertainty in income taxes. The Company’s reserves related to income taxes are based on a determination of whether, and how much of, a tax benefit taken by the Company in its tax filings or positions is more likely than not to be realized following resolution of any potential contingencies present related to the tax benefit. At December 31, 2018, and 2017 the Company had no unrecognized tax benefits. Interest and penalty charges, if any, related to unrecognized tax benefits would be classified as income tax expense in the accompanying consolidated statements of operations.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13. Employee benefits</w:t>
      </w:r>
    </w:p>
    <w:p>
      <w:pPr>
        <w:spacing w:after="0" w:line="141"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In 2016, the Company established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Company is not required to make and has not made any contributions to the 401(k) Plan for the years ended December 31, 2018 and 2017.</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14. Subsequent events</w:t>
      </w:r>
    </w:p>
    <w:p>
      <w:pPr>
        <w:spacing w:after="0" w:line="141" w:lineRule="exact"/>
        <w:rPr>
          <w:sz w:val="20"/>
          <w:szCs w:val="20"/>
          <w:color w:val="auto"/>
        </w:rPr>
      </w:pPr>
    </w:p>
    <w:p>
      <w:pPr>
        <w:ind w:left="280" w:right="220"/>
        <w:spacing w:after="0" w:line="251" w:lineRule="auto"/>
        <w:rPr>
          <w:sz w:val="20"/>
          <w:szCs w:val="20"/>
          <w:color w:val="auto"/>
        </w:rPr>
      </w:pPr>
      <w:r>
        <w:rPr>
          <w:rFonts w:ascii="Arial" w:cs="Arial" w:eastAsia="Arial" w:hAnsi="Arial"/>
          <w:sz w:val="17"/>
          <w:szCs w:val="17"/>
          <w:color w:val="auto"/>
        </w:rPr>
        <w:t>The Company has evaluated subsequent events through March 26, 2019, the date the consolidated financial statements were originally issued, and has evaluated for disclosures and subsequent events occurring after such date through June 7, 2019, which is the date these consolidated financial statements were available for reissuance. The Company has concluded that no events or transactions have occurred that require disclosure in the accompanying consolidated financial statements other than the following:</w:t>
      </w:r>
    </w:p>
    <w:p>
      <w:pPr>
        <w:spacing w:after="0" w:line="89" w:lineRule="exact"/>
        <w:rPr>
          <w:sz w:val="20"/>
          <w:szCs w:val="20"/>
          <w:color w:val="auto"/>
        </w:rPr>
      </w:pPr>
    </w:p>
    <w:p>
      <w:pPr>
        <w:ind w:left="280" w:right="540"/>
        <w:spacing w:after="0" w:line="253" w:lineRule="auto"/>
        <w:rPr>
          <w:sz w:val="20"/>
          <w:szCs w:val="20"/>
          <w:color w:val="auto"/>
        </w:rPr>
      </w:pPr>
      <w:r>
        <w:rPr>
          <w:rFonts w:ascii="Arial" w:cs="Arial" w:eastAsia="Arial" w:hAnsi="Arial"/>
          <w:sz w:val="17"/>
          <w:szCs w:val="17"/>
          <w:color w:val="auto"/>
        </w:rPr>
        <w:t>On June 6, 2019, the Company effected a one-for-9.95 reverse split of the Company’s outstanding and issued common and convertible preferred stock. All common share, preferred share and per share information and related information included in the accompanying consolidated financial statements have been adjusted retroactively, where applicable, to reflect the reverse split (see note 8).</w:t>
      </w:r>
    </w:p>
    <w:p>
      <w:pPr>
        <w:spacing w:after="0" w:line="8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On June 6, 2019, the Company’s stockholders approved the 2019 Equity Incentive Award Plan (“2019 Plan”) which will become effective in connection with the effectiveness of the Company’s proposed initial public offering. The 2019 Plan provides for the granting of equity-based awards. Upon the effectiveness of the Company’s proposed initial public offering, 2,200,000 shares of common stock will become available for future issuance plus any reserved shares not issued or subject to outstanding grants under the 2014 Plan on the effective date of the 2019 Plan, for issuance pursuant to awards granted under the 2019 Plan. The provisions of the 2019 Plan allow for periodic automatic increases for shares reserved under the 2019 Plan.</w:t>
      </w:r>
    </w:p>
    <w:p>
      <w:pPr>
        <w:spacing w:after="0" w:line="95"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On June 6, 2019, the Company’s stockholders approved the 2019 Employee Stock Purchase Plan (“2019 ESPP”) which will become effective upon the effectiveness of the Company’s proposed initial public offering. The 2019 ESPP initially provides for the issuance of up to 315,000 shares of common stock to employees. The provisions of the 2019 ESPP provide for automatic periodic increases for shares reserved under the 2019 ESPP.</w:t>
      </w:r>
    </w:p>
    <w:p>
      <w:pPr>
        <w:spacing w:after="0" w:line="89"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On June 6, 2019, the Company’s stockholders approved an amendment to the Company’s Amended and Restated Certificate of Incorporation which will become effective in connection with the effectiveness of the Company’s proposed initial public offering, to provide that the authorized capital stock of the Corporation shall consist of 300 million shares of common stock, $0.0001 per share par value, and 10 million shares of undesignated preferred stock, $0.0001 per share par value.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160"/>
          </w:cols>
          <w:pgMar w:left="240" w:top="455"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Consolidated balance sheets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8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As of</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82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7"/>
                <w:szCs w:val="17"/>
                <w:b w:val="1"/>
                <w:bCs w:val="1"/>
                <w:color w:val="auto"/>
              </w:rPr>
              <w:t>March 31,</w:t>
            </w:r>
          </w:p>
        </w:tc>
        <w:tc>
          <w:tcPr>
            <w:tcW w:w="2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r>
      <w:tr>
        <w:trPr>
          <w:trHeight w:val="20"/>
        </w:trPr>
        <w:tc>
          <w:tcPr>
            <w:tcW w:w="8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8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2018</w:t>
            </w:r>
          </w:p>
        </w:tc>
      </w:tr>
      <w:tr>
        <w:trPr>
          <w:trHeight w:val="47"/>
        </w:trPr>
        <w:tc>
          <w:tcPr>
            <w:tcW w:w="8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67"/>
        </w:trPr>
        <w:tc>
          <w:tcPr>
            <w:tcW w:w="822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8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98,651</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105,399</w:t>
            </w:r>
          </w:p>
        </w:tc>
      </w:tr>
      <w:tr>
        <w:trPr>
          <w:trHeight w:val="200"/>
        </w:trPr>
        <w:tc>
          <w:tcPr>
            <w:tcW w:w="822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1,344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548</w:t>
            </w:r>
          </w:p>
        </w:tc>
        <w:tc>
          <w:tcPr>
            <w:tcW w:w="120" w:type="dxa"/>
            <w:vAlign w:val="bottom"/>
          </w:tcPr>
          <w:p>
            <w:pPr>
              <w:spacing w:after="0"/>
              <w:rPr>
                <w:sz w:val="17"/>
                <w:szCs w:val="17"/>
                <w:color w:val="auto"/>
              </w:rPr>
            </w:pPr>
          </w:p>
        </w:tc>
      </w:tr>
      <w:tr>
        <w:trPr>
          <w:trHeight w:val="200"/>
        </w:trPr>
        <w:tc>
          <w:tcPr>
            <w:tcW w:w="8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offering costs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7"/>
        </w:trPr>
        <w:tc>
          <w:tcPr>
            <w:tcW w:w="8220" w:type="dxa"/>
            <w:vAlign w:val="bottom"/>
          </w:tcPr>
          <w:p>
            <w:pPr>
              <w:ind w:left="200"/>
              <w:spacing w:after="0"/>
              <w:rPr>
                <w:sz w:val="20"/>
                <w:szCs w:val="20"/>
                <w:color w:val="auto"/>
              </w:rPr>
            </w:pPr>
            <w:r>
              <w:rPr>
                <w:rFonts w:ascii="Arial" w:cs="Arial" w:eastAsia="Arial" w:hAnsi="Arial"/>
                <w:sz w:val="17"/>
                <w:szCs w:val="17"/>
                <w:color w:val="auto"/>
              </w:rPr>
              <w:t>Interest receivable</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7"/>
                <w:szCs w:val="17"/>
                <w:color w:val="auto"/>
              </w:rPr>
            </w:pPr>
          </w:p>
        </w:tc>
      </w:tr>
      <w:tr>
        <w:trPr>
          <w:trHeight w:val="200"/>
        </w:trPr>
        <w:tc>
          <w:tcPr>
            <w:tcW w:w="8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101,276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106,143</w:t>
            </w:r>
          </w:p>
        </w:tc>
      </w:tr>
      <w:tr>
        <w:trPr>
          <w:trHeight w:val="207"/>
        </w:trPr>
        <w:tc>
          <w:tcPr>
            <w:tcW w:w="8220" w:type="dxa"/>
            <w:vAlign w:val="bottom"/>
          </w:tcPr>
          <w:p>
            <w:pPr>
              <w:spacing w:after="0"/>
              <w:rPr>
                <w:sz w:val="20"/>
                <w:szCs w:val="20"/>
                <w:color w:val="auto"/>
              </w:rPr>
            </w:pPr>
            <w:r>
              <w:rPr>
                <w:rFonts w:ascii="Arial" w:cs="Arial" w:eastAsia="Arial" w:hAnsi="Arial"/>
                <w:sz w:val="17"/>
                <w:szCs w:val="17"/>
                <w:color w:val="auto"/>
              </w:rPr>
              <w:t>Restricted cash</w:t>
            </w: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3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120" w:type="dxa"/>
            <w:vAlign w:val="bottom"/>
          </w:tcPr>
          <w:p>
            <w:pPr>
              <w:spacing w:after="0"/>
              <w:rPr>
                <w:sz w:val="17"/>
                <w:szCs w:val="17"/>
                <w:color w:val="auto"/>
              </w:rPr>
            </w:pPr>
          </w:p>
        </w:tc>
      </w:tr>
      <w:tr>
        <w:trPr>
          <w:trHeight w:val="20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3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1,192</w:t>
            </w:r>
          </w:p>
        </w:tc>
        <w:tc>
          <w:tcPr>
            <w:tcW w:w="120" w:type="dxa"/>
            <w:vAlign w:val="bottom"/>
            <w:shd w:val="clear" w:color="auto" w:fill="CCEEFF"/>
          </w:tcPr>
          <w:p>
            <w:pPr>
              <w:spacing w:after="0"/>
              <w:rPr>
                <w:sz w:val="17"/>
                <w:szCs w:val="17"/>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102,934</w:t>
            </w:r>
          </w:p>
        </w:tc>
        <w:tc>
          <w:tcPr>
            <w:tcW w:w="34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107,539</w:t>
            </w:r>
          </w:p>
        </w:tc>
      </w:tr>
      <w:tr>
        <w:trPr>
          <w:trHeight w:val="73"/>
        </w:trPr>
        <w:tc>
          <w:tcPr>
            <w:tcW w:w="8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0"/>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67"/>
        </w:trPr>
        <w:tc>
          <w:tcPr>
            <w:tcW w:w="822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8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20" w:type="dxa"/>
            <w:vAlign w:val="bottom"/>
            <w:shd w:val="clear" w:color="auto" w:fill="CCEEFF"/>
          </w:tcPr>
          <w:p>
            <w:pPr>
              <w:spacing w:after="0"/>
              <w:rPr>
                <w:sz w:val="17"/>
                <w:szCs w:val="17"/>
                <w:color w:val="auto"/>
              </w:rPr>
            </w:pPr>
          </w:p>
        </w:tc>
      </w:tr>
      <w:tr>
        <w:trPr>
          <w:trHeight w:val="207"/>
        </w:trPr>
        <w:tc>
          <w:tcPr>
            <w:tcW w:w="8220" w:type="dxa"/>
            <w:vAlign w:val="bottom"/>
          </w:tcPr>
          <w:p>
            <w:pPr>
              <w:ind w:left="200"/>
              <w:spacing w:after="0"/>
              <w:rPr>
                <w:sz w:val="20"/>
                <w:szCs w:val="20"/>
                <w:color w:val="auto"/>
              </w:rPr>
            </w:pPr>
            <w:r>
              <w:rPr>
                <w:rFonts w:ascii="Arial" w:cs="Arial" w:eastAsia="Arial" w:hAnsi="Arial"/>
                <w:sz w:val="17"/>
                <w:szCs w:val="17"/>
                <w:color w:val="auto"/>
              </w:rPr>
              <w:t>Accrued and other current liabilities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1,396</w:t>
            </w:r>
          </w:p>
        </w:tc>
        <w:tc>
          <w:tcPr>
            <w:tcW w:w="120" w:type="dxa"/>
            <w:vAlign w:val="bottom"/>
          </w:tcPr>
          <w:p>
            <w:pPr>
              <w:spacing w:after="0"/>
              <w:rPr>
                <w:sz w:val="17"/>
                <w:szCs w:val="17"/>
                <w:color w:val="auto"/>
              </w:rPr>
            </w:pPr>
          </w:p>
        </w:tc>
      </w:tr>
      <w:tr>
        <w:trPr>
          <w:trHeight w:val="200"/>
        </w:trPr>
        <w:tc>
          <w:tcPr>
            <w:tcW w:w="8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3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2,467</w:t>
            </w:r>
          </w:p>
        </w:tc>
        <w:tc>
          <w:tcPr>
            <w:tcW w:w="120" w:type="dxa"/>
            <w:vAlign w:val="bottom"/>
            <w:shd w:val="clear" w:color="auto" w:fill="CCEEFF"/>
          </w:tcPr>
          <w:p>
            <w:pPr>
              <w:spacing w:after="0"/>
              <w:rPr>
                <w:sz w:val="17"/>
                <w:szCs w:val="17"/>
                <w:color w:val="auto"/>
              </w:rPr>
            </w:pPr>
          </w:p>
        </w:tc>
      </w:tr>
      <w:tr>
        <w:trPr>
          <w:trHeight w:val="213"/>
        </w:trPr>
        <w:tc>
          <w:tcPr>
            <w:tcW w:w="8220" w:type="dxa"/>
            <w:vAlign w:val="bottom"/>
          </w:tcPr>
          <w:p>
            <w:pPr>
              <w:ind w:left="200"/>
              <w:spacing w:after="0"/>
              <w:rPr>
                <w:sz w:val="20"/>
                <w:szCs w:val="20"/>
                <w:color w:val="auto"/>
              </w:rPr>
            </w:pPr>
            <w:r>
              <w:rPr>
                <w:rFonts w:ascii="Arial" w:cs="Arial" w:eastAsia="Arial" w:hAnsi="Arial"/>
                <w:sz w:val="17"/>
                <w:szCs w:val="17"/>
                <w:color w:val="auto"/>
              </w:rPr>
              <w:t>Long term liabilities</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r>
      <w:tr>
        <w:trPr>
          <w:trHeight w:val="200"/>
        </w:trPr>
        <w:tc>
          <w:tcPr>
            <w:tcW w:w="8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3,353</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2,471</w:t>
            </w:r>
          </w:p>
        </w:tc>
        <w:tc>
          <w:tcPr>
            <w:tcW w:w="120" w:type="dxa"/>
            <w:vAlign w:val="bottom"/>
            <w:shd w:val="clear" w:color="auto" w:fill="CCEEFF"/>
          </w:tcPr>
          <w:p>
            <w:pPr>
              <w:spacing w:after="0"/>
              <w:rPr>
                <w:sz w:val="17"/>
                <w:szCs w:val="17"/>
                <w:color w:val="auto"/>
              </w:rPr>
            </w:pPr>
          </w:p>
        </w:tc>
      </w:tr>
      <w:tr>
        <w:trPr>
          <w:trHeight w:val="285"/>
        </w:trPr>
        <w:tc>
          <w:tcPr>
            <w:tcW w:w="822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5"/>
        </w:trPr>
        <w:tc>
          <w:tcPr>
            <w:tcW w:w="8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20" w:type="dxa"/>
            <w:vAlign w:val="bottom"/>
          </w:tcPr>
          <w:p>
            <w:pPr>
              <w:ind w:left="200"/>
              <w:spacing w:after="0"/>
              <w:rPr>
                <w:sz w:val="20"/>
                <w:szCs w:val="20"/>
                <w:color w:val="auto"/>
              </w:rPr>
            </w:pPr>
            <w:r>
              <w:rPr>
                <w:rFonts w:ascii="Arial" w:cs="Arial" w:eastAsia="Arial" w:hAnsi="Arial"/>
                <w:sz w:val="17"/>
                <w:szCs w:val="17"/>
                <w:color w:val="auto"/>
              </w:rPr>
              <w:t>Convertible Preferred Stock, par value of $0.0001 per share; 225,584,874 shares authorized as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8220" w:type="dxa"/>
            <w:vAlign w:val="bottom"/>
          </w:tcPr>
          <w:p>
            <w:pPr>
              <w:ind w:left="420"/>
              <w:spacing w:after="0"/>
              <w:rPr>
                <w:sz w:val="20"/>
                <w:szCs w:val="20"/>
                <w:color w:val="auto"/>
              </w:rPr>
            </w:pPr>
            <w:r>
              <w:rPr>
                <w:rFonts w:ascii="Arial" w:cs="Arial" w:eastAsia="Arial" w:hAnsi="Arial"/>
                <w:sz w:val="17"/>
                <w:szCs w:val="17"/>
                <w:color w:val="auto"/>
              </w:rPr>
              <w:t>of March 31, 2019 (unaudited) and December 31, 2018; 22,677,585 shares issued and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8220" w:type="dxa"/>
            <w:vAlign w:val="bottom"/>
          </w:tcPr>
          <w:p>
            <w:pPr>
              <w:ind w:left="420"/>
              <w:spacing w:after="0"/>
              <w:rPr>
                <w:sz w:val="20"/>
                <w:szCs w:val="20"/>
                <w:color w:val="auto"/>
              </w:rPr>
            </w:pPr>
            <w:r>
              <w:rPr>
                <w:rFonts w:ascii="Arial" w:cs="Arial" w:eastAsia="Arial" w:hAnsi="Arial"/>
                <w:sz w:val="17"/>
                <w:szCs w:val="17"/>
                <w:color w:val="auto"/>
              </w:rPr>
              <w:t>outstanding as of March 31, 2019 (unaudited) and December 31, 2018; aggregate liquidation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220" w:type="dxa"/>
            <w:vAlign w:val="bottom"/>
          </w:tcPr>
          <w:p>
            <w:pPr>
              <w:ind w:left="420"/>
              <w:spacing w:after="0"/>
              <w:rPr>
                <w:sz w:val="20"/>
                <w:szCs w:val="20"/>
                <w:color w:val="auto"/>
              </w:rPr>
            </w:pPr>
            <w:r>
              <w:rPr>
                <w:rFonts w:ascii="Arial" w:cs="Arial" w:eastAsia="Arial" w:hAnsi="Arial"/>
                <w:sz w:val="17"/>
                <w:szCs w:val="17"/>
                <w:color w:val="auto"/>
              </w:rPr>
              <w:t>preference of $130,850 at March 31, 2019 (unaudited) and December 31, 2018</w:t>
            </w: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r>
      <w:tr>
        <w:trPr>
          <w:trHeight w:val="203"/>
        </w:trPr>
        <w:tc>
          <w:tcPr>
            <w:tcW w:w="8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Common stock, par value of $0.0001 per share; 278,527,249 shares authorized, 892,223 and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8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727,413 shares issued and outstanding as of March 31, 2019 (unaudited) and December 31,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2018, respectively</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822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131,031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130,776</w:t>
            </w:r>
          </w:p>
        </w:tc>
      </w:tr>
      <w:tr>
        <w:trPr>
          <w:trHeight w:val="200"/>
        </w:trPr>
        <w:tc>
          <w:tcPr>
            <w:tcW w:w="8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(31,452)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(25,710)</w:t>
            </w:r>
          </w:p>
        </w:tc>
      </w:tr>
      <w:tr>
        <w:trPr>
          <w:trHeight w:val="20"/>
        </w:trPr>
        <w:tc>
          <w:tcPr>
            <w:tcW w:w="8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220" w:type="dxa"/>
            <w:vAlign w:val="bottom"/>
          </w:tcPr>
          <w:p>
            <w:pPr>
              <w:ind w:left="420"/>
              <w:spacing w:after="0"/>
              <w:rPr>
                <w:sz w:val="20"/>
                <w:szCs w:val="20"/>
                <w:color w:val="auto"/>
              </w:rPr>
            </w:pPr>
            <w:r>
              <w:rPr>
                <w:rFonts w:ascii="Arial" w:cs="Arial" w:eastAsia="Arial" w:hAnsi="Arial"/>
                <w:sz w:val="17"/>
                <w:szCs w:val="17"/>
                <w:color w:val="auto"/>
              </w:rPr>
              <w:t>Total stockholders’ equity</w:t>
            </w:r>
          </w:p>
        </w:tc>
        <w:tc>
          <w:tcPr>
            <w:tcW w:w="1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99,581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105,068</w:t>
            </w:r>
          </w:p>
        </w:tc>
      </w:tr>
      <w:tr>
        <w:trPr>
          <w:trHeight w:val="27"/>
        </w:trPr>
        <w:tc>
          <w:tcPr>
            <w:tcW w:w="8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102,934</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107,539</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 accompanying notes are an integral part of these unaudited consolidated financial statements.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160"/>
          </w:cols>
          <w:pgMar w:left="240" w:top="455"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Consolidated statements of operations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31"/>
        </w:trPr>
        <w:tc>
          <w:tcPr>
            <w:tcW w:w="7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jc w:val="right"/>
              <w:ind w:right="120"/>
              <w:spacing w:after="0"/>
              <w:rPr>
                <w:sz w:val="20"/>
                <w:szCs w:val="20"/>
                <w:color w:val="auto"/>
              </w:rPr>
            </w:pPr>
            <w:r>
              <w:rPr>
                <w:rFonts w:ascii="Arial" w:cs="Arial" w:eastAsia="Arial" w:hAnsi="Arial"/>
                <w:sz w:val="17"/>
                <w:szCs w:val="17"/>
                <w:b w:val="1"/>
                <w:bCs w:val="1"/>
                <w:color w:val="auto"/>
              </w:rPr>
              <w:t>Three months ended March 31,</w:t>
            </w:r>
          </w:p>
        </w:tc>
      </w:tr>
      <w:tr>
        <w:trPr>
          <w:trHeight w:val="148"/>
        </w:trPr>
        <w:tc>
          <w:tcPr>
            <w:tcW w:w="71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spacing w:after="0"/>
              <w:rPr>
                <w:sz w:val="12"/>
                <w:szCs w:val="12"/>
                <w:color w:val="auto"/>
              </w:rPr>
            </w:pPr>
          </w:p>
        </w:tc>
      </w:tr>
      <w:tr>
        <w:trPr>
          <w:trHeight w:val="220"/>
        </w:trPr>
        <w:tc>
          <w:tcPr>
            <w:tcW w:w="7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2019</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2018</w:t>
            </w:r>
          </w:p>
        </w:tc>
      </w:tr>
      <w:tr>
        <w:trPr>
          <w:trHeight w:val="193"/>
        </w:trPr>
        <w:tc>
          <w:tcPr>
            <w:tcW w:w="7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84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53"/>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r>
      <w:tr>
        <w:trPr>
          <w:trHeight w:val="207"/>
        </w:trPr>
        <w:tc>
          <w:tcPr>
            <w:tcW w:w="7160" w:type="dxa"/>
            <w:vAlign w:val="bottom"/>
          </w:tcPr>
          <w:p>
            <w:pPr>
              <w:ind w:left="200"/>
              <w:spacing w:after="0"/>
              <w:rPr>
                <w:sz w:val="20"/>
                <w:szCs w:val="20"/>
                <w:color w:val="auto"/>
              </w:rPr>
            </w:pPr>
            <w:r>
              <w:rPr>
                <w:rFonts w:ascii="Arial" w:cs="Arial" w:eastAsia="Arial" w:hAnsi="Arial"/>
                <w:sz w:val="17"/>
                <w:szCs w:val="17"/>
                <w:color w:val="auto"/>
              </w:rPr>
              <w:t>Operating expenses:</w:t>
            </w:r>
          </w:p>
        </w:tc>
        <w:tc>
          <w:tcPr>
            <w:tcW w:w="5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7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Research and development</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4,133</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20" w:type="dxa"/>
            <w:vAlign w:val="bottom"/>
            <w:shd w:val="clear" w:color="auto" w:fill="CCEEFF"/>
          </w:tcPr>
          <w:p>
            <w:pPr>
              <w:spacing w:after="0"/>
              <w:rPr>
                <w:sz w:val="17"/>
                <w:szCs w:val="17"/>
                <w:color w:val="auto"/>
              </w:rPr>
            </w:pPr>
          </w:p>
        </w:tc>
      </w:tr>
      <w:tr>
        <w:trPr>
          <w:trHeight w:val="207"/>
        </w:trPr>
        <w:tc>
          <w:tcPr>
            <w:tcW w:w="7160" w:type="dxa"/>
            <w:vAlign w:val="bottom"/>
          </w:tcPr>
          <w:p>
            <w:pPr>
              <w:ind w:left="420"/>
              <w:spacing w:after="0"/>
              <w:rPr>
                <w:sz w:val="20"/>
                <w:szCs w:val="20"/>
                <w:color w:val="auto"/>
              </w:rPr>
            </w:pPr>
            <w:r>
              <w:rPr>
                <w:rFonts w:ascii="Arial" w:cs="Arial" w:eastAsia="Arial" w:hAnsi="Arial"/>
                <w:sz w:val="17"/>
                <w:szCs w:val="17"/>
                <w:color w:val="auto"/>
              </w:rPr>
              <w:t>General and administrative</w:t>
            </w:r>
          </w:p>
        </w:tc>
        <w:tc>
          <w:tcPr>
            <w:tcW w:w="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2,189</w:t>
            </w: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120" w:type="dxa"/>
            <w:vAlign w:val="bottom"/>
          </w:tcPr>
          <w:p>
            <w:pPr>
              <w:spacing w:after="0"/>
              <w:rPr>
                <w:sz w:val="17"/>
                <w:szCs w:val="17"/>
                <w:color w:val="auto"/>
              </w:rPr>
            </w:pPr>
          </w:p>
        </w:tc>
      </w:tr>
      <w:tr>
        <w:trPr>
          <w:trHeight w:val="200"/>
        </w:trPr>
        <w:tc>
          <w:tcPr>
            <w:tcW w:w="71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operating expenses</w:t>
            </w:r>
          </w:p>
        </w:tc>
        <w:tc>
          <w:tcPr>
            <w:tcW w:w="5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6,322</w:t>
            </w:r>
          </w:p>
        </w:tc>
        <w:tc>
          <w:tcPr>
            <w:tcW w:w="3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w:t>
            </w:r>
          </w:p>
        </w:tc>
        <w:tc>
          <w:tcPr>
            <w:tcW w:w="120" w:type="dxa"/>
            <w:vAlign w:val="bottom"/>
            <w:shd w:val="clear" w:color="auto" w:fill="CCEEFF"/>
          </w:tcPr>
          <w:p>
            <w:pPr>
              <w:spacing w:after="0"/>
              <w:rPr>
                <w:sz w:val="17"/>
                <w:szCs w:val="17"/>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7"/>
                <w:szCs w:val="17"/>
                <w:color w:val="auto"/>
              </w:rPr>
              <w:t>Loss from operations</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(6,322)</w:t>
            </w:r>
          </w:p>
        </w:tc>
        <w:tc>
          <w:tcPr>
            <w:tcW w:w="5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(1,912)</w:t>
            </w:r>
          </w:p>
        </w:tc>
      </w:tr>
      <w:tr>
        <w:trPr>
          <w:trHeight w:val="73"/>
        </w:trPr>
        <w:tc>
          <w:tcPr>
            <w:tcW w:w="7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7160" w:type="dxa"/>
            <w:vAlign w:val="bottom"/>
          </w:tcPr>
          <w:p>
            <w:pPr>
              <w:ind w:left="420"/>
              <w:spacing w:after="0"/>
              <w:rPr>
                <w:sz w:val="20"/>
                <w:szCs w:val="20"/>
                <w:color w:val="auto"/>
              </w:rPr>
            </w:pPr>
            <w:r>
              <w:rPr>
                <w:rFonts w:ascii="Arial" w:cs="Arial" w:eastAsia="Arial" w:hAnsi="Arial"/>
                <w:sz w:val="17"/>
                <w:szCs w:val="17"/>
                <w:color w:val="auto"/>
              </w:rPr>
              <w:t>Interest income</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580</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0"/>
        </w:trPr>
        <w:tc>
          <w:tcPr>
            <w:tcW w:w="7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expense, net</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7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160" w:type="dxa"/>
            <w:vAlign w:val="bottom"/>
          </w:tcPr>
          <w:p>
            <w:pPr>
              <w:ind w:left="640"/>
              <w:spacing w:after="0"/>
              <w:rPr>
                <w:sz w:val="20"/>
                <w:szCs w:val="20"/>
                <w:color w:val="auto"/>
              </w:rPr>
            </w:pPr>
            <w:r>
              <w:rPr>
                <w:rFonts w:ascii="Arial" w:cs="Arial" w:eastAsia="Arial" w:hAnsi="Arial"/>
                <w:sz w:val="17"/>
                <w:szCs w:val="17"/>
                <w:color w:val="auto"/>
              </w:rPr>
              <w:t>Total other income (expense)</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580</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7"/>
        </w:trPr>
        <w:tc>
          <w:tcPr>
            <w:tcW w:w="7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(5,742)</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(1,912)</w:t>
            </w:r>
          </w:p>
        </w:tc>
      </w:tr>
      <w:tr>
        <w:trPr>
          <w:trHeight w:val="20"/>
        </w:trPr>
        <w:tc>
          <w:tcPr>
            <w:tcW w:w="7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(6.89)</w:t>
            </w:r>
          </w:p>
        </w:tc>
        <w:tc>
          <w:tcPr>
            <w:tcW w:w="5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(2.78)</w:t>
            </w:r>
          </w:p>
        </w:tc>
      </w:tr>
      <w:tr>
        <w:trPr>
          <w:trHeight w:val="27"/>
        </w:trPr>
        <w:tc>
          <w:tcPr>
            <w:tcW w:w="7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 basic and diluted</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833,469</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686,985</w:t>
            </w:r>
          </w:p>
        </w:tc>
      </w:tr>
      <w:tr>
        <w:trPr>
          <w:trHeight w:val="207"/>
        </w:trPr>
        <w:tc>
          <w:tcPr>
            <w:tcW w:w="7160" w:type="dxa"/>
            <w:vAlign w:val="bottom"/>
          </w:tcPr>
          <w:p>
            <w:pPr>
              <w:spacing w:after="0"/>
              <w:rPr>
                <w:sz w:val="20"/>
                <w:szCs w:val="20"/>
                <w:color w:val="auto"/>
              </w:rPr>
            </w:pPr>
            <w:r>
              <w:rPr>
                <w:rFonts w:ascii="Arial" w:cs="Arial" w:eastAsia="Arial" w:hAnsi="Arial"/>
                <w:sz w:val="17"/>
                <w:szCs w:val="17"/>
                <w:color w:val="auto"/>
              </w:rPr>
              <w:t>Pro forma net loss per share, basic and diluted (Notes 2 and 9)</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(0.24)</w:t>
            </w: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used in computing pro forma net loss per share, basic and diluted</w:t>
            </w:r>
          </w:p>
        </w:tc>
        <w:tc>
          <w:tcPr>
            <w:tcW w:w="5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7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(Notes 2 and 9)</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23,511,054</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 accompanying notes are an integral part of these unaudited consolidated financial statements.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160"/>
          </w:cols>
          <w:pgMar w:left="240" w:top="455"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Consolidated statements of stockholders’ equity</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6"/>
          </w:tcPr>
          <w:p>
            <w:pPr>
              <w:jc w:val="right"/>
              <w:ind w:right="400"/>
              <w:spacing w:after="0"/>
              <w:rPr>
                <w:sz w:val="20"/>
                <w:szCs w:val="20"/>
                <w:color w:val="auto"/>
              </w:rPr>
            </w:pPr>
            <w:r>
              <w:rPr>
                <w:rFonts w:ascii="Arial" w:cs="Arial" w:eastAsia="Arial" w:hAnsi="Arial"/>
                <w:sz w:val="17"/>
                <w:szCs w:val="17"/>
                <w:b w:val="1"/>
                <w:bCs w:val="1"/>
                <w:color w:val="auto"/>
              </w:rPr>
              <w:t>Convertible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6"/>
          </w:tcPr>
          <w:p>
            <w:pPr>
              <w:jc w:val="right"/>
              <w:ind w:right="400"/>
              <w:spacing w:after="0"/>
              <w:rPr>
                <w:sz w:val="20"/>
                <w:szCs w:val="20"/>
                <w:color w:val="auto"/>
              </w:rPr>
            </w:pPr>
            <w:r>
              <w:rPr>
                <w:rFonts w:ascii="Arial" w:cs="Arial" w:eastAsia="Arial" w:hAnsi="Arial"/>
                <w:sz w:val="17"/>
                <w:szCs w:val="17"/>
                <w:b w:val="1"/>
                <w:bCs w:val="1"/>
                <w:color w:val="auto"/>
              </w:rPr>
              <w:t>Preferred Stock</w:t>
            </w:r>
          </w:p>
        </w:tc>
        <w:tc>
          <w:tcPr>
            <w:tcW w:w="1660" w:type="dxa"/>
            <w:vAlign w:val="bottom"/>
            <w:gridSpan w:val="5"/>
          </w:tcPr>
          <w:p>
            <w:pPr>
              <w:jc w:val="right"/>
              <w:ind w:right="100"/>
              <w:spacing w:after="0"/>
              <w:rPr>
                <w:sz w:val="20"/>
                <w:szCs w:val="20"/>
                <w:color w:val="auto"/>
              </w:rPr>
            </w:pPr>
            <w:r>
              <w:rPr>
                <w:rFonts w:ascii="Arial" w:cs="Arial" w:eastAsia="Arial" w:hAnsi="Arial"/>
                <w:sz w:val="17"/>
                <w:szCs w:val="17"/>
                <w:b w:val="1"/>
                <w:bCs w:val="1"/>
                <w:color w:val="auto"/>
              </w:rPr>
              <w:t>Common Stock</w:t>
            </w:r>
          </w:p>
        </w:tc>
        <w:tc>
          <w:tcPr>
            <w:tcW w:w="120" w:type="dxa"/>
            <w:vAlign w:val="bottom"/>
          </w:tcPr>
          <w:p>
            <w:pPr>
              <w:spacing w:after="0"/>
              <w:rPr>
                <w:sz w:val="19"/>
                <w:szCs w:val="19"/>
                <w:color w:val="auto"/>
              </w:rPr>
            </w:pPr>
          </w:p>
        </w:tc>
        <w:tc>
          <w:tcPr>
            <w:tcW w:w="10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Additional</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paid-in</w:t>
            </w: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Accumulated</w:t>
            </w:r>
          </w:p>
        </w:tc>
        <w:tc>
          <w:tcPr>
            <w:tcW w:w="1260" w:type="dxa"/>
            <w:vAlign w:val="bottom"/>
            <w:gridSpan w:val="3"/>
          </w:tcPr>
          <w:p>
            <w:pPr>
              <w:spacing w:after="0"/>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32"/>
        </w:trPr>
        <w:tc>
          <w:tcPr>
            <w:tcW w:w="3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Shares</w:t>
            </w:r>
          </w:p>
        </w:tc>
        <w:tc>
          <w:tcPr>
            <w:tcW w:w="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Amount</w:t>
            </w: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rPr>
              <w:t>Shares</w:t>
            </w: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w w:val="99"/>
              </w:rPr>
              <w:t>Amount</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rPr>
              <w:t>capital</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rPr>
              <w:t>deficit</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193"/>
        </w:trPr>
        <w:tc>
          <w:tcPr>
            <w:tcW w:w="33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Balance as of December 31, 2018</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22,677,585</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2</w:t>
            </w:r>
          </w:p>
        </w:tc>
        <w:tc>
          <w:tcPr>
            <w:tcW w:w="9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727,413</w:t>
            </w:r>
          </w:p>
        </w:tc>
        <w:tc>
          <w:tcPr>
            <w:tcW w:w="280" w:type="dxa"/>
            <w:vAlign w:val="bottom"/>
            <w:shd w:val="clear" w:color="auto" w:fill="CCEEFF"/>
          </w:tcPr>
          <w:p>
            <w:pPr>
              <w:jc w:val="right"/>
              <w:ind w:right="93"/>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130,776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(25,710)</w:t>
            </w:r>
          </w:p>
        </w:tc>
        <w:tc>
          <w:tcPr>
            <w:tcW w:w="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105,068</w:t>
            </w:r>
          </w:p>
        </w:tc>
        <w:tc>
          <w:tcPr>
            <w:tcW w:w="0" w:type="dxa"/>
            <w:vAlign w:val="bottom"/>
          </w:tcPr>
          <w:p>
            <w:pPr>
              <w:spacing w:after="0"/>
              <w:rPr>
                <w:sz w:val="1"/>
                <w:szCs w:val="1"/>
                <w:color w:val="auto"/>
              </w:rPr>
            </w:pPr>
          </w:p>
        </w:tc>
      </w:tr>
      <w:tr>
        <w:trPr>
          <w:trHeight w:val="200"/>
        </w:trPr>
        <w:tc>
          <w:tcPr>
            <w:tcW w:w="3320" w:type="dxa"/>
            <w:vAlign w:val="bottom"/>
            <w:gridSpan w:val="2"/>
          </w:tcPr>
          <w:p>
            <w:pPr>
              <w:spacing w:after="0"/>
              <w:rPr>
                <w:sz w:val="20"/>
                <w:szCs w:val="20"/>
                <w:color w:val="auto"/>
              </w:rPr>
            </w:pPr>
            <w:r>
              <w:rPr>
                <w:rFonts w:ascii="Arial" w:cs="Arial" w:eastAsia="Arial" w:hAnsi="Arial"/>
                <w:sz w:val="17"/>
                <w:szCs w:val="17"/>
                <w:color w:val="auto"/>
              </w:rPr>
              <w:t>Stock-based compensation</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Issuance of common stock</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164,810</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0"/>
        </w:trPr>
        <w:tc>
          <w:tcPr>
            <w:tcW w:w="33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(5,742)</w:t>
            </w:r>
          </w:p>
        </w:tc>
        <w:tc>
          <w:tcPr>
            <w:tcW w:w="3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(5,742)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March 31, 2019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22,677,585</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892,223</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(31,452)</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99,581</w:t>
            </w:r>
          </w:p>
        </w:tc>
        <w:tc>
          <w:tcPr>
            <w:tcW w:w="0" w:type="dxa"/>
            <w:vAlign w:val="bottom"/>
          </w:tcPr>
          <w:p>
            <w:pPr>
              <w:spacing w:after="0"/>
              <w:rPr>
                <w:sz w:val="1"/>
                <w:szCs w:val="1"/>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60" w:type="dxa"/>
            <w:vAlign w:val="bottom"/>
          </w:tcPr>
          <w:p>
            <w:pPr>
              <w:spacing w:after="0" w:line="194" w:lineRule="exact"/>
              <w:rPr>
                <w:sz w:val="20"/>
                <w:szCs w:val="20"/>
                <w:color w:val="auto"/>
              </w:rPr>
            </w:pPr>
            <w:r>
              <w:rPr>
                <w:rFonts w:ascii="Arial" w:cs="Arial" w:eastAsia="Arial" w:hAnsi="Arial"/>
                <w:sz w:val="17"/>
                <w:szCs w:val="17"/>
                <w:color w:val="auto"/>
              </w:rPr>
              <w:t>Balance as of December 31, 2017</w:t>
            </w:r>
          </w:p>
        </w:tc>
        <w:tc>
          <w:tcPr>
            <w:tcW w:w="16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4,980,168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40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670,090</w:t>
            </w:r>
          </w:p>
        </w:tc>
        <w:tc>
          <w:tcPr>
            <w:tcW w:w="280" w:type="dxa"/>
            <w:vAlign w:val="bottom"/>
          </w:tcPr>
          <w:p>
            <w:pPr>
              <w:spacing w:after="0"/>
              <w:rPr>
                <w:sz w:val="16"/>
                <w:szCs w:val="16"/>
                <w:color w:val="auto"/>
              </w:rPr>
            </w:pPr>
          </w:p>
        </w:tc>
        <w:tc>
          <w:tcPr>
            <w:tcW w:w="4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11,897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(13,189)</w:t>
            </w:r>
          </w:p>
        </w:tc>
        <w:tc>
          <w:tcPr>
            <w:tcW w:w="300" w:type="dxa"/>
            <w:vAlign w:val="bottom"/>
          </w:tcPr>
          <w:p>
            <w:pPr>
              <w:spacing w:after="0"/>
              <w:rPr>
                <w:sz w:val="16"/>
                <w:szCs w:val="16"/>
                <w:color w:val="auto"/>
              </w:rPr>
            </w:pPr>
          </w:p>
        </w:tc>
        <w:tc>
          <w:tcPr>
            <w:tcW w:w="9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(1,292)</w:t>
            </w:r>
          </w:p>
        </w:tc>
        <w:tc>
          <w:tcPr>
            <w:tcW w:w="0" w:type="dxa"/>
            <w:vAlign w:val="bottom"/>
          </w:tcPr>
          <w:p>
            <w:pPr>
              <w:spacing w:after="0"/>
              <w:rPr>
                <w:sz w:val="1"/>
                <w:szCs w:val="1"/>
                <w:color w:val="auto"/>
              </w:rPr>
            </w:pPr>
          </w:p>
        </w:tc>
      </w:tr>
      <w:tr>
        <w:trPr>
          <w:trHeight w:val="200"/>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0"/>
        </w:trPr>
        <w:tc>
          <w:tcPr>
            <w:tcW w:w="3320" w:type="dxa"/>
            <w:vAlign w:val="bottom"/>
            <w:gridSpan w:val="2"/>
          </w:tcPr>
          <w:p>
            <w:pPr>
              <w:spacing w:after="0"/>
              <w:rPr>
                <w:sz w:val="20"/>
                <w:szCs w:val="20"/>
                <w:color w:val="auto"/>
              </w:rPr>
            </w:pPr>
            <w:r>
              <w:rPr>
                <w:rFonts w:ascii="Arial" w:cs="Arial" w:eastAsia="Arial" w:hAnsi="Arial"/>
                <w:sz w:val="17"/>
                <w:szCs w:val="17"/>
                <w:color w:val="auto"/>
              </w:rPr>
              <w:t>Issuance of common stock</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21,119</w:t>
            </w:r>
          </w:p>
        </w:tc>
        <w:tc>
          <w:tcPr>
            <w:tcW w:w="28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3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Issuance of convertible Preferred Stock,</w:t>
            </w: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net of issuance costs of $88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4,071,554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15,412</w:t>
            </w:r>
          </w:p>
        </w:tc>
        <w:tc>
          <w:tcPr>
            <w:tcW w:w="0" w:type="dxa"/>
            <w:vAlign w:val="bottom"/>
          </w:tcPr>
          <w:p>
            <w:pPr>
              <w:spacing w:after="0"/>
              <w:rPr>
                <w:sz w:val="1"/>
                <w:szCs w:val="1"/>
                <w:color w:val="auto"/>
              </w:rPr>
            </w:pPr>
          </w:p>
        </w:tc>
      </w:tr>
      <w:tr>
        <w:trPr>
          <w:trHeight w:val="200"/>
        </w:trPr>
        <w:tc>
          <w:tcPr>
            <w:tcW w:w="33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(1,912)</w:t>
            </w:r>
          </w:p>
        </w:tc>
        <w:tc>
          <w:tcPr>
            <w:tcW w:w="3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(1,912)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March 31, 2018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9,051,722</w:t>
            </w: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691,209</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27,320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(15,101)</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12,220</w:t>
            </w:r>
          </w:p>
        </w:tc>
        <w:tc>
          <w:tcPr>
            <w:tcW w:w="0" w:type="dxa"/>
            <w:vAlign w:val="bottom"/>
          </w:tcPr>
          <w:p>
            <w:pPr>
              <w:spacing w:after="0"/>
              <w:rPr>
                <w:sz w:val="1"/>
                <w:szCs w:val="1"/>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 accompanying notes are an integral part of these unaudited consolidated financial statements.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160"/>
          </w:cols>
          <w:pgMar w:left="240" w:top="455"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Consolidated statements of cash flows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7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Three months ended March 31,</w:t>
            </w:r>
          </w:p>
        </w:tc>
      </w:tr>
      <w:tr>
        <w:trPr>
          <w:trHeight w:val="20"/>
        </w:trPr>
        <w:tc>
          <w:tcPr>
            <w:tcW w:w="7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7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2019</w:t>
            </w: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2018</w:t>
            </w:r>
          </w:p>
        </w:tc>
      </w:tr>
      <w:tr>
        <w:trPr>
          <w:trHeight w:val="193"/>
        </w:trPr>
        <w:tc>
          <w:tcPr>
            <w:tcW w:w="7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flows from operating activities:</w:t>
            </w:r>
          </w:p>
        </w:tc>
        <w:tc>
          <w:tcPr>
            <w:tcW w:w="360" w:type="dxa"/>
            <w:vAlign w:val="bottom"/>
            <w:shd w:val="clear" w:color="auto" w:fill="CCEEFF"/>
          </w:tcPr>
          <w:p>
            <w:pPr>
              <w:jc w:val="right"/>
              <w:ind w:right="173"/>
              <w:spacing w:after="0" w:line="194" w:lineRule="exact"/>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253"/>
              <w:spacing w:after="0" w:line="194" w:lineRule="exact"/>
              <w:rPr>
                <w:sz w:val="20"/>
                <w:szCs w:val="20"/>
                <w:color w:val="auto"/>
              </w:rPr>
            </w:pPr>
            <w:r>
              <w:rPr>
                <w:rFonts w:ascii="Arial" w:cs="Arial" w:eastAsia="Arial" w:hAnsi="Arial"/>
                <w:sz w:val="17"/>
                <w:szCs w:val="17"/>
                <w:color w:val="auto"/>
              </w:rPr>
              <w:t>(5,742)</w:t>
            </w:r>
          </w:p>
        </w:tc>
        <w:tc>
          <w:tcPr>
            <w:tcW w:w="760" w:type="dxa"/>
            <w:vAlign w:val="bottom"/>
            <w:shd w:val="clear" w:color="auto" w:fill="CCEEFF"/>
          </w:tcPr>
          <w:p>
            <w:pPr>
              <w:jc w:val="right"/>
              <w:ind w:right="213"/>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(1,912)</w:t>
            </w:r>
          </w:p>
        </w:tc>
      </w:tr>
    </w:tbl>
    <w:p>
      <w:pPr>
        <w:spacing w:after="0" w:line="3" w:lineRule="exact"/>
        <w:rPr>
          <w:sz w:val="20"/>
          <w:szCs w:val="20"/>
          <w:color w:val="auto"/>
        </w:rPr>
      </w:pPr>
    </w:p>
    <w:p>
      <w:pPr>
        <w:sectPr>
          <w:pgSz w:w="11900" w:h="16838" w:orient="portrait"/>
          <w:cols w:equalWidth="0" w:num="1">
            <w:col w:w="11160"/>
          </w:cols>
          <w:pgMar w:left="240" w:top="455" w:right="499" w:bottom="1440" w:gutter="0" w:footer="0" w:header="0"/>
        </w:sectPr>
      </w:pPr>
    </w:p>
    <w:p>
      <w:pPr>
        <w:ind w:left="48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Adjustments to reconcile net loss to net cash used in operating activities:</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7"/>
          <w:szCs w:val="17"/>
          <w:color w:val="auto"/>
        </w:rPr>
        <w:t>Stock-based compensation</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Loss on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43180</wp:posOffset>
            </wp:positionV>
            <wp:extent cx="6909435" cy="1270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Changes in assets and liabilities: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Accounts payable and accrued liabilities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17780</wp:posOffset>
            </wp:positionV>
            <wp:extent cx="6909435" cy="1270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spacing w:after="0" w:line="1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Net cash used in operating activities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Purchases of property and equipment</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17780</wp:posOffset>
            </wp:positionV>
            <wp:extent cx="6909435" cy="1270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spacing w:after="0" w:line="1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Net cash used in investing activities</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Proceeds from issuance of convertible Preferred Stock</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6909435" cy="1270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09435" cy="12700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Deferred offering costs</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940" w:type="dxa"/>
            <w:vAlign w:val="bottom"/>
          </w:tcPr>
          <w:p>
            <w:pPr>
              <w:jc w:val="right"/>
              <w:ind w:right="653"/>
              <w:spacing w:after="0"/>
              <w:rPr>
                <w:sz w:val="20"/>
                <w:szCs w:val="20"/>
                <w:color w:val="auto"/>
              </w:rPr>
            </w:pPr>
            <w:r>
              <w:rPr>
                <w:rFonts w:ascii="Arial" w:cs="Arial" w:eastAsia="Arial" w:hAnsi="Arial"/>
                <w:sz w:val="17"/>
                <w:szCs w:val="17"/>
                <w:color w:val="auto"/>
              </w:rPr>
              <w:t>80</w:t>
            </w:r>
          </w:p>
        </w:tc>
        <w:tc>
          <w:tcPr>
            <w:tcW w:w="1220" w:type="dxa"/>
            <w:vAlign w:val="bottom"/>
          </w:tcPr>
          <w:p>
            <w:pPr>
              <w:jc w:val="right"/>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17"/>
                <w:szCs w:val="17"/>
                <w:color w:val="auto"/>
              </w:rPr>
            </w:pPr>
          </w:p>
        </w:tc>
      </w:tr>
      <w:tr>
        <w:trPr>
          <w:trHeight w:val="200"/>
        </w:trPr>
        <w:tc>
          <w:tcPr>
            <w:tcW w:w="1940" w:type="dxa"/>
            <w:vAlign w:val="bottom"/>
          </w:tcPr>
          <w:p>
            <w:pPr>
              <w:jc w:val="right"/>
              <w:ind w:right="653"/>
              <w:spacing w:after="0"/>
              <w:rPr>
                <w:sz w:val="20"/>
                <w:szCs w:val="20"/>
                <w:color w:val="auto"/>
              </w:rPr>
            </w:pPr>
            <w:r>
              <w:rPr>
                <w:rFonts w:ascii="Arial" w:cs="Arial" w:eastAsia="Arial" w:hAnsi="Arial"/>
                <w:sz w:val="17"/>
                <w:szCs w:val="17"/>
                <w:color w:val="auto"/>
              </w:rPr>
              <w:t>181</w:t>
            </w: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7"/>
                <w:szCs w:val="17"/>
                <w:color w:val="auto"/>
              </w:rPr>
            </w:pPr>
          </w:p>
        </w:tc>
      </w:tr>
      <w:tr>
        <w:trPr>
          <w:trHeight w:val="209"/>
        </w:trPr>
        <w:tc>
          <w:tcPr>
            <w:tcW w:w="1940" w:type="dxa"/>
            <w:vAlign w:val="bottom"/>
          </w:tcPr>
          <w:p>
            <w:pPr>
              <w:jc w:val="right"/>
              <w:ind w:right="653"/>
              <w:spacing w:after="0"/>
              <w:rPr>
                <w:sz w:val="20"/>
                <w:szCs w:val="20"/>
                <w:color w:val="auto"/>
              </w:rPr>
            </w:pPr>
            <w:r>
              <w:rPr>
                <w:rFonts w:ascii="Arial" w:cs="Arial" w:eastAsia="Arial" w:hAnsi="Arial"/>
                <w:sz w:val="17"/>
                <w:szCs w:val="17"/>
                <w:color w:val="auto"/>
              </w:rPr>
              <w:t>3</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458"/>
        </w:trPr>
        <w:tc>
          <w:tcPr>
            <w:tcW w:w="1940" w:type="dxa"/>
            <w:vAlign w:val="bottom"/>
          </w:tcPr>
          <w:p>
            <w:pPr>
              <w:jc w:val="right"/>
              <w:ind w:right="593"/>
              <w:spacing w:after="0"/>
              <w:rPr>
                <w:sz w:val="20"/>
                <w:szCs w:val="20"/>
                <w:color w:val="auto"/>
              </w:rPr>
            </w:pPr>
            <w:r>
              <w:rPr>
                <w:rFonts w:ascii="Arial" w:cs="Arial" w:eastAsia="Arial" w:hAnsi="Arial"/>
                <w:sz w:val="17"/>
                <w:szCs w:val="17"/>
                <w:color w:val="auto"/>
              </w:rPr>
              <w:t>(796)</w:t>
            </w:r>
          </w:p>
        </w:tc>
        <w:tc>
          <w:tcPr>
            <w:tcW w:w="1220" w:type="dxa"/>
            <w:vAlign w:val="bottom"/>
          </w:tcPr>
          <w:p>
            <w:pPr>
              <w:jc w:val="right"/>
              <w:spacing w:after="0"/>
              <w:rPr>
                <w:sz w:val="20"/>
                <w:szCs w:val="20"/>
                <w:color w:val="auto"/>
              </w:rPr>
            </w:pPr>
            <w:r>
              <w:rPr>
                <w:rFonts w:ascii="Arial" w:cs="Arial" w:eastAsia="Arial" w:hAnsi="Arial"/>
                <w:sz w:val="17"/>
                <w:szCs w:val="17"/>
                <w:color w:val="auto"/>
              </w:rPr>
              <w:t>61</w:t>
            </w:r>
          </w:p>
        </w:tc>
        <w:tc>
          <w:tcPr>
            <w:tcW w:w="60" w:type="dxa"/>
            <w:vAlign w:val="bottom"/>
          </w:tcPr>
          <w:p>
            <w:pPr>
              <w:spacing w:after="0"/>
              <w:rPr>
                <w:sz w:val="24"/>
                <w:szCs w:val="24"/>
                <w:color w:val="auto"/>
              </w:rPr>
            </w:pPr>
          </w:p>
        </w:tc>
      </w:tr>
      <w:tr>
        <w:trPr>
          <w:trHeight w:val="200"/>
        </w:trPr>
        <w:tc>
          <w:tcPr>
            <w:tcW w:w="1940" w:type="dxa"/>
            <w:vAlign w:val="bottom"/>
          </w:tcPr>
          <w:p>
            <w:pPr>
              <w:jc w:val="right"/>
              <w:ind w:right="593"/>
              <w:spacing w:after="0"/>
              <w:rPr>
                <w:sz w:val="20"/>
                <w:szCs w:val="20"/>
                <w:color w:val="auto"/>
              </w:rPr>
            </w:pPr>
            <w:r>
              <w:rPr>
                <w:rFonts w:ascii="Arial" w:cs="Arial" w:eastAsia="Arial" w:hAnsi="Arial"/>
                <w:sz w:val="17"/>
                <w:szCs w:val="17"/>
                <w:color w:val="auto"/>
              </w:rPr>
              <w:t>(265)</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(173)</w:t>
            </w:r>
          </w:p>
        </w:tc>
      </w:tr>
      <w:tr>
        <w:trPr>
          <w:trHeight w:val="197"/>
        </w:trPr>
        <w:tc>
          <w:tcPr>
            <w:tcW w:w="1940" w:type="dxa"/>
            <w:vAlign w:val="bottom"/>
          </w:tcPr>
          <w:p>
            <w:pPr>
              <w:jc w:val="right"/>
              <w:ind w:right="653"/>
              <w:spacing w:after="0"/>
              <w:rPr>
                <w:sz w:val="20"/>
                <w:szCs w:val="20"/>
                <w:color w:val="auto"/>
              </w:rPr>
            </w:pPr>
            <w:r>
              <w:rPr>
                <w:rFonts w:ascii="Arial" w:cs="Arial" w:eastAsia="Arial" w:hAnsi="Arial"/>
                <w:sz w:val="17"/>
                <w:szCs w:val="17"/>
                <w:color w:val="auto"/>
              </w:rPr>
              <w:t>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1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1940" w:type="dxa"/>
            <w:vAlign w:val="bottom"/>
          </w:tcPr>
          <w:p>
            <w:pPr>
              <w:jc w:val="right"/>
              <w:ind w:right="593"/>
              <w:spacing w:after="0"/>
              <w:rPr>
                <w:sz w:val="20"/>
                <w:szCs w:val="20"/>
                <w:color w:val="auto"/>
              </w:rPr>
            </w:pPr>
            <w:r>
              <w:rPr>
                <w:rFonts w:ascii="Arial" w:cs="Arial" w:eastAsia="Arial" w:hAnsi="Arial"/>
                <w:sz w:val="17"/>
                <w:szCs w:val="17"/>
                <w:color w:val="auto"/>
              </w:rPr>
              <w:t>(6,532)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(1,989)</w:t>
            </w:r>
          </w:p>
        </w:tc>
      </w:tr>
      <w:tr>
        <w:trPr>
          <w:trHeight w:val="20"/>
        </w:trPr>
        <w:tc>
          <w:tcPr>
            <w:tcW w:w="1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7"/>
        </w:trPr>
        <w:tc>
          <w:tcPr>
            <w:tcW w:w="1940" w:type="dxa"/>
            <w:vAlign w:val="bottom"/>
          </w:tcPr>
          <w:p>
            <w:pPr>
              <w:jc w:val="right"/>
              <w:ind w:right="593"/>
              <w:spacing w:after="0"/>
              <w:rPr>
                <w:sz w:val="20"/>
                <w:szCs w:val="20"/>
                <w:color w:val="auto"/>
              </w:rPr>
            </w:pPr>
            <w:r>
              <w:rPr>
                <w:rFonts w:ascii="Arial" w:cs="Arial" w:eastAsia="Arial" w:hAnsi="Arial"/>
                <w:sz w:val="17"/>
                <w:szCs w:val="17"/>
                <w:color w:val="auto"/>
              </w:rPr>
              <w:t>(92)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(26)</w:t>
            </w:r>
          </w:p>
        </w:tc>
      </w:tr>
      <w:tr>
        <w:trPr>
          <w:trHeight w:val="197"/>
        </w:trPr>
        <w:tc>
          <w:tcPr>
            <w:tcW w:w="1940" w:type="dxa"/>
            <w:vAlign w:val="bottom"/>
          </w:tcPr>
          <w:p>
            <w:pPr>
              <w:jc w:val="right"/>
              <w:ind w:right="653"/>
              <w:spacing w:after="0"/>
              <w:rPr>
                <w:sz w:val="20"/>
                <w:szCs w:val="20"/>
                <w:color w:val="auto"/>
              </w:rPr>
            </w:pPr>
            <w:r>
              <w:rPr>
                <w:rFonts w:ascii="Arial" w:cs="Arial" w:eastAsia="Arial" w:hAnsi="Arial"/>
                <w:sz w:val="17"/>
                <w:szCs w:val="17"/>
                <w:color w:val="auto"/>
              </w:rPr>
              <w:t>2</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1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9"/>
        </w:trPr>
        <w:tc>
          <w:tcPr>
            <w:tcW w:w="1940" w:type="dxa"/>
            <w:vAlign w:val="bottom"/>
          </w:tcPr>
          <w:p>
            <w:pPr>
              <w:jc w:val="right"/>
              <w:ind w:right="593"/>
              <w:spacing w:after="0"/>
              <w:rPr>
                <w:sz w:val="20"/>
                <w:szCs w:val="20"/>
                <w:color w:val="auto"/>
              </w:rPr>
            </w:pPr>
            <w:r>
              <w:rPr>
                <w:rFonts w:ascii="Arial" w:cs="Arial" w:eastAsia="Arial" w:hAnsi="Arial"/>
                <w:sz w:val="17"/>
                <w:szCs w:val="17"/>
                <w:color w:val="auto"/>
              </w:rPr>
              <w:t>(90)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(26)</w:t>
            </w:r>
          </w:p>
        </w:tc>
      </w:tr>
      <w:tr>
        <w:trPr>
          <w:trHeight w:val="458"/>
        </w:trPr>
        <w:tc>
          <w:tcPr>
            <w:tcW w:w="194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12,412</w:t>
            </w:r>
          </w:p>
        </w:tc>
        <w:tc>
          <w:tcPr>
            <w:tcW w:w="60" w:type="dxa"/>
            <w:vAlign w:val="bottom"/>
          </w:tcPr>
          <w:p>
            <w:pPr>
              <w:spacing w:after="0"/>
              <w:rPr>
                <w:sz w:val="24"/>
                <w:szCs w:val="24"/>
                <w:color w:val="auto"/>
              </w:rPr>
            </w:pPr>
          </w:p>
        </w:tc>
      </w:tr>
      <w:tr>
        <w:trPr>
          <w:trHeight w:val="200"/>
        </w:trPr>
        <w:tc>
          <w:tcPr>
            <w:tcW w:w="1940" w:type="dxa"/>
            <w:vAlign w:val="bottom"/>
          </w:tcPr>
          <w:p>
            <w:pPr>
              <w:jc w:val="right"/>
              <w:ind w:right="653"/>
              <w:spacing w:after="0"/>
              <w:rPr>
                <w:sz w:val="20"/>
                <w:szCs w:val="20"/>
                <w:color w:val="auto"/>
              </w:rPr>
            </w:pPr>
            <w:r>
              <w:rPr>
                <w:rFonts w:ascii="Arial" w:cs="Arial" w:eastAsia="Arial" w:hAnsi="Arial"/>
                <w:sz w:val="17"/>
                <w:szCs w:val="17"/>
                <w:color w:val="auto"/>
              </w:rPr>
              <w:t>74</w:t>
            </w:r>
          </w:p>
        </w:tc>
        <w:tc>
          <w:tcPr>
            <w:tcW w:w="1220" w:type="dxa"/>
            <w:vAlign w:val="bottom"/>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7"/>
                <w:szCs w:val="17"/>
                <w:color w:val="auto"/>
              </w:rPr>
            </w:pPr>
          </w:p>
        </w:tc>
      </w:tr>
      <w:tr>
        <w:trPr>
          <w:trHeight w:val="200"/>
        </w:trPr>
        <w:tc>
          <w:tcPr>
            <w:tcW w:w="1940" w:type="dxa"/>
            <w:vAlign w:val="bottom"/>
          </w:tcPr>
          <w:p>
            <w:pPr>
              <w:jc w:val="right"/>
              <w:ind w:right="593"/>
              <w:spacing w:after="0"/>
              <w:rPr>
                <w:sz w:val="20"/>
                <w:szCs w:val="20"/>
                <w:color w:val="auto"/>
              </w:rPr>
            </w:pPr>
            <w:r>
              <w:rPr>
                <w:rFonts w:ascii="Arial" w:cs="Arial" w:eastAsia="Arial" w:hAnsi="Arial"/>
                <w:sz w:val="17"/>
                <w:szCs w:val="17"/>
                <w:color w:val="auto"/>
              </w:rPr>
              <w:t>(141)</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1940" w:type="dxa"/>
            <w:vAlign w:val="bottom"/>
          </w:tcPr>
          <w:p>
            <w:pPr>
              <w:jc w:val="right"/>
              <w:ind w:right="593"/>
              <w:spacing w:after="0"/>
              <w:rPr>
                <w:sz w:val="20"/>
                <w:szCs w:val="20"/>
                <w:color w:val="auto"/>
              </w:rPr>
            </w:pPr>
            <w:r>
              <w:rPr>
                <w:rFonts w:ascii="Arial" w:cs="Arial" w:eastAsia="Arial" w:hAnsi="Arial"/>
                <w:sz w:val="17"/>
                <w:szCs w:val="17"/>
                <w:color w:val="auto"/>
              </w:rPr>
              <w:t>(1)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w:t>
            </w:r>
          </w:p>
        </w:tc>
      </w:tr>
    </w:tbl>
    <w:p>
      <w:pPr>
        <w:spacing w:after="0" w:line="20" w:lineRule="exact"/>
        <w:rPr>
          <w:sz w:val="20"/>
          <w:szCs w:val="20"/>
          <w:color w:val="auto"/>
        </w:rPr>
      </w:pPr>
    </w:p>
    <w:p>
      <w:pPr>
        <w:sectPr>
          <w:pgSz w:w="11900" w:h="16838" w:orient="portrait"/>
          <w:cols w:equalWidth="0" w:num="2">
            <w:col w:w="7160" w:space="720"/>
            <w:col w:w="3280"/>
          </w:cols>
          <w:pgMar w:left="240" w:top="455" w:right="499" w:bottom="1440" w:gutter="0" w:footer="0" w:header="0"/>
          <w:type w:val="continuous"/>
        </w:sectPr>
      </w:pPr>
    </w:p>
    <w:tbl>
      <w:tblPr>
        <w:tblLayout w:type="fixed"/>
        <w:tblInd w:w="280" w:type="dxa"/>
        <w:tblCellMar>
          <w:top w:w="0" w:type="dxa"/>
          <w:left w:w="0" w:type="dxa"/>
          <w:bottom w:w="0" w:type="dxa"/>
          <w:right w:w="0" w:type="dxa"/>
        </w:tblCellMar>
      </w:tblPr>
      <w:tr>
        <w:trPr>
          <w:trHeight w:val="20"/>
        </w:trPr>
        <w:tc>
          <w:tcPr>
            <w:tcW w:w="7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7"/>
        </w:trPr>
        <w:tc>
          <w:tcPr>
            <w:tcW w:w="7600" w:type="dxa"/>
            <w:vAlign w:val="bottom"/>
            <w:shd w:val="clear" w:color="auto" w:fill="CCEEFF"/>
          </w:tcPr>
          <w:p>
            <w:pPr>
              <w:ind w:left="840"/>
              <w:spacing w:after="0" w:line="187" w:lineRule="exact"/>
              <w:rPr>
                <w:sz w:val="20"/>
                <w:szCs w:val="20"/>
                <w:color w:val="auto"/>
              </w:rPr>
            </w:pPr>
            <w:r>
              <w:rPr>
                <w:rFonts w:ascii="Arial" w:cs="Arial" w:eastAsia="Arial" w:hAnsi="Arial"/>
                <w:sz w:val="17"/>
                <w:szCs w:val="17"/>
                <w:color w:val="auto"/>
              </w:rPr>
              <w:t>Net cash (used in) provided by financing activities</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53"/>
              <w:spacing w:after="0" w:line="187" w:lineRule="exact"/>
              <w:rPr>
                <w:sz w:val="20"/>
                <w:szCs w:val="20"/>
                <w:color w:val="auto"/>
              </w:rPr>
            </w:pPr>
            <w:r>
              <w:rPr>
                <w:rFonts w:ascii="Arial" w:cs="Arial" w:eastAsia="Arial" w:hAnsi="Arial"/>
                <w:sz w:val="17"/>
                <w:szCs w:val="17"/>
                <w:color w:val="auto"/>
              </w:rPr>
              <w:t>(68)</w:t>
            </w:r>
          </w:p>
        </w:tc>
        <w:tc>
          <w:tcPr>
            <w:tcW w:w="7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12,419</w:t>
            </w:r>
          </w:p>
        </w:tc>
      </w:tr>
      <w:tr>
        <w:trPr>
          <w:trHeight w:val="20"/>
        </w:trPr>
        <w:tc>
          <w:tcPr>
            <w:tcW w:w="7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7600" w:type="dxa"/>
            <w:vAlign w:val="bottom"/>
          </w:tcPr>
          <w:p>
            <w:pPr>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40" w:type="dxa"/>
            <w:vAlign w:val="bottom"/>
          </w:tcPr>
          <w:p>
            <w:pPr>
              <w:spacing w:after="0"/>
              <w:rPr>
                <w:sz w:val="17"/>
                <w:szCs w:val="17"/>
                <w:color w:val="auto"/>
              </w:rPr>
            </w:pPr>
          </w:p>
        </w:tc>
        <w:tc>
          <w:tcPr>
            <w:tcW w:w="1260" w:type="dxa"/>
            <w:vAlign w:val="bottom"/>
          </w:tcPr>
          <w:p>
            <w:pPr>
              <w:jc w:val="right"/>
              <w:ind w:right="253"/>
              <w:spacing w:after="0"/>
              <w:rPr>
                <w:sz w:val="20"/>
                <w:szCs w:val="20"/>
                <w:color w:val="auto"/>
              </w:rPr>
            </w:pPr>
            <w:r>
              <w:rPr>
                <w:rFonts w:ascii="Arial" w:cs="Arial" w:eastAsia="Arial" w:hAnsi="Arial"/>
                <w:sz w:val="17"/>
                <w:szCs w:val="17"/>
                <w:color w:val="auto"/>
              </w:rPr>
              <w:t>(6,690)</w:t>
            </w:r>
          </w:p>
        </w:tc>
        <w:tc>
          <w:tcPr>
            <w:tcW w:w="7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10,404</w:t>
            </w:r>
          </w:p>
        </w:tc>
      </w:tr>
      <w:tr>
        <w:trPr>
          <w:trHeight w:val="200"/>
        </w:trPr>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105,603</w:t>
            </w:r>
          </w:p>
        </w:tc>
        <w:tc>
          <w:tcPr>
            <w:tcW w:w="7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1,853</w:t>
            </w:r>
          </w:p>
        </w:tc>
        <w:tc>
          <w:tcPr>
            <w:tcW w:w="120" w:type="dxa"/>
            <w:vAlign w:val="bottom"/>
            <w:shd w:val="clear" w:color="auto" w:fill="CCEEFF"/>
          </w:tcPr>
          <w:p>
            <w:pPr>
              <w:spacing w:after="0"/>
              <w:rPr>
                <w:sz w:val="17"/>
                <w:szCs w:val="17"/>
                <w:color w:val="auto"/>
              </w:rPr>
            </w:pPr>
          </w:p>
        </w:tc>
      </w:tr>
      <w:tr>
        <w:trPr>
          <w:trHeight w:val="207"/>
        </w:trPr>
        <w:tc>
          <w:tcPr>
            <w:tcW w:w="7600" w:type="dxa"/>
            <w:vAlign w:val="bottom"/>
          </w:tcPr>
          <w:p>
            <w:pPr>
              <w:spacing w:after="0"/>
              <w:rPr>
                <w:sz w:val="20"/>
                <w:szCs w:val="20"/>
                <w:color w:val="auto"/>
              </w:rPr>
            </w:pPr>
            <w:r>
              <w:rPr>
                <w:rFonts w:ascii="Arial" w:cs="Arial" w:eastAsia="Arial" w:hAnsi="Arial"/>
                <w:sz w:val="17"/>
                <w:szCs w:val="17"/>
                <w:color w:val="auto"/>
              </w:rPr>
              <w:t>Cash, cash equivalents and restricted cash—end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13"/>
              <w:spacing w:after="0"/>
              <w:rPr>
                <w:sz w:val="20"/>
                <w:szCs w:val="20"/>
                <w:color w:val="auto"/>
              </w:rPr>
            </w:pPr>
            <w:r>
              <w:rPr>
                <w:rFonts w:ascii="Arial" w:cs="Arial" w:eastAsia="Arial" w:hAnsi="Arial"/>
                <w:sz w:val="17"/>
                <w:szCs w:val="17"/>
                <w:color w:val="auto"/>
              </w:rPr>
              <w:t>98,913</w:t>
            </w:r>
          </w:p>
        </w:tc>
        <w:tc>
          <w:tcPr>
            <w:tcW w:w="74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12,257</w:t>
            </w:r>
          </w:p>
        </w:tc>
      </w:tr>
      <w:tr>
        <w:trPr>
          <w:trHeight w:val="73"/>
        </w:trPr>
        <w:tc>
          <w:tcPr>
            <w:tcW w:w="760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0"/>
        </w:trPr>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 of non-cash investing and financing activities:</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7600" w:type="dxa"/>
            <w:vAlign w:val="bottom"/>
          </w:tcPr>
          <w:p>
            <w:pPr>
              <w:ind w:left="200"/>
              <w:spacing w:after="0"/>
              <w:rPr>
                <w:sz w:val="20"/>
                <w:szCs w:val="20"/>
                <w:color w:val="auto"/>
              </w:rPr>
            </w:pPr>
            <w:r>
              <w:rPr>
                <w:rFonts w:ascii="Arial" w:cs="Arial" w:eastAsia="Arial" w:hAnsi="Arial"/>
                <w:sz w:val="17"/>
                <w:szCs w:val="17"/>
                <w:color w:val="auto"/>
              </w:rPr>
              <w:t>Property and equipment included in accrued expenses and accounts payable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13"/>
              <w:spacing w:after="0"/>
              <w:rPr>
                <w:sz w:val="20"/>
                <w:szCs w:val="20"/>
                <w:color w:val="auto"/>
              </w:rPr>
            </w:pPr>
            <w:r>
              <w:rPr>
                <w:rFonts w:ascii="Arial" w:cs="Arial" w:eastAsia="Arial" w:hAnsi="Arial"/>
                <w:sz w:val="17"/>
                <w:szCs w:val="17"/>
                <w:color w:val="auto"/>
              </w:rPr>
              <w:t>198</w:t>
            </w:r>
          </w:p>
        </w:tc>
        <w:tc>
          <w:tcPr>
            <w:tcW w:w="74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38</w:t>
            </w:r>
          </w:p>
        </w:tc>
      </w:tr>
      <w:tr>
        <w:trPr>
          <w:trHeight w:val="27"/>
        </w:trPr>
        <w:tc>
          <w:tcPr>
            <w:tcW w:w="7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0"/>
        </w:trPr>
        <w:tc>
          <w:tcPr>
            <w:tcW w:w="76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offering costs not yet paid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944</w:t>
            </w: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7600" w:type="dxa"/>
            <w:vAlign w:val="bottom"/>
          </w:tcPr>
          <w:p>
            <w:pPr>
              <w:ind w:left="200"/>
              <w:spacing w:after="0"/>
              <w:rPr>
                <w:sz w:val="20"/>
                <w:szCs w:val="20"/>
                <w:color w:val="auto"/>
              </w:rPr>
            </w:pPr>
            <w:r>
              <w:rPr>
                <w:rFonts w:ascii="Arial" w:cs="Arial" w:eastAsia="Arial" w:hAnsi="Arial"/>
                <w:sz w:val="17"/>
                <w:szCs w:val="17"/>
                <w:color w:val="auto"/>
              </w:rPr>
              <w:t>Issuance of convertible Preferred Stock in exchange for simple agreement for future</w:t>
            </w: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6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equity</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 accompanying notes are an integral part of these unaudited consolidated financial statements.</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160"/>
          </w:cols>
          <w:pgMar w:left="240" w:top="455" w:right="49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Stoke Therapeutics, Inc. and subsidiaries</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Notes to consolidated financial statements—(unaudited)</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 Nature of the business and basis of presentation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Organization</w:t>
      </w:r>
    </w:p>
    <w:p>
      <w:pPr>
        <w:spacing w:after="0" w:line="131" w:lineRule="exact"/>
        <w:rPr>
          <w:sz w:val="20"/>
          <w:szCs w:val="20"/>
          <w:color w:val="auto"/>
        </w:rPr>
      </w:pPr>
    </w:p>
    <w:p>
      <w:pPr>
        <w:ind w:left="280" w:right="240"/>
        <w:spacing w:after="0" w:line="253" w:lineRule="auto"/>
        <w:rPr>
          <w:sz w:val="20"/>
          <w:szCs w:val="20"/>
          <w:color w:val="auto"/>
        </w:rPr>
      </w:pPr>
      <w:r>
        <w:rPr>
          <w:rFonts w:ascii="Arial" w:cs="Arial" w:eastAsia="Arial" w:hAnsi="Arial"/>
          <w:sz w:val="17"/>
          <w:szCs w:val="17"/>
          <w:color w:val="auto"/>
        </w:rPr>
        <w:t>Stoke Therapeutics, Inc. (the Company) was founded in June 2014 and was incorporated under the laws of the State of Delaware. The Company is an early-stage biopharmaceutical company pioneering a new way to treat the underlying causes of severe genetic diseases by precisely upregulating protein expression.</w:t>
      </w:r>
    </w:p>
    <w:p>
      <w:pPr>
        <w:spacing w:after="0" w:line="89" w:lineRule="exact"/>
        <w:rPr>
          <w:sz w:val="20"/>
          <w:szCs w:val="20"/>
          <w:color w:val="auto"/>
        </w:rPr>
      </w:pPr>
    </w:p>
    <w:p>
      <w:pPr>
        <w:ind w:left="280" w:right="100"/>
        <w:spacing w:after="0" w:line="247" w:lineRule="auto"/>
        <w:rPr>
          <w:sz w:val="20"/>
          <w:szCs w:val="20"/>
          <w:color w:val="auto"/>
        </w:rPr>
      </w:pPr>
      <w:r>
        <w:rPr>
          <w:rFonts w:ascii="Arial" w:cs="Arial" w:eastAsia="Arial" w:hAnsi="Arial"/>
          <w:sz w:val="17"/>
          <w:szCs w:val="17"/>
          <w:color w:val="auto"/>
        </w:rPr>
        <w:t>On June 6, 2019, the Company effected a 9.95-for-one reverse split of the Company’s issued and outstanding common and convertible preferred stock. Upon the effectiveness of the reverse stock split, (i) all shares of outstanding common stock and convertible preferred stock were adjusted; (ii) the number of shares of common stock for which each outstanding option to purchase common stock is exercisable were adjusted; and (iii) the exercise price of each outstanding option to purchase common stock were adjusted. All of the outstanding common stock share numbers (including shares of common stock subject to the Company’s options and as converted for the outstanding convertible preferred stock shares), share prices, exercise prices and per share amounts contained in the interim consolidated financial statements have been retroactively adjusted in the interim consolidated financial statements to reflect this reverse stock split for all periods presented. The par value per share and the authorized number of shares of common stock and convertible preferred stock were not adjusted as a result of the reverse stock split.</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Uncertainties</w:t>
      </w:r>
    </w:p>
    <w:p>
      <w:pPr>
        <w:spacing w:after="0" w:line="131" w:lineRule="exact"/>
        <w:rPr>
          <w:sz w:val="20"/>
          <w:szCs w:val="20"/>
          <w:color w:val="auto"/>
        </w:rPr>
      </w:pPr>
    </w:p>
    <w:p>
      <w:pPr>
        <w:ind w:left="280" w:right="220"/>
        <w:spacing w:after="0" w:line="24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Liquidity</w:t>
      </w:r>
    </w:p>
    <w:p>
      <w:pPr>
        <w:spacing w:after="0" w:line="13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Company expects that its operating losses and negative cash flows will continue for the foreseeable future. As of the issuance date of these unaudited consolidated financial statements as of and for the three months ended March 31, 2019, the Company expects that its cash and cash equivalents will be sufficient to fund its operating expenses and capital expenditure requirements through at least twelve months from the issuance date of its consolidated financial statements. The future viability of the Company beyond that date is dependent on its ability to raise additional capital to finance its operations.</w:t>
      </w:r>
    </w:p>
    <w:p>
      <w:pPr>
        <w:spacing w:after="0" w:line="93" w:lineRule="exact"/>
        <w:rPr>
          <w:sz w:val="20"/>
          <w:szCs w:val="20"/>
          <w:color w:val="auto"/>
        </w:rPr>
      </w:pPr>
    </w:p>
    <w:p>
      <w:pPr>
        <w:ind w:left="280" w:right="220"/>
        <w:spacing w:after="0" w:line="248" w:lineRule="auto"/>
        <w:rPr>
          <w:sz w:val="20"/>
          <w:szCs w:val="20"/>
          <w:color w:val="auto"/>
        </w:rPr>
      </w:pPr>
      <w:r>
        <w:rPr>
          <w:rFonts w:ascii="Arial" w:cs="Arial" w:eastAsia="Arial" w:hAnsi="Arial"/>
          <w:sz w:val="17"/>
          <w:szCs w:val="17"/>
          <w:color w:val="auto"/>
        </w:rPr>
        <w:t>The Company is seeking to complete an initial public offering (“IPO”) of its common stock. Upon the closing of a qualified IPO (as defined in the Company’s Certificate of Incorporation, as amended and restated) on specified terms, all of the Company’s outstanding convertible preferred stock will automatically convert into shares of common stock. In the event the Company does not complete an IPO, the Company expects to seek additional funding through private equity financings, debt financings, other collaborations, strategic alliances and licensing arrangements. The Company may not be able to obtain financing on acceptable terms, or at all, and the Company may not be able to enter into strategic alliances or other arrangements on favorable terms, or at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160"/>
          </w:cols>
          <w:pgMar w:left="240" w:top="455"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2. Summary of significant accounting policies and recent accounting pronouncements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31" w:lineRule="exact"/>
        <w:rPr>
          <w:sz w:val="20"/>
          <w:szCs w:val="20"/>
          <w:color w:val="auto"/>
        </w:rPr>
      </w:pPr>
    </w:p>
    <w:p>
      <w:pPr>
        <w:jc w:val="both"/>
        <w:ind w:left="280" w:right="520"/>
        <w:spacing w:after="0" w:line="25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(GAAP), and include the accounts of Stoke Therapeutics, Inc. and its wholly-owned subsidiary. All intercompany transactions between and among its consolidated subsidiary have been eliminated.</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31"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 accompanying consolidated balance sheet as of March 31, 2019 and the consolidated statements of operations, stockholders’ equity and cash flows for the three months ended March 31, 2019 and 2018 are unaudited. The unaudited interim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2019 and the results of its operations and its cash flows for the three months ended March 31, 2019 and 2018. The financial data and other information disclosed in these notes related to the three months ended March 31, 2019 and 2018 are also unaudited. The results for the three months ended March 31, 2019 are not necessarily indicative of results to be expected for the year ending December 31, 2019, any other interim periods, or any future year or period. The consolidated balance sheet as of December 31, 2018 included herein was derived from the audited consolidated financial statements as of that date. These unaudited consolidated financial statements should be read in conjunction with the Company’s audited consolidated financial statements included elsewhere in this prospectus.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131"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The accompanying unaudited pro forma consolidated balance sheet as of March 31, 2019 has been prepared to give effect to the automatic conversion of all outstanding shares of convertible preferred stock into 22,677,585 shares of common stock as if the Company’s proposed initial public offering had occurred on March 31, 2019.</w:t>
      </w:r>
    </w:p>
    <w:p>
      <w:pPr>
        <w:spacing w:after="0" w:line="89" w:lineRule="exact"/>
        <w:rPr>
          <w:sz w:val="20"/>
          <w:szCs w:val="20"/>
          <w:color w:val="auto"/>
        </w:rPr>
      </w:pPr>
    </w:p>
    <w:p>
      <w:pPr>
        <w:ind w:left="280" w:right="260"/>
        <w:spacing w:after="0" w:line="251" w:lineRule="auto"/>
        <w:rPr>
          <w:sz w:val="20"/>
          <w:szCs w:val="20"/>
          <w:color w:val="auto"/>
        </w:rPr>
      </w:pPr>
      <w:r>
        <w:rPr>
          <w:rFonts w:ascii="Arial" w:cs="Arial" w:eastAsia="Arial" w:hAnsi="Arial"/>
          <w:sz w:val="17"/>
          <w:szCs w:val="17"/>
          <w:color w:val="auto"/>
        </w:rPr>
        <w:t>In the accompanying consolidated statements of operations, the unaudited pro forma basic and diluted net loss per share attributable to common stockholders for the three months ended March 31, 2019 has been prepared to give effect to the automatic conversion of all outstanding shares of convertible preferred stock upon the closing of the proposed initial public offering into 22,677,585 shares of common stock as if the conversion had occurred on the later of January 1, 2019 or the issuance date of the convertible preferred stock.</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31" w:lineRule="exact"/>
        <w:rPr>
          <w:sz w:val="20"/>
          <w:szCs w:val="20"/>
          <w:color w:val="auto"/>
        </w:rPr>
      </w:pPr>
    </w:p>
    <w:p>
      <w:pPr>
        <w:ind w:left="280" w:right="100"/>
        <w:spacing w:after="0" w:line="253" w:lineRule="auto"/>
        <w:rPr>
          <w:sz w:val="20"/>
          <w:szCs w:val="20"/>
          <w:color w:val="auto"/>
        </w:rPr>
      </w:pPr>
      <w:r>
        <w:rPr>
          <w:rFonts w:ascii="Arial" w:cs="Arial" w:eastAsia="Arial" w:hAnsi="Arial"/>
          <w:sz w:val="17"/>
          <w:szCs w:val="17"/>
          <w:color w:val="auto"/>
        </w:rPr>
        <w:t>The preparation of unaudited consolidated financial statements in conformity with GAAP requires management to make estimates and assumptions that affect the reported amounts of assets, liabilities, equity, expenses and disclosure of contingent assets and liabilities. Estimates are periodically reviewed in light of changes in circumstances, facts and experience. Actual results could differ from our estimates.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140"/>
          </w:cols>
          <w:pgMar w:left="240" w:top="455"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31" w:lineRule="exact"/>
        <w:rPr>
          <w:sz w:val="20"/>
          <w:szCs w:val="20"/>
          <w:color w:val="auto"/>
        </w:rPr>
      </w:pPr>
    </w:p>
    <w:p>
      <w:pPr>
        <w:ind w:left="280" w:right="500"/>
        <w:spacing w:after="0" w:line="262"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The Company deposits its cash in checking, sweep account and money market accounts.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Restricted cash</w:t>
      </w:r>
    </w:p>
    <w:p>
      <w:pPr>
        <w:spacing w:after="0" w:line="131" w:lineRule="exact"/>
        <w:rPr>
          <w:sz w:val="20"/>
          <w:szCs w:val="20"/>
          <w:color w:val="auto"/>
        </w:rPr>
      </w:pPr>
    </w:p>
    <w:p>
      <w:pPr>
        <w:ind w:left="280" w:right="660"/>
        <w:spacing w:after="0" w:line="262" w:lineRule="auto"/>
        <w:rPr>
          <w:sz w:val="20"/>
          <w:szCs w:val="20"/>
          <w:color w:val="auto"/>
        </w:rPr>
      </w:pPr>
      <w:r>
        <w:rPr>
          <w:rFonts w:ascii="Arial" w:cs="Arial" w:eastAsia="Arial" w:hAnsi="Arial"/>
          <w:sz w:val="17"/>
          <w:szCs w:val="17"/>
          <w:color w:val="auto"/>
        </w:rPr>
        <w:t>At March 31, 2019, restricted cash consisted of money market accounts collateralizing letters of credit issued as a security deposits in connection with the Company’s lease of its corporate facilities.</w:t>
      </w:r>
    </w:p>
    <w:p>
      <w:pPr>
        <w:spacing w:after="0" w:line="80" w:lineRule="exact"/>
        <w:rPr>
          <w:sz w:val="20"/>
          <w:szCs w:val="20"/>
          <w:color w:val="auto"/>
        </w:rPr>
      </w:pPr>
    </w:p>
    <w:p>
      <w:pPr>
        <w:ind w:left="280" w:right="380"/>
        <w:spacing w:after="0" w:line="262" w:lineRule="auto"/>
        <w:rPr>
          <w:sz w:val="20"/>
          <w:szCs w:val="20"/>
          <w:color w:val="auto"/>
        </w:rPr>
      </w:pPr>
      <w:r>
        <w:rPr>
          <w:rFonts w:ascii="Arial" w:cs="Arial" w:eastAsia="Arial" w:hAnsi="Arial"/>
          <w:sz w:val="17"/>
          <w:szCs w:val="17"/>
          <w:color w:val="auto"/>
        </w:rPr>
        <w:t>The following table reconciles cash and cash equivalents and restricted cash per the consolidated balance sheet to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p>
      <w:pPr>
        <w:ind w:left="9820"/>
        <w:spacing w:after="0"/>
        <w:rPr>
          <w:sz w:val="20"/>
          <w:szCs w:val="20"/>
          <w:color w:val="auto"/>
        </w:rPr>
      </w:pPr>
      <w:r>
        <w:rPr>
          <w:rFonts w:ascii="Arial" w:cs="Arial" w:eastAsia="Arial" w:hAnsi="Arial"/>
          <w:sz w:val="17"/>
          <w:szCs w:val="17"/>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14605</wp:posOffset>
            </wp:positionV>
            <wp:extent cx="10502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5" w:lineRule="exact"/>
        <w:rPr>
          <w:sz w:val="20"/>
          <w:szCs w:val="20"/>
          <w:color w:val="auto"/>
        </w:rPr>
      </w:pPr>
    </w:p>
    <w:p>
      <w:pPr>
        <w:ind w:left="9700"/>
        <w:spacing w:after="0"/>
        <w:tabs>
          <w:tab w:leader="none" w:pos="10700" w:val="left"/>
        </w:tabs>
        <w:rPr>
          <w:sz w:val="20"/>
          <w:szCs w:val="20"/>
          <w:color w:val="auto"/>
        </w:rPr>
      </w:pPr>
      <w:r>
        <w:rPr>
          <w:rFonts w:ascii="Arial" w:cs="Arial" w:eastAsia="Arial" w:hAnsi="Arial"/>
          <w:sz w:val="17"/>
          <w:szCs w:val="17"/>
          <w:b w:val="1"/>
          <w:bCs w:val="1"/>
          <w:color w:val="auto"/>
        </w:rPr>
        <w:t>2019</w:t>
      </w:r>
      <w:r>
        <w:rPr>
          <w:sz w:val="20"/>
          <w:szCs w:val="20"/>
          <w:color w:val="auto"/>
        </w:rPr>
        <w:tab/>
      </w:r>
      <w:r>
        <w:rPr>
          <w:rFonts w:ascii="Arial" w:cs="Arial" w:eastAsia="Arial" w:hAnsi="Arial"/>
          <w:sz w:val="17"/>
          <w:szCs w:val="17"/>
          <w:b w:val="1"/>
          <w:bCs w:val="1"/>
          <w:color w:val="auto"/>
        </w:rPr>
        <w:t>2018</w:t>
      </w:r>
    </w:p>
    <w:p>
      <w:pPr>
        <w:spacing w:after="0" w:line="23"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91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840" w:type="dxa"/>
            <w:vAlign w:val="bottom"/>
            <w:tcBorders>
              <w:top w:val="single" w:sz="8" w:color="auto"/>
            </w:tcBorders>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$98,651</w:t>
            </w:r>
          </w:p>
        </w:tc>
        <w:tc>
          <w:tcPr>
            <w:tcW w:w="88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12,202</w:t>
            </w:r>
          </w:p>
        </w:tc>
      </w:tr>
      <w:tr>
        <w:trPr>
          <w:trHeight w:val="200"/>
        </w:trPr>
        <w:tc>
          <w:tcPr>
            <w:tcW w:w="9160" w:type="dxa"/>
            <w:vAlign w:val="bottom"/>
          </w:tcPr>
          <w:p>
            <w:pPr>
              <w:spacing w:after="0"/>
              <w:rPr>
                <w:sz w:val="20"/>
                <w:szCs w:val="20"/>
                <w:color w:val="auto"/>
              </w:rPr>
            </w:pPr>
            <w:r>
              <w:rPr>
                <w:rFonts w:ascii="Arial" w:cs="Arial" w:eastAsia="Arial" w:hAnsi="Arial"/>
                <w:sz w:val="17"/>
                <w:szCs w:val="17"/>
                <w:color w:val="auto"/>
              </w:rPr>
              <w:t>Restricted cash</w:t>
            </w:r>
          </w:p>
        </w:tc>
        <w:tc>
          <w:tcPr>
            <w:tcW w:w="840" w:type="dxa"/>
            <w:vAlign w:val="bottom"/>
          </w:tcPr>
          <w:p>
            <w:pPr>
              <w:jc w:val="right"/>
              <w:ind w:right="113"/>
              <w:spacing w:after="0"/>
              <w:rPr>
                <w:sz w:val="20"/>
                <w:szCs w:val="20"/>
                <w:color w:val="auto"/>
              </w:rPr>
            </w:pPr>
            <w:r>
              <w:rPr>
                <w:rFonts w:ascii="Arial" w:cs="Arial" w:eastAsia="Arial" w:hAnsi="Arial"/>
                <w:sz w:val="17"/>
                <w:szCs w:val="17"/>
                <w:color w:val="auto"/>
              </w:rPr>
              <w:t>262</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55</w:t>
            </w:r>
          </w:p>
        </w:tc>
      </w:tr>
      <w:tr>
        <w:trPr>
          <w:trHeight w:val="27"/>
        </w:trPr>
        <w:tc>
          <w:tcPr>
            <w:tcW w:w="9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9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$98,913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$12,257</w:t>
            </w:r>
          </w:p>
        </w:tc>
      </w:tr>
      <w:tr>
        <w:trPr>
          <w:trHeight w:val="20"/>
        </w:trPr>
        <w:tc>
          <w:tcPr>
            <w:tcW w:w="9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3"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 xml:space="preserve">Accounting Standards Codification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those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Level 1—Quoted market prices in active markets for identical assets or liabilities.</w:t>
      </w:r>
    </w:p>
    <w:p>
      <w:pPr>
        <w:spacing w:after="0" w:line="111" w:lineRule="exact"/>
        <w:rPr>
          <w:sz w:val="20"/>
          <w:szCs w:val="20"/>
          <w:color w:val="auto"/>
        </w:rPr>
      </w:pPr>
    </w:p>
    <w:p>
      <w:pPr>
        <w:ind w:left="280" w:right="400"/>
        <w:spacing w:after="0" w:line="262" w:lineRule="auto"/>
        <w:rPr>
          <w:sz w:val="20"/>
          <w:szCs w:val="20"/>
          <w:color w:val="auto"/>
        </w:rPr>
      </w:pPr>
      <w:r>
        <w:rPr>
          <w:rFonts w:ascii="Arial" w:cs="Arial" w:eastAsia="Arial" w:hAnsi="Arial"/>
          <w:sz w:val="17"/>
          <w:szCs w:val="17"/>
          <w:color w:val="auto"/>
        </w:rPr>
        <w:t>Level 2—Inputs other than Level 1 inputs that are either directly or indirectly observable, such as quoted market prices, interest rates and yield curves.</w:t>
      </w:r>
    </w:p>
    <w:p>
      <w:pPr>
        <w:spacing w:after="0" w:line="80" w:lineRule="exact"/>
        <w:rPr>
          <w:sz w:val="20"/>
          <w:szCs w:val="20"/>
          <w:color w:val="auto"/>
        </w:rPr>
      </w:pPr>
    </w:p>
    <w:p>
      <w:pPr>
        <w:ind w:left="280" w:right="520"/>
        <w:spacing w:after="0" w:line="262" w:lineRule="auto"/>
        <w:rPr>
          <w:sz w:val="20"/>
          <w:szCs w:val="20"/>
          <w:color w:val="auto"/>
        </w:rPr>
      </w:pPr>
      <w:r>
        <w:rPr>
          <w:rFonts w:ascii="Arial" w:cs="Arial" w:eastAsia="Arial" w:hAnsi="Arial"/>
          <w:sz w:val="17"/>
          <w:szCs w:val="17"/>
          <w:color w:val="auto"/>
        </w:rPr>
        <w:t>Level 3—Unobservable inputs developed using estimates of assumptions developed by the Company, which reflect those that a market participant would use.</w:t>
      </w:r>
    </w:p>
    <w:p>
      <w:pPr>
        <w:spacing w:after="0" w:line="80"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31" w:lineRule="exact"/>
        <w:rPr>
          <w:sz w:val="20"/>
          <w:szCs w:val="20"/>
          <w:color w:val="auto"/>
        </w:rPr>
      </w:pPr>
    </w:p>
    <w:p>
      <w:pPr>
        <w:ind w:left="280" w:right="220"/>
        <w:spacing w:after="0" w:line="25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160"/>
          </w:cols>
          <w:pgMar w:left="240" w:top="455"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00"/>
        <w:spacing w:after="0" w:line="262" w:lineRule="auto"/>
        <w:rPr>
          <w:sz w:val="20"/>
          <w:szCs w:val="20"/>
          <w:color w:val="auto"/>
        </w:rPr>
      </w:pPr>
      <w:r>
        <w:rPr>
          <w:rFonts w:ascii="Arial" w:cs="Arial" w:eastAsia="Arial" w:hAnsi="Arial"/>
          <w:sz w:val="17"/>
          <w:szCs w:val="17"/>
          <w:color w:val="auto"/>
        </w:rPr>
        <w:t>reduction of additional paid-in capital generated as a result of the offering. Should the in-process equity financing be abandoned the deferred offering costs will be expensed immediately as a charge to operating expenses in the consolidated statements of operations.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31"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The Company calculates basic and diluted net loss per share attributable to common stockholders in conformity with the two-class method required for participating securities. The Company considers its convertible preferred stock (Preferred Stock) to be participating securities as in the event a dividend is paid on common stock, the holders of Preferred Stock would be entitled to receive dividends on a basis consistent with the common stockholders. Under the two-class method, the net loss attributable to common stockholders is not allocated to the Preferred Stock as the holders of the Preferred Stock do not have a contractual obligation to share in losses.</w:t>
      </w:r>
    </w:p>
    <w:p>
      <w:pPr>
        <w:spacing w:after="0" w:line="93"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Under the two-class method, basic net loss per share attributable to common stockholders is computed by dividing the net loss attributable to common stockholders by the weighted average number of shares of common stock.</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Emerging growth company and smaller reporting company status</w:t>
      </w:r>
    </w:p>
    <w:p>
      <w:pPr>
        <w:spacing w:after="0" w:line="131"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89" w:lineRule="exact"/>
        <w:rPr>
          <w:sz w:val="20"/>
          <w:szCs w:val="20"/>
          <w:color w:val="auto"/>
        </w:rPr>
      </w:pPr>
    </w:p>
    <w:p>
      <w:pPr>
        <w:ind w:left="280" w:right="220"/>
        <w:spacing w:after="0" w:line="245" w:lineRule="auto"/>
        <w:rPr>
          <w:sz w:val="20"/>
          <w:szCs w:val="20"/>
          <w:color w:val="auto"/>
        </w:rPr>
      </w:pPr>
      <w:r>
        <w:rPr>
          <w:rFonts w:ascii="Arial" w:cs="Arial" w:eastAsia="Arial" w:hAnsi="Arial"/>
          <w:sz w:val="17"/>
          <w:szCs w:val="17"/>
          <w:color w:val="auto"/>
        </w:rPr>
        <w:t>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spacing w:after="0" w:line="1" w:lineRule="exact"/>
        <w:rPr>
          <w:sz w:val="20"/>
          <w:szCs w:val="20"/>
          <w:color w:val="auto"/>
        </w:rPr>
      </w:pPr>
    </w:p>
    <w:p>
      <w:pPr>
        <w:ind w:left="280" w:right="160" w:hanging="7"/>
        <w:spacing w:after="0" w:line="253" w:lineRule="auto"/>
        <w:tabs>
          <w:tab w:leader="none" w:pos="52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 Company’s unaudited consolidated financial statements may not be comparable to companies that comply with the new or revised accounting pronouncements as of public company effective dates.</w:t>
      </w:r>
    </w:p>
    <w:p>
      <w:pPr>
        <w:spacing w:after="0" w:line="89" w:lineRule="exact"/>
        <w:rPr>
          <w:sz w:val="20"/>
          <w:szCs w:val="20"/>
          <w:color w:val="auto"/>
        </w:rPr>
      </w:pPr>
    </w:p>
    <w:p>
      <w:pPr>
        <w:ind w:left="280" w:right="160"/>
        <w:spacing w:after="0" w:line="245" w:lineRule="auto"/>
        <w:rPr>
          <w:sz w:val="20"/>
          <w:szCs w:val="20"/>
          <w:color w:val="auto"/>
        </w:rPr>
      </w:pPr>
      <w:r>
        <w:rPr>
          <w:rFonts w:ascii="Arial" w:cs="Arial" w:eastAsia="Arial" w:hAnsi="Arial"/>
          <w:sz w:val="17"/>
          <w:szCs w:val="17"/>
          <w:color w:val="auto"/>
        </w:rPr>
        <w:t>The Company will remain an emerging growth company until the earliest of (i) the last day of the Company’s first fiscal year (a) following the fifth anniversary of the completion of this offering, (b) in which the Company has total annual gross revenues of at least $1.07 billion, or</w:t>
      </w:r>
    </w:p>
    <w:p>
      <w:pPr>
        <w:spacing w:after="0" w:line="1" w:lineRule="exact"/>
        <w:rPr>
          <w:sz w:val="20"/>
          <w:szCs w:val="20"/>
          <w:color w:val="auto"/>
        </w:rPr>
      </w:pPr>
    </w:p>
    <w:p>
      <w:pPr>
        <w:jc w:val="both"/>
        <w:ind w:left="280" w:right="120" w:hanging="7"/>
        <w:spacing w:after="0" w:line="253" w:lineRule="auto"/>
        <w:tabs>
          <w:tab w:leader="none" w:pos="53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when the Company is deemed to be a large accelerated filer, which means the market value of the Company’s common stock that is held by non-affiliates exceeds $700.0 million as of the prior June 30</w:t>
      </w:r>
      <w:r>
        <w:rPr>
          <w:rFonts w:ascii="Arial" w:cs="Arial" w:eastAsia="Arial" w:hAnsi="Arial"/>
          <w:sz w:val="11"/>
          <w:szCs w:val="11"/>
          <w:color w:val="auto"/>
        </w:rPr>
        <w:t>th</w:t>
      </w:r>
      <w:r>
        <w:rPr>
          <w:rFonts w:ascii="Arial" w:cs="Arial" w:eastAsia="Arial" w:hAnsi="Arial"/>
          <w:sz w:val="17"/>
          <w:szCs w:val="17"/>
          <w:color w:val="auto"/>
        </w:rPr>
        <w:t xml:space="preserve"> and (ii) the date on which the Company has issued more than $1.0 billion in non-convertible debt securities during the prior three-year period.</w:t>
      </w:r>
    </w:p>
    <w:p>
      <w:pPr>
        <w:spacing w:after="0" w:line="89"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The Company is also a “smaller reporting company,” meaning that in the event of an initial public offering the market value of its stock held by non-affiliates plus the proposed aggregate amount of gross proceeds to the Company as a result of such offering is less than $700 million and its annual revenue is less than $100 million during the most recently completed fiscal year. The Company may continue to be a smaller reporting company as long as either (i) the market value of its stock held by non-affiliates is less than $250 million or (ii) its annual revenue is less than $100 million during the most recently completed fiscal year and the market value of its stock held by non-affiliates is less than $700 million. If the Company is a smaller reporting company at the time it ceases to be an emerging growth company, the Company may continue to rely on exemptions from certain disclosure requirements that are available to smaller reporting companies. Specifically, as a smaller reporting company, the Company may choose to present only the two most recent fiscal years of audited financial statements in its Annual Report on Form 10-K and, similar to emerging growth companies, smaller reporting companies have reduced disclosure obligations regarding executive compensation.</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140"/>
          </w:cols>
          <w:pgMar w:left="240" w:top="455"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3" w:lineRule="exact"/>
        <w:rPr>
          <w:sz w:val="20"/>
          <w:szCs w:val="20"/>
          <w:color w:val="auto"/>
        </w:rPr>
      </w:pPr>
    </w:p>
    <w:p>
      <w:pPr>
        <w:ind w:left="280" w:right="140"/>
        <w:spacing w:after="0" w:line="24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with guidance regarding the accounting for and disclosure of leases. The update requires lessees to recognize all leases, including operating leases, with a term greater than 12 months on the consolidated balance sheet. This update also requires lessees and lessors to disclose key information about their leasing transactions. This guidance will be effective for public companies for annual and interim periods beginning after December 15, 2018. For all other entities, this standard is effective for annual reporting periods beginning after December 15, 2019, and interim periods within annual periods beginning after December 15, 2020. The Company will adopt this standard on January 1, 2020. While the Company expects the implementation of ASU</w:t>
      </w:r>
    </w:p>
    <w:p>
      <w:pPr>
        <w:spacing w:after="0" w:line="1" w:lineRule="exact"/>
        <w:rPr>
          <w:sz w:val="20"/>
          <w:szCs w:val="20"/>
          <w:color w:val="auto"/>
        </w:rPr>
      </w:pPr>
    </w:p>
    <w:p>
      <w:pPr>
        <w:ind w:left="280" w:right="220"/>
        <w:spacing w:after="0" w:line="262" w:lineRule="auto"/>
        <w:rPr>
          <w:sz w:val="20"/>
          <w:szCs w:val="20"/>
          <w:color w:val="auto"/>
        </w:rPr>
      </w:pPr>
      <w:r>
        <w:rPr>
          <w:rFonts w:ascii="Arial" w:cs="Arial" w:eastAsia="Arial" w:hAnsi="Arial"/>
          <w:sz w:val="17"/>
          <w:szCs w:val="17"/>
          <w:color w:val="auto"/>
        </w:rPr>
        <w:t>2016-02 to result in the recognition of right-of-use assets and lease liabilities for leased facilities, the Company is still evaluating the impact that the adoption of ASU 2016-2 will have on its consolidated financial statements.</w:t>
      </w:r>
    </w:p>
    <w:p>
      <w:pPr>
        <w:spacing w:after="0" w:line="62"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Distinguishing Liabilities from Equity (Topic 480) and Derivatives and Hedging (Topic 815): </w:t>
      </w:r>
      <w:r>
        <w:rPr>
          <w:rFonts w:ascii="Arial" w:cs="Arial" w:eastAsia="Arial" w:hAnsi="Arial"/>
          <w:sz w:val="17"/>
          <w:szCs w:val="17"/>
          <w:i w:val="1"/>
          <w:iCs w:val="1"/>
          <w:color w:val="auto"/>
        </w:rPr>
        <w:t>I. Accounting for Certain Financial Instruments with Down Round Features; II. Replacement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 Part I of this update addresses the complexity of accounting for certain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For public business entities, the amendments in Part I of ASU-2017-11 are effective for fiscal years and interim periods within those years beginning after December 15, 2018. For all other entities, the amendments in Part I of this update are effective for fiscal years beginning after December 15, 2019, and interim periods within fiscal years beginning after December 15, 2020. The Company intends to adopt Part I of this update on January 1, 2020. Early adoption is permitted for all entities, including adoption in an interim period. The Company is currently assessing the potential impact of adopting ASU 2017-11 on its consolidated financial statements and financial statement disclosures.</w:t>
      </w:r>
    </w:p>
    <w:p>
      <w:pPr>
        <w:spacing w:after="0" w:line="275" w:lineRule="exact"/>
        <w:rPr>
          <w:sz w:val="20"/>
          <w:szCs w:val="20"/>
          <w:color w:val="auto"/>
        </w:rPr>
      </w:pPr>
    </w:p>
    <w:p>
      <w:pPr>
        <w:ind w:left="280"/>
        <w:spacing w:after="0" w:line="24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This ASU removed the following disclosure requirements: (1) the amount of and reasons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2018-13 will be effective for all entities, for fiscal years beginning after December 15, 2019 with early adoption permitted. The Company intends to adopt this standard on January 1, 2020 and does not expect that the adoption of this update will have a material impact on its consolidated financial statements.</w:t>
      </w:r>
    </w:p>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100"/>
          </w:cols>
          <w:pgMar w:left="240" w:top="455" w:right="5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3. Fair value measurements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There were no assets or liabilities carried at fair value on a recurring basis as of March 31, 2019 and as of December 31, 2018.</w:t>
      </w:r>
    </w:p>
    <w:p>
      <w:pPr>
        <w:spacing w:after="0" w:line="111" w:lineRule="exact"/>
        <w:rPr>
          <w:sz w:val="20"/>
          <w:szCs w:val="20"/>
          <w:color w:val="auto"/>
        </w:rPr>
      </w:pPr>
    </w:p>
    <w:p>
      <w:pPr>
        <w:ind w:left="280" w:right="300"/>
        <w:spacing w:after="0" w:line="262"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Fair value measurements as of</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635</wp:posOffset>
            </wp:positionV>
            <wp:extent cx="24130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44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1</w:t>
            </w:r>
          </w:p>
        </w:tc>
        <w:tc>
          <w:tcPr>
            <w:tcW w:w="10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7"/>
                <w:szCs w:val="17"/>
                <w:b w:val="1"/>
                <w:bCs w:val="1"/>
                <w:color w:val="auto"/>
              </w:rPr>
              <w:t>Level 2</w:t>
            </w:r>
          </w:p>
        </w:tc>
        <w:tc>
          <w:tcPr>
            <w:tcW w:w="10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47"/>
        </w:trPr>
        <w:tc>
          <w:tcPr>
            <w:tcW w:w="44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2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440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2620" w:type="dxa"/>
            <w:vAlign w:val="bottom"/>
          </w:tcPr>
          <w:p>
            <w:pPr>
              <w:spacing w:after="0"/>
              <w:rPr>
                <w:sz w:val="17"/>
                <w:szCs w:val="17"/>
                <w:color w:val="auto"/>
              </w:rPr>
            </w:pPr>
          </w:p>
        </w:tc>
        <w:tc>
          <w:tcPr>
            <w:tcW w:w="860" w:type="dxa"/>
            <w:vAlign w:val="bottom"/>
          </w:tcPr>
          <w:p>
            <w:pPr>
              <w:jc w:val="right"/>
              <w:ind w:right="133"/>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98,651</w:t>
            </w:r>
          </w:p>
        </w:tc>
        <w:tc>
          <w:tcPr>
            <w:tcW w:w="4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98,651</w:t>
            </w:r>
          </w:p>
        </w:tc>
      </w:tr>
      <w:tr>
        <w:trPr>
          <w:trHeight w:val="27"/>
        </w:trPr>
        <w:tc>
          <w:tcPr>
            <w:tcW w:w="4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4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26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$98,651</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$98,651</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440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bl>
    <w:p>
      <w:pPr>
        <w:spacing w:after="0" w:line="21"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Fair value measurements as of</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635</wp:posOffset>
            </wp:positionV>
            <wp:extent cx="25317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6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1</w:t>
            </w:r>
          </w:p>
        </w:tc>
        <w:tc>
          <w:tcPr>
            <w:tcW w:w="10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7"/>
                <w:szCs w:val="17"/>
                <w:b w:val="1"/>
                <w:bCs w:val="1"/>
                <w:color w:val="auto"/>
              </w:rPr>
              <w:t>Level 2</w:t>
            </w:r>
          </w:p>
        </w:tc>
        <w:tc>
          <w:tcPr>
            <w:tcW w:w="10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Total</w:t>
            </w:r>
          </w:p>
        </w:tc>
      </w:tr>
      <w:tr>
        <w:trPr>
          <w:trHeight w:val="47"/>
        </w:trPr>
        <w:tc>
          <w:tcPr>
            <w:tcW w:w="6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0"/>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7"/>
        </w:trPr>
        <w:tc>
          <w:tcPr>
            <w:tcW w:w="684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105,399</w:t>
            </w: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105,399</w:t>
            </w:r>
          </w:p>
        </w:tc>
        <w:tc>
          <w:tcPr>
            <w:tcW w:w="60" w:type="dxa"/>
            <w:vAlign w:val="bottom"/>
          </w:tcPr>
          <w:p>
            <w:pPr>
              <w:spacing w:after="0"/>
              <w:rPr>
                <w:sz w:val="17"/>
                <w:szCs w:val="17"/>
                <w:color w:val="auto"/>
              </w:rPr>
            </w:pPr>
          </w:p>
        </w:tc>
      </w:tr>
      <w:tr>
        <w:trPr>
          <w:trHeight w:val="200"/>
        </w:trPr>
        <w:tc>
          <w:tcPr>
            <w:tcW w:w="68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8"/>
              </w:rPr>
              <w:t>$105,399</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$105,399</w:t>
            </w:r>
          </w:p>
        </w:tc>
        <w:tc>
          <w:tcPr>
            <w:tcW w:w="60" w:type="dxa"/>
            <w:vAlign w:val="bottom"/>
            <w:shd w:val="clear" w:color="auto" w:fill="CCEEFF"/>
          </w:tcPr>
          <w:p>
            <w:pPr>
              <w:spacing w:after="0"/>
              <w:rPr>
                <w:sz w:val="17"/>
                <w:szCs w:val="17"/>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The Company’s assets with fair value categorized as Level 1 within the fair value hierarchy include money market funds. Money market funds are publicly traded mutual funds and are presented as cash equivalents on the consolidated balance sheets as of March 31, 2019 and December 31, 2018.</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There were no transfers among Level 1, Level 2, or Level 3 categories in the periods presented.</w:t>
      </w:r>
    </w:p>
    <w:p>
      <w:pPr>
        <w:spacing w:after="0" w:line="111" w:lineRule="exact"/>
        <w:rPr>
          <w:sz w:val="20"/>
          <w:szCs w:val="20"/>
          <w:color w:val="auto"/>
        </w:rPr>
      </w:pPr>
    </w:p>
    <w:p>
      <w:pPr>
        <w:ind w:left="280" w:right="140"/>
        <w:spacing w:after="0" w:line="262" w:lineRule="auto"/>
        <w:rPr>
          <w:sz w:val="20"/>
          <w:szCs w:val="20"/>
          <w:color w:val="auto"/>
        </w:rPr>
      </w:pPr>
      <w:r>
        <w:rPr>
          <w:rFonts w:ascii="Arial" w:cs="Arial" w:eastAsia="Arial" w:hAnsi="Arial"/>
          <w:sz w:val="17"/>
          <w:szCs w:val="17"/>
          <w:color w:val="auto"/>
        </w:rPr>
        <w:t>The carrying value of cash, cash equivalents, accounts payable and accrued expenses that are reported on the consolidated balance sheets approximate their fair value due to the short-term nature of these assets and liabilities.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4. Accrued and other current liabilities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Accrued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57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March 31,</w:t>
            </w:r>
          </w:p>
        </w:tc>
        <w:tc>
          <w:tcPr>
            <w:tcW w:w="32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7"/>
                <w:szCs w:val="17"/>
                <w:b w:val="1"/>
                <w:bCs w:val="1"/>
                <w:color w:val="auto"/>
              </w:rPr>
              <w:t>December 31,</w:t>
            </w:r>
          </w:p>
        </w:tc>
      </w:tr>
      <w:tr>
        <w:trPr>
          <w:trHeight w:val="20"/>
        </w:trPr>
        <w:tc>
          <w:tcPr>
            <w:tcW w:w="5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7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2018</w:t>
            </w:r>
          </w:p>
        </w:tc>
      </w:tr>
      <w:tr>
        <w:trPr>
          <w:trHeight w:val="193"/>
        </w:trPr>
        <w:tc>
          <w:tcPr>
            <w:tcW w:w="57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Accrued employee compensation costs</w:t>
            </w:r>
          </w:p>
        </w:tc>
        <w:tc>
          <w:tcPr>
            <w:tcW w:w="2760" w:type="dxa"/>
            <w:vAlign w:val="bottom"/>
            <w:gridSpan w:val="2"/>
            <w:shd w:val="clear" w:color="auto" w:fill="CCEEFF"/>
          </w:tcPr>
          <w:p>
            <w:pPr>
              <w:ind w:left="2520"/>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394</w:t>
            </w:r>
          </w:p>
        </w:tc>
        <w:tc>
          <w:tcPr>
            <w:tcW w:w="72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901</w:t>
            </w:r>
          </w:p>
        </w:tc>
        <w:tc>
          <w:tcPr>
            <w:tcW w:w="60" w:type="dxa"/>
            <w:vAlign w:val="bottom"/>
            <w:shd w:val="clear" w:color="auto" w:fill="CCEEFF"/>
          </w:tcPr>
          <w:p>
            <w:pPr>
              <w:spacing w:after="0"/>
              <w:rPr>
                <w:sz w:val="16"/>
                <w:szCs w:val="16"/>
                <w:color w:val="auto"/>
              </w:rPr>
            </w:pPr>
          </w:p>
        </w:tc>
      </w:tr>
      <w:tr>
        <w:trPr>
          <w:trHeight w:val="200"/>
        </w:trPr>
        <w:tc>
          <w:tcPr>
            <w:tcW w:w="5720" w:type="dxa"/>
            <w:vAlign w:val="bottom"/>
          </w:tcPr>
          <w:p>
            <w:pPr>
              <w:spacing w:after="0"/>
              <w:rPr>
                <w:sz w:val="20"/>
                <w:szCs w:val="20"/>
                <w:color w:val="auto"/>
              </w:rPr>
            </w:pPr>
            <w:r>
              <w:rPr>
                <w:rFonts w:ascii="Arial" w:cs="Arial" w:eastAsia="Arial" w:hAnsi="Arial"/>
                <w:sz w:val="17"/>
                <w:szCs w:val="17"/>
                <w:color w:val="auto"/>
              </w:rPr>
              <w:t>Accrued professional</w:t>
            </w: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1,145</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200</w:t>
            </w:r>
          </w:p>
        </w:tc>
        <w:tc>
          <w:tcPr>
            <w:tcW w:w="60" w:type="dxa"/>
            <w:vAlign w:val="bottom"/>
          </w:tcPr>
          <w:p>
            <w:pPr>
              <w:spacing w:after="0"/>
              <w:rPr>
                <w:sz w:val="17"/>
                <w:szCs w:val="17"/>
                <w:color w:val="auto"/>
              </w:rPr>
            </w:pPr>
          </w:p>
        </w:tc>
      </w:tr>
      <w:tr>
        <w:trPr>
          <w:trHeight w:val="200"/>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Accrued research and development costs</w:t>
            </w:r>
          </w:p>
        </w:tc>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660</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60" w:type="dxa"/>
            <w:vAlign w:val="bottom"/>
            <w:shd w:val="clear" w:color="auto" w:fill="CCEEFF"/>
          </w:tcPr>
          <w:p>
            <w:pPr>
              <w:spacing w:after="0"/>
              <w:rPr>
                <w:sz w:val="17"/>
                <w:szCs w:val="17"/>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7"/>
                <w:szCs w:val="17"/>
                <w:color w:val="auto"/>
              </w:rPr>
              <w:t>Accrued other</w:t>
            </w: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18</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r>
      <w:tr>
        <w:trPr>
          <w:trHeight w:val="200"/>
        </w:trPr>
        <w:tc>
          <w:tcPr>
            <w:tcW w:w="57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2,217</w:t>
            </w: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60" w:type="dxa"/>
            <w:vAlign w:val="bottom"/>
            <w:shd w:val="clear" w:color="auto" w:fill="CCEEFF"/>
          </w:tcPr>
          <w:p>
            <w:pPr>
              <w:spacing w:after="0"/>
              <w:rPr>
                <w:sz w:val="17"/>
                <w:szCs w:val="17"/>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5. Simple agreement for future equity</w:t>
      </w:r>
    </w:p>
    <w:p>
      <w:pPr>
        <w:spacing w:after="0" w:line="141" w:lineRule="exact"/>
        <w:rPr>
          <w:sz w:val="20"/>
          <w:szCs w:val="20"/>
          <w:color w:val="auto"/>
        </w:rPr>
      </w:pPr>
    </w:p>
    <w:p>
      <w:pPr>
        <w:ind w:left="280" w:right="220"/>
        <w:spacing w:after="0" w:line="249" w:lineRule="auto"/>
        <w:rPr>
          <w:sz w:val="20"/>
          <w:szCs w:val="20"/>
          <w:color w:val="auto"/>
        </w:rPr>
      </w:pPr>
      <w:r>
        <w:rPr>
          <w:rFonts w:ascii="Arial" w:cs="Arial" w:eastAsia="Arial" w:hAnsi="Arial"/>
          <w:sz w:val="17"/>
          <w:szCs w:val="17"/>
          <w:color w:val="auto"/>
        </w:rPr>
        <w:t>In October 2017, the Company entered into a simple agreement for future equity (the SAFE) with an investor, receiving $3,000 in exchange for the investor’s right to participate in a future equity financing. The SAFE contained a number of conversion and redemption provisions, including settlement upon liquidity or dissolution events. The Company elected the fair value option of accounting for the SAFE. In January 2018, the investor exercised its rights to convert the SAFE in connection with the Company’s equity financing (See Note 7) and exchanged the SAFE for 788,042 shares of Series A-2 convertible Preferred Stock (Series A-2 Preferred).</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160"/>
          </w:cols>
          <w:pgMar w:left="240" w:top="455"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6. Commitments and contingencies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Operating lease</w:t>
      </w:r>
    </w:p>
    <w:p>
      <w:pPr>
        <w:spacing w:after="0" w:line="131" w:lineRule="exact"/>
        <w:rPr>
          <w:sz w:val="20"/>
          <w:szCs w:val="20"/>
          <w:color w:val="auto"/>
        </w:rPr>
      </w:pPr>
    </w:p>
    <w:p>
      <w:pPr>
        <w:ind w:left="280" w:right="160"/>
        <w:spacing w:after="0" w:line="253" w:lineRule="auto"/>
        <w:rPr>
          <w:sz w:val="20"/>
          <w:szCs w:val="20"/>
          <w:color w:val="auto"/>
        </w:rPr>
      </w:pPr>
      <w:r>
        <w:rPr>
          <w:rFonts w:ascii="Arial" w:cs="Arial" w:eastAsia="Arial" w:hAnsi="Arial"/>
          <w:sz w:val="17"/>
          <w:szCs w:val="17"/>
          <w:color w:val="auto"/>
        </w:rPr>
        <w:t>In August 2018, the Company entered into an agreement to sublease approximately 23,000 square feet of space for a term of three years. Lease terms are triple net lease commencing at $886 per year, then with three percent annual base rent increases plus operating expenses, real estate taxes, utilities and janitorial fees. The lease commencement date was December 10, 2018.</w:t>
      </w:r>
    </w:p>
    <w:p>
      <w:pPr>
        <w:spacing w:after="0" w:line="89"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In December 2018, the Company entered into an agreement to lease 2,485 square feet of space for a term of three years. The lease includes one renewal option for an additional two years. Lease terms commence at $231 per annum, with 2.5% annual base rent increases plus operating expenses, real estate taxes, utilities and janitorial fees. The Company expects to occupy this space in May 2019.</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March 31, 2019, the future minimum payments for operating leases are as follows:</w:t>
      </w:r>
    </w:p>
    <w:p>
      <w:pPr>
        <w:spacing w:after="0" w:line="101"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10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April 1, 2019 to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60" w:type="dxa"/>
            <w:vAlign w:val="bottom"/>
            <w:tcBorders>
              <w:top w:val="single" w:sz="8" w:color="auto"/>
            </w:tcBorders>
            <w:shd w:val="clear" w:color="auto" w:fill="CCEEFF"/>
          </w:tcPr>
          <w:p>
            <w:pPr>
              <w:spacing w:after="0"/>
              <w:rPr>
                <w:sz w:val="19"/>
                <w:szCs w:val="19"/>
                <w:color w:val="auto"/>
              </w:rPr>
            </w:pPr>
          </w:p>
        </w:tc>
      </w:tr>
      <w:tr>
        <w:trPr>
          <w:trHeight w:val="200"/>
        </w:trPr>
        <w:tc>
          <w:tcPr>
            <w:tcW w:w="10280" w:type="dxa"/>
            <w:vAlign w:val="bottom"/>
          </w:tcPr>
          <w:p>
            <w:pPr>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1,149</w:t>
            </w:r>
          </w:p>
        </w:tc>
        <w:tc>
          <w:tcPr>
            <w:tcW w:w="60" w:type="dxa"/>
            <w:vAlign w:val="bottom"/>
          </w:tcPr>
          <w:p>
            <w:pPr>
              <w:spacing w:after="0"/>
              <w:rPr>
                <w:sz w:val="17"/>
                <w:szCs w:val="17"/>
                <w:color w:val="auto"/>
              </w:rPr>
            </w:pPr>
          </w:p>
        </w:tc>
      </w:tr>
      <w:tr>
        <w:trPr>
          <w:trHeight w:val="200"/>
        </w:trPr>
        <w:tc>
          <w:tcPr>
            <w:tcW w:w="102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1,102</w:t>
            </w:r>
          </w:p>
        </w:tc>
        <w:tc>
          <w:tcPr>
            <w:tcW w:w="60" w:type="dxa"/>
            <w:vAlign w:val="bottom"/>
            <w:shd w:val="clear" w:color="auto" w:fill="CCEEFF"/>
          </w:tcPr>
          <w:p>
            <w:pPr>
              <w:spacing w:after="0"/>
              <w:rPr>
                <w:sz w:val="17"/>
                <w:szCs w:val="17"/>
                <w:color w:val="auto"/>
              </w:rPr>
            </w:pPr>
          </w:p>
        </w:tc>
      </w:tr>
      <w:tr>
        <w:trPr>
          <w:trHeight w:val="200"/>
        </w:trPr>
        <w:tc>
          <w:tcPr>
            <w:tcW w:w="1028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71</w:t>
            </w:r>
          </w:p>
        </w:tc>
      </w:tr>
      <w:tr>
        <w:trPr>
          <w:trHeight w:val="200"/>
        </w:trPr>
        <w:tc>
          <w:tcPr>
            <w:tcW w:w="102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9"/>
        </w:trPr>
        <w:tc>
          <w:tcPr>
            <w:tcW w:w="102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3,151</w:t>
            </w:r>
          </w:p>
        </w:tc>
        <w:tc>
          <w:tcPr>
            <w:tcW w:w="60" w:type="dxa"/>
            <w:vAlign w:val="bottom"/>
          </w:tcPr>
          <w:p>
            <w:pPr>
              <w:spacing w:after="0"/>
              <w:rPr>
                <w:sz w:val="19"/>
                <w:szCs w:val="19"/>
                <w:color w:val="auto"/>
              </w:rPr>
            </w:pPr>
          </w:p>
        </w:tc>
      </w:tr>
    </w:tbl>
    <w:p>
      <w:pPr>
        <w:spacing w:after="0" w:line="110" w:lineRule="exact"/>
        <w:rPr>
          <w:sz w:val="20"/>
          <w:szCs w:val="20"/>
          <w:color w:val="auto"/>
        </w:rPr>
      </w:pPr>
    </w:p>
    <w:p>
      <w:pPr>
        <w:ind w:left="280" w:right="540"/>
        <w:spacing w:after="0" w:line="262" w:lineRule="auto"/>
        <w:rPr>
          <w:sz w:val="20"/>
          <w:szCs w:val="20"/>
          <w:color w:val="auto"/>
        </w:rPr>
      </w:pPr>
      <w:r>
        <w:rPr>
          <w:rFonts w:ascii="Arial" w:cs="Arial" w:eastAsia="Arial" w:hAnsi="Arial"/>
          <w:sz w:val="17"/>
          <w:szCs w:val="17"/>
          <w:color w:val="auto"/>
        </w:rPr>
        <w:t>Rent expense incurred under operating leases was approximately $240 and $71 for the three months ended March 31, 2019 and 2018, respectively.</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Consulting agreement</w:t>
      </w:r>
    </w:p>
    <w:p>
      <w:pPr>
        <w:spacing w:after="0" w:line="131" w:lineRule="exact"/>
        <w:rPr>
          <w:sz w:val="20"/>
          <w:szCs w:val="20"/>
          <w:color w:val="auto"/>
        </w:rPr>
      </w:pPr>
    </w:p>
    <w:p>
      <w:pPr>
        <w:ind w:left="280" w:right="60"/>
        <w:spacing w:after="0" w:line="249" w:lineRule="auto"/>
        <w:rPr>
          <w:sz w:val="20"/>
          <w:szCs w:val="20"/>
          <w:color w:val="auto"/>
        </w:rPr>
      </w:pPr>
      <w:r>
        <w:rPr>
          <w:rFonts w:ascii="Arial" w:cs="Arial" w:eastAsia="Arial" w:hAnsi="Arial"/>
          <w:sz w:val="17"/>
          <w:szCs w:val="17"/>
          <w:color w:val="auto"/>
        </w:rPr>
        <w:t>In October 2014, we entered into a consulting agreement with a member of our board of directors, who is also an employee of Cold Spring Harbor Laboratory (CSHL), to provide consulting services related to scientific research related to the development of antisense-based drugs, therapies, diagnostic and research tools, products, services and intellectual property. We made payments of $25 in each of the three month periods ended March 31, 2019 and 2018, respectively, for such consulting services. The initial term of this agreement was five years and may be extended by the mutual consent of the Company and the board member.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License and research agreements</w:t>
      </w:r>
    </w:p>
    <w:p>
      <w:pPr>
        <w:spacing w:after="0" w:line="131" w:lineRule="exact"/>
        <w:rPr>
          <w:sz w:val="20"/>
          <w:szCs w:val="20"/>
          <w:color w:val="auto"/>
        </w:rPr>
      </w:pPr>
    </w:p>
    <w:p>
      <w:pPr>
        <w:ind w:left="280" w:right="40"/>
        <w:spacing w:after="0" w:line="247" w:lineRule="auto"/>
        <w:rPr>
          <w:sz w:val="20"/>
          <w:szCs w:val="20"/>
          <w:color w:val="auto"/>
        </w:rPr>
      </w:pPr>
      <w:r>
        <w:rPr>
          <w:rFonts w:ascii="Arial" w:cs="Arial" w:eastAsia="Arial" w:hAnsi="Arial"/>
          <w:sz w:val="17"/>
          <w:szCs w:val="17"/>
          <w:color w:val="auto"/>
        </w:rPr>
        <w:t>In July 2015, the Company entered into a worldwide license agreement, or the CSHL Agreement, with CSHL, with respect to Targeted Augmentation of Nuclear Gene Output (TANGO) patents. Under the CSHL Agreement, the Company receives an exclusive (except with respect to certain government rights and non-exclusive licenses), worldwide license under certain patents and applications relating to TANGO. As part of the CSHL Agreement, the Company granted CSHL 164,927 shares of common stock valued based on an independent appraisal at approximately $65. The CSHL Agreement obligates the Company to make additional payments that are contingent upon certain milestones being achieved. The Company is also required to pay royalties, tiered based on the scope of patent coverage for each licensed product, ranging from a low-single digit percentage to a mid-single digit percentage on annual net sales. These royalty obligations apply on a licensed product-by-licensed product and country-by-country basis until the latest of (i) the expiration of the last valid claim of a CSHL patent covering the applicable licensed product or (ii) the expiration of any regulatory exclusivity for the applicable licensed product. In addition, if the Company sublicenses the rights under the CSHL Agreement, the Company is required to pay a low double-digit percentage of the sublicense revenue to CSHL, which may be reduced to a low double-digit or a mid-single digit percentage upon achievement of certain</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160"/>
          </w:cols>
          <w:pgMar w:left="240" w:top="455"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120"/>
        <w:spacing w:after="0" w:line="249" w:lineRule="auto"/>
        <w:rPr>
          <w:sz w:val="20"/>
          <w:szCs w:val="20"/>
          <w:color w:val="auto"/>
        </w:rPr>
      </w:pPr>
      <w:r>
        <w:rPr>
          <w:rFonts w:ascii="Arial" w:cs="Arial" w:eastAsia="Arial" w:hAnsi="Arial"/>
          <w:sz w:val="17"/>
          <w:szCs w:val="17"/>
          <w:color w:val="auto"/>
        </w:rPr>
        <w:t>clinical milestones for the applicable licensed product. Finally, the Company is required to pay an annual license maintenance fee of $10, which amount is creditable against any owed royalty or milestone payments. The maximum aggregate potential milestone payments payable total approximately $900. Additionally, certain licenses under the CSHL Agreement require the Company to reimburse CSHL for certain past and ongoing patent related expenses, however there were no expenses related to these reimbursable patent costs during the three months ended March 31, 2019 and 2018.</w:t>
      </w:r>
    </w:p>
    <w:p>
      <w:pPr>
        <w:spacing w:after="0" w:line="93" w:lineRule="exact"/>
        <w:rPr>
          <w:sz w:val="20"/>
          <w:szCs w:val="20"/>
          <w:color w:val="auto"/>
        </w:rPr>
      </w:pPr>
    </w:p>
    <w:p>
      <w:pPr>
        <w:ind w:left="280"/>
        <w:spacing w:after="0" w:line="247" w:lineRule="auto"/>
        <w:rPr>
          <w:sz w:val="20"/>
          <w:szCs w:val="20"/>
          <w:color w:val="auto"/>
        </w:rPr>
      </w:pPr>
      <w:r>
        <w:rPr>
          <w:rFonts w:ascii="Arial" w:cs="Arial" w:eastAsia="Arial" w:hAnsi="Arial"/>
          <w:sz w:val="17"/>
          <w:szCs w:val="17"/>
          <w:color w:val="auto"/>
        </w:rPr>
        <w:t>In April 2016, the Company entered into an exclusive, worldwide license agreement with the University of Southampton, or the Southampton Agreement, whereby the Company acquired rights to foundational technologies related to the Company’s TANGO technology. Under the Southampton Agreement, the Company receives an exclusive, worldwide license under certain licensed patents and applications relating to TANGO. As part of the Southampton Agreement, the Company paid 55 pounds sterling (approximately $72 as of the date thereof) as an up-front license fee. Under the Southampton Agreement, the Company may be obligated to make additional payments that are contingent upon certain milestones being achieved, as well as royalties on future product sales. These royalty obligations survive until the latest of (i) the expiration of the last valid claim of a licensed patent covering a subject product or (ii) the expiration of any regulatory exclusivity for the subject product in a country. In addition, if the Company sublicenses its rights under the Southampton Agreement, the Company is required to pay a mid-single digit percentage of the sublicense revenue to the University of Southampton. The maximum aggregate potential milestone payments payable by the Company total approximately 400 pounds sterling (approximately $518 as of March 31, 2019). As of March 31, 2019, and December 31, 2018, the Company has recorded no liabilities under the Southampton Agreement.</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Sponsored research agreement</w:t>
      </w:r>
    </w:p>
    <w:p>
      <w:pPr>
        <w:spacing w:after="0" w:line="131" w:lineRule="exact"/>
        <w:rPr>
          <w:sz w:val="20"/>
          <w:szCs w:val="20"/>
          <w:color w:val="auto"/>
        </w:rPr>
      </w:pPr>
    </w:p>
    <w:p>
      <w:pPr>
        <w:ind w:left="280" w:right="40"/>
        <w:spacing w:after="0" w:line="248" w:lineRule="auto"/>
        <w:rPr>
          <w:sz w:val="20"/>
          <w:szCs w:val="20"/>
          <w:color w:val="auto"/>
        </w:rPr>
      </w:pPr>
      <w:r>
        <w:rPr>
          <w:rFonts w:ascii="Arial" w:cs="Arial" w:eastAsia="Arial" w:hAnsi="Arial"/>
          <w:sz w:val="17"/>
          <w:szCs w:val="17"/>
          <w:color w:val="auto"/>
        </w:rPr>
        <w:t>In December 2017, the Company entered into a sponsored research agreement with the University of Michigan (the University of Michigan Agreement) to fund research conducted at the University of Michigan through November 2018. The budget for the scope of work described in the research agreement was $428. In December 2018, the University of Michigan Agreement was renewed and extended through November 2020 with a budget for the scope of work of $624. The costs incurred by the Company under the University of Michigan Agreement are recorded as research and development expense and expensed in the period in which they are incurred. Research and development spending under the University of Michigan Agreement was $74 and $72 for the three months ended March 31, 2019 and 2018, respectively.</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Litigation</w:t>
      </w:r>
    </w:p>
    <w:p>
      <w:pPr>
        <w:spacing w:after="0" w:line="131" w:lineRule="exact"/>
        <w:rPr>
          <w:sz w:val="20"/>
          <w:szCs w:val="20"/>
          <w:color w:val="auto"/>
        </w:rPr>
      </w:pPr>
    </w:p>
    <w:p>
      <w:pPr>
        <w:ind w:left="280" w:right="200"/>
        <w:spacing w:after="0" w:line="253" w:lineRule="auto"/>
        <w:rPr>
          <w:sz w:val="20"/>
          <w:szCs w:val="20"/>
          <w:color w:val="auto"/>
        </w:rPr>
      </w:pPr>
      <w:r>
        <w:rPr>
          <w:rFonts w:ascii="Arial" w:cs="Arial" w:eastAsia="Arial" w:hAnsi="Arial"/>
          <w:sz w:val="17"/>
          <w:szCs w:val="17"/>
          <w:color w:val="auto"/>
        </w:rPr>
        <w:t>The Company may periodically become subject to legal proceedings and claims arising in connection with ongoing business activities, including claims or disputes related to patents that have been issued or that are pending in the field of research on which it is focused. As of March 31, 2019, the Company had no legal proceedings to which it was a party or to which its property was subject.</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160"/>
          </w:cols>
          <w:pgMar w:left="240" w:top="455"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7. Convertible preferred stock</w:t>
      </w:r>
    </w:p>
    <w:p>
      <w:pPr>
        <w:spacing w:after="0" w:line="141" w:lineRule="exact"/>
        <w:rPr>
          <w:sz w:val="20"/>
          <w:szCs w:val="20"/>
          <w:color w:val="auto"/>
        </w:rPr>
      </w:pPr>
    </w:p>
    <w:p>
      <w:pPr>
        <w:ind w:left="280" w:right="80"/>
        <w:spacing w:after="0" w:line="250" w:lineRule="auto"/>
        <w:rPr>
          <w:sz w:val="20"/>
          <w:szCs w:val="20"/>
          <w:color w:val="auto"/>
        </w:rPr>
      </w:pPr>
      <w:r>
        <w:rPr>
          <w:rFonts w:ascii="Arial" w:cs="Arial" w:eastAsia="Arial" w:hAnsi="Arial"/>
          <w:sz w:val="17"/>
          <w:szCs w:val="17"/>
          <w:color w:val="auto"/>
        </w:rPr>
        <w:t>As of March 31, 2019, and December 31, 2018, the Company’s amended and restated certificate of incorporation authorized the Company to issue 225,584,874 shares of $0.0001 par value convertible preferred stock, 49,540,132 are designated Series A convertible preferred stock (Series A Preferred), 75,777,370 are designated Series A-2 Preferred and 100,267,372 are designated Series B convertible preferred stock (Series B Preferred) (collectively, the Preferred Stock). The following table summarizes the Company’s issued and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192405</wp:posOffset>
            </wp:positionV>
            <wp:extent cx="690943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330"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4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Series A</w:t>
            </w:r>
          </w:p>
        </w:tc>
        <w:tc>
          <w:tcPr>
            <w:tcW w:w="160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Series A-2</w:t>
            </w:r>
          </w:p>
        </w:tc>
        <w:tc>
          <w:tcPr>
            <w:tcW w:w="74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Series B</w:t>
            </w:r>
          </w:p>
        </w:tc>
        <w:tc>
          <w:tcPr>
            <w:tcW w:w="158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Total convertible</w:t>
            </w:r>
          </w:p>
        </w:tc>
      </w:tr>
      <w:tr>
        <w:trPr>
          <w:trHeight w:val="219"/>
        </w:trPr>
        <w:tc>
          <w:tcPr>
            <w:tcW w:w="44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Preferred</w:t>
            </w:r>
          </w:p>
        </w:tc>
        <w:tc>
          <w:tcPr>
            <w:tcW w:w="1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Preferred</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Preferred</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Preferred</w:t>
            </w:r>
          </w:p>
        </w:tc>
        <w:tc>
          <w:tcPr>
            <w:tcW w:w="40" w:type="dxa"/>
            <w:vAlign w:val="bottom"/>
          </w:tcPr>
          <w:p>
            <w:pPr>
              <w:spacing w:after="0"/>
              <w:rPr>
                <w:sz w:val="19"/>
                <w:szCs w:val="19"/>
                <w:color w:val="auto"/>
              </w:rPr>
            </w:pPr>
          </w:p>
        </w:tc>
      </w:tr>
      <w:tr>
        <w:trPr>
          <w:trHeight w:val="220"/>
        </w:trPr>
        <w:tc>
          <w:tcPr>
            <w:tcW w:w="4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Amount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Amount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Amount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Shares</w:t>
            </w: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b w:val="1"/>
                <w:bCs w:val="1"/>
                <w:color w:val="auto"/>
              </w:rPr>
              <w:t>Amount</w:t>
            </w:r>
          </w:p>
        </w:tc>
      </w:tr>
      <w:tr>
        <w:trPr>
          <w:trHeight w:val="140"/>
        </w:trPr>
        <w:tc>
          <w:tcPr>
            <w:tcW w:w="44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Balance, March 31, 2019</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4,980,168</w:t>
            </w:r>
          </w:p>
        </w:tc>
        <w:tc>
          <w:tcPr>
            <w:tcW w:w="300" w:type="dxa"/>
            <w:vAlign w:val="bottom"/>
            <w:shd w:val="clear" w:color="auto" w:fill="CCEEFF"/>
          </w:tcPr>
          <w:p>
            <w:pPr>
              <w:jc w:val="right"/>
              <w:ind w:right="21"/>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11,725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7,617,746</w:t>
            </w:r>
          </w:p>
        </w:tc>
        <w:tc>
          <w:tcPr>
            <w:tcW w:w="300" w:type="dxa"/>
            <w:vAlign w:val="bottom"/>
            <w:shd w:val="clear" w:color="auto" w:fill="CCEEFF"/>
          </w:tcPr>
          <w:p>
            <w:pPr>
              <w:jc w:val="right"/>
              <w:ind w:right="23"/>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28,880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10,079,671</w:t>
            </w:r>
          </w:p>
        </w:tc>
        <w:tc>
          <w:tcPr>
            <w:tcW w:w="300" w:type="dxa"/>
            <w:vAlign w:val="bottom"/>
            <w:shd w:val="clear" w:color="auto" w:fill="CCEEFF"/>
          </w:tcPr>
          <w:p>
            <w:pPr>
              <w:jc w:val="right"/>
              <w:ind w:right="21"/>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89,742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22,677,585</w:t>
            </w:r>
          </w:p>
        </w:tc>
        <w:tc>
          <w:tcPr>
            <w:tcW w:w="2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130,347</w:t>
            </w:r>
          </w:p>
        </w:tc>
        <w:tc>
          <w:tcPr>
            <w:tcW w:w="40" w:type="dxa"/>
            <w:vAlign w:val="bottom"/>
            <w:shd w:val="clear" w:color="auto" w:fill="CCEEFF"/>
          </w:tcPr>
          <w:p>
            <w:pPr>
              <w:spacing w:after="0"/>
              <w:rPr>
                <w:sz w:val="12"/>
                <w:szCs w:val="12"/>
                <w:color w:val="auto"/>
              </w:rPr>
            </w:pPr>
          </w:p>
        </w:tc>
      </w:tr>
      <w:tr>
        <w:trPr>
          <w:trHeight w:val="160"/>
        </w:trPr>
        <w:tc>
          <w:tcPr>
            <w:tcW w:w="4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Balance, December 31, 2018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4,980,168</w:t>
            </w:r>
          </w:p>
        </w:tc>
        <w:tc>
          <w:tcPr>
            <w:tcW w:w="3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11,725</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7,617,746</w:t>
            </w:r>
          </w:p>
        </w:tc>
        <w:tc>
          <w:tcPr>
            <w:tcW w:w="30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28,880</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10,079,671</w:t>
            </w:r>
          </w:p>
        </w:tc>
        <w:tc>
          <w:tcPr>
            <w:tcW w:w="3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89,742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22,677,585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130,347</w:t>
            </w:r>
          </w:p>
        </w:tc>
        <w:tc>
          <w:tcPr>
            <w:tcW w:w="40" w:type="dxa"/>
            <w:vAlign w:val="bottom"/>
          </w:tcPr>
          <w:p>
            <w:pPr>
              <w:spacing w:after="0"/>
              <w:rPr>
                <w:sz w:val="13"/>
                <w:szCs w:val="13"/>
                <w:color w:val="auto"/>
              </w:rPr>
            </w:pPr>
          </w:p>
        </w:tc>
      </w:tr>
    </w:tbl>
    <w:p>
      <w:pPr>
        <w:spacing w:after="0" w:line="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8. 2014 equity incentive plan</w:t>
      </w:r>
    </w:p>
    <w:p>
      <w:pPr>
        <w:spacing w:after="0" w:line="141" w:lineRule="exact"/>
        <w:rPr>
          <w:sz w:val="20"/>
          <w:szCs w:val="20"/>
          <w:color w:val="auto"/>
        </w:rPr>
      </w:pPr>
    </w:p>
    <w:p>
      <w:pPr>
        <w:ind w:left="280" w:right="180"/>
        <w:spacing w:after="0" w:line="251" w:lineRule="auto"/>
        <w:rPr>
          <w:sz w:val="20"/>
          <w:szCs w:val="20"/>
          <w:color w:val="auto"/>
        </w:rPr>
      </w:pPr>
      <w:r>
        <w:rPr>
          <w:rFonts w:ascii="Arial" w:cs="Arial" w:eastAsia="Arial" w:hAnsi="Arial"/>
          <w:sz w:val="17"/>
          <w:szCs w:val="17"/>
          <w:color w:val="auto"/>
        </w:rPr>
        <w:t>In June 2014, the Company’s board of directors and stockholders approved the 2014 Equity Incentive Plan (the 2014 Plan) under which it may grant incentive stock options, non-qualified stock options, restricted stock awards, unrestricted stock awards, or restricted stock units to purchase up to 679,222 shares of common stock to employees, officers, directors and consultants of the Company. In January 2018, the Company increased the number of shares of common stock reserved for issuance under the 2014 Plan to 4,652,098 shares.</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March 31, 2019, there were 395,278 shares available for future issuance under the 2014 Plan.</w:t>
      </w:r>
    </w:p>
    <w:p>
      <w:pPr>
        <w:spacing w:after="0" w:line="111" w:lineRule="exact"/>
        <w:rPr>
          <w:sz w:val="20"/>
          <w:szCs w:val="20"/>
          <w:color w:val="auto"/>
        </w:rPr>
      </w:pPr>
    </w:p>
    <w:p>
      <w:pPr>
        <w:ind w:left="280" w:right="140"/>
        <w:spacing w:after="0" w:line="253" w:lineRule="auto"/>
        <w:rPr>
          <w:sz w:val="20"/>
          <w:szCs w:val="20"/>
          <w:color w:val="auto"/>
        </w:rPr>
      </w:pPr>
      <w:r>
        <w:rPr>
          <w:rFonts w:ascii="Arial" w:cs="Arial" w:eastAsia="Arial" w:hAnsi="Arial"/>
          <w:sz w:val="17"/>
          <w:szCs w:val="17"/>
          <w:color w:val="auto"/>
        </w:rPr>
        <w:t>During the three months ended March 31, 2019, the Company granted options to purchase 714,829 shares of common stock to certain of its employees, and directors. The options vest over four years and are exercisable at a per share price equal to the fair value of the common stock on the grant date.</w:t>
      </w:r>
    </w:p>
    <w:p>
      <w:pPr>
        <w:spacing w:after="0" w:line="89"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As there is not a public market for the Company’s common stock, the Company has determined the volatility for options granted in 2019 based on a study of reported data for a guideline group of companies that issued options with substantially similar terms. The risk-free interest rate is based on a zero-coupon United States Treasury instrument with terms consistent with the expected life of the stock options. The Company has not paid and does not anticipate paying cash dividends on shares of common stock; therefore, the expected dividend yield is assumed to be zero.</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 summary of stock option activity for awards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6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Weighted</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b w:val="1"/>
                <w:bCs w:val="1"/>
                <w:color w:val="auto"/>
              </w:rPr>
              <w:t>Weighted</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average</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08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average</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remaining</w:t>
            </w: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Aggregate</w:t>
            </w:r>
          </w:p>
        </w:tc>
      </w:tr>
      <w:tr>
        <w:trPr>
          <w:trHeight w:val="200"/>
        </w:trPr>
        <w:tc>
          <w:tcPr>
            <w:tcW w:w="608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of</w:t>
            </w:r>
          </w:p>
        </w:tc>
        <w:tc>
          <w:tcPr>
            <w:tcW w:w="122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exercise</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contractual</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intrinsic</w:t>
            </w:r>
          </w:p>
        </w:tc>
      </w:tr>
      <w:tr>
        <w:trPr>
          <w:trHeight w:val="232"/>
        </w:trPr>
        <w:tc>
          <w:tcPr>
            <w:tcW w:w="6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7"/>
                <w:szCs w:val="17"/>
                <w:b w:val="1"/>
                <w:bCs w:val="1"/>
                <w:color w:val="auto"/>
              </w:rPr>
              <w:t>shares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price</w:t>
            </w:r>
          </w:p>
        </w:tc>
        <w:tc>
          <w:tcPr>
            <w:tcW w:w="1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life (years)</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value</w:t>
            </w:r>
            <w:r>
              <w:rPr>
                <w:rFonts w:ascii="Arial" w:cs="Arial" w:eastAsia="Arial" w:hAnsi="Arial"/>
                <w:sz w:val="11"/>
                <w:szCs w:val="11"/>
                <w:b w:val="1"/>
                <w:bCs w:val="1"/>
                <w:color w:val="auto"/>
              </w:rPr>
              <w:t>(1)</w:t>
            </w:r>
          </w:p>
        </w:tc>
      </w:tr>
      <w:tr>
        <w:trPr>
          <w:trHeight w:val="194"/>
        </w:trPr>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as of December 31, 2018</w:t>
            </w:r>
          </w:p>
        </w:tc>
        <w:tc>
          <w:tcPr>
            <w:tcW w:w="8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3,484,628</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1.20</w:t>
            </w:r>
          </w:p>
        </w:tc>
        <w:tc>
          <w:tcPr>
            <w:tcW w:w="138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8.9</w:t>
            </w:r>
          </w:p>
        </w:tc>
        <w:tc>
          <w:tcPr>
            <w:tcW w:w="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3,436</w:t>
            </w:r>
          </w:p>
        </w:tc>
        <w:tc>
          <w:tcPr>
            <w:tcW w:w="60" w:type="dxa"/>
            <w:vAlign w:val="bottom"/>
            <w:shd w:val="clear" w:color="auto" w:fill="CCEEFF"/>
          </w:tcPr>
          <w:p>
            <w:pPr>
              <w:spacing w:after="0"/>
              <w:rPr>
                <w:sz w:val="16"/>
                <w:szCs w:val="16"/>
                <w:color w:val="auto"/>
              </w:rPr>
            </w:pPr>
          </w:p>
        </w:tc>
      </w:tr>
      <w:tr>
        <w:trPr>
          <w:trHeight w:val="200"/>
        </w:trPr>
        <w:tc>
          <w:tcPr>
            <w:tcW w:w="6080" w:type="dxa"/>
            <w:vAlign w:val="bottom"/>
          </w:tcPr>
          <w:p>
            <w:pPr>
              <w:ind w:left="200"/>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714,829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3.49</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0"/>
        </w:trPr>
        <w:tc>
          <w:tcPr>
            <w:tcW w:w="6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Exercised</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(164,810)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0.46</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0"/>
        </w:trPr>
        <w:tc>
          <w:tcPr>
            <w:tcW w:w="6080" w:type="dxa"/>
            <w:vAlign w:val="bottom"/>
          </w:tcPr>
          <w:p>
            <w:pPr>
              <w:ind w:left="200"/>
              <w:spacing w:after="0"/>
              <w:rPr>
                <w:sz w:val="20"/>
                <w:szCs w:val="20"/>
                <w:color w:val="auto"/>
              </w:rPr>
            </w:pPr>
            <w:r>
              <w:rPr>
                <w:rFonts w:ascii="Arial" w:cs="Arial" w:eastAsia="Arial" w:hAnsi="Arial"/>
                <w:sz w:val="17"/>
                <w:szCs w:val="17"/>
                <w:color w:val="auto"/>
              </w:rPr>
              <w:t>Forfeited or expired</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7"/>
        </w:trPr>
        <w:tc>
          <w:tcPr>
            <w:tcW w:w="6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March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4,034,647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4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11,453</w:t>
            </w:r>
          </w:p>
        </w:tc>
      </w:tr>
      <w:tr>
        <w:trPr>
          <w:trHeight w:val="213"/>
        </w:trPr>
        <w:tc>
          <w:tcPr>
            <w:tcW w:w="6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Exercisable as of March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957,629</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color w:val="auto"/>
              </w:rPr>
              <w:t>0.74</w:t>
            </w:r>
          </w:p>
        </w:tc>
        <w:tc>
          <w:tcPr>
            <w:tcW w:w="1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8.4</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3,575</w:t>
            </w:r>
          </w:p>
        </w:tc>
        <w:tc>
          <w:tcPr>
            <w:tcW w:w="60" w:type="dxa"/>
            <w:vAlign w:val="bottom"/>
          </w:tcPr>
          <w:p>
            <w:pPr>
              <w:spacing w:after="0"/>
              <w:rPr>
                <w:sz w:val="18"/>
                <w:szCs w:val="18"/>
                <w:color w:val="auto"/>
              </w:rPr>
            </w:pPr>
          </w:p>
        </w:tc>
      </w:tr>
    </w:tbl>
    <w:p>
      <w:pPr>
        <w:spacing w:after="0" w:line="66" w:lineRule="exact"/>
        <w:rPr>
          <w:sz w:val="20"/>
          <w:szCs w:val="20"/>
          <w:color w:val="auto"/>
        </w:rPr>
      </w:pPr>
    </w:p>
    <w:p>
      <w:pPr>
        <w:ind w:left="600" w:right="120" w:hanging="327"/>
        <w:spacing w:after="0" w:line="253" w:lineRule="auto"/>
        <w:tabs>
          <w:tab w:leader="none" w:pos="6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aggregate intrinsic value is calculated as the difference between the exercise price of the underlying options and the estimated fair value of the common stock for the options that were in the money at March 31, 2019.</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160"/>
          </w:cols>
          <w:pgMar w:left="240" w:top="455"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20"/>
        <w:spacing w:after="0" w:line="262" w:lineRule="auto"/>
        <w:rPr>
          <w:sz w:val="20"/>
          <w:szCs w:val="20"/>
          <w:color w:val="auto"/>
        </w:rPr>
      </w:pPr>
      <w:r>
        <w:rPr>
          <w:rFonts w:ascii="Arial" w:cs="Arial" w:eastAsia="Arial" w:hAnsi="Arial"/>
          <w:sz w:val="17"/>
          <w:szCs w:val="17"/>
          <w:color w:val="auto"/>
        </w:rPr>
        <w:t>The weighted average grant date fair value per share of stock options granted during the three months ended March 31, 2019 was $2.05. The aggregate intrinsic value of stock options exercised during the three months ended March 31, 2019 was $682.</w:t>
      </w:r>
    </w:p>
    <w:p>
      <w:pPr>
        <w:spacing w:after="0" w:line="80" w:lineRule="exact"/>
        <w:rPr>
          <w:sz w:val="20"/>
          <w:szCs w:val="20"/>
          <w:color w:val="auto"/>
        </w:rPr>
      </w:pPr>
    </w:p>
    <w:p>
      <w:pPr>
        <w:ind w:left="280" w:right="520"/>
        <w:spacing w:after="0" w:line="376" w:lineRule="auto"/>
        <w:rPr>
          <w:sz w:val="20"/>
          <w:szCs w:val="20"/>
          <w:color w:val="auto"/>
        </w:rPr>
      </w:pPr>
      <w:r>
        <w:rPr>
          <w:rFonts w:ascii="Arial" w:cs="Arial" w:eastAsia="Arial" w:hAnsi="Arial"/>
          <w:sz w:val="17"/>
          <w:szCs w:val="17"/>
          <w:color w:val="auto"/>
        </w:rPr>
        <w:t xml:space="preserve">The aggregate grant date fair value of stock options granted during the three months ended March 31, 2019 was approximately $2,493. </w:t>
      </w:r>
      <w:r>
        <w:rPr>
          <w:rFonts w:ascii="Arial" w:cs="Arial" w:eastAsia="Arial" w:hAnsi="Arial"/>
          <w:sz w:val="17"/>
          <w:szCs w:val="17"/>
          <w:b w:val="1"/>
          <w:bCs w:val="1"/>
          <w:i w:val="1"/>
          <w:iCs w:val="1"/>
          <w:color w:val="auto"/>
        </w:rPr>
        <w:t>Stock-based compensation</w:t>
      </w:r>
    </w:p>
    <w:p>
      <w:pPr>
        <w:spacing w:after="0" w:line="1" w:lineRule="exact"/>
        <w:rPr>
          <w:sz w:val="20"/>
          <w:szCs w:val="20"/>
          <w:color w:val="auto"/>
        </w:rPr>
      </w:pPr>
    </w:p>
    <w:p>
      <w:pPr>
        <w:ind w:left="280" w:right="80"/>
        <w:spacing w:after="0" w:line="251" w:lineRule="auto"/>
        <w:rPr>
          <w:sz w:val="20"/>
          <w:szCs w:val="20"/>
          <w:color w:val="auto"/>
        </w:rPr>
      </w:pPr>
      <w:r>
        <w:rPr>
          <w:rFonts w:ascii="Arial" w:cs="Arial" w:eastAsia="Arial" w:hAnsi="Arial"/>
          <w:sz w:val="17"/>
          <w:szCs w:val="17"/>
          <w:color w:val="auto"/>
        </w:rPr>
        <w:t>The Company recorded stock-based compensation expense of $181 and $4 during the three months ended March 31, 2019 and 2018, respectively. As of March 31, 2019, there was $3,268 of unrecognized compensation cost related to unvested stock-based compensation arrangements granted under the 2014 Plan. The compensation is expected to be recognized over a weighted average period of 4 years as of March 31, 2019.</w:t>
      </w:r>
    </w:p>
    <w:p>
      <w:pPr>
        <w:spacing w:after="0" w:line="89" w:lineRule="exact"/>
        <w:rPr>
          <w:sz w:val="20"/>
          <w:szCs w:val="20"/>
          <w:color w:val="auto"/>
        </w:rPr>
      </w:pPr>
    </w:p>
    <w:p>
      <w:pPr>
        <w:ind w:left="280" w:right="180"/>
        <w:spacing w:after="0" w:line="262" w:lineRule="auto"/>
        <w:rPr>
          <w:sz w:val="20"/>
          <w:szCs w:val="20"/>
          <w:color w:val="auto"/>
        </w:rPr>
      </w:pPr>
      <w:r>
        <w:rPr>
          <w:rFonts w:ascii="Arial" w:cs="Arial" w:eastAsia="Arial" w:hAnsi="Arial"/>
          <w:sz w:val="17"/>
          <w:szCs w:val="17"/>
          <w:color w:val="auto"/>
        </w:rPr>
        <w:t>Stock-based compensation expense recorded as research and development and general and administrative expenses in the accompanying consolidated statements of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47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20" w:type="dxa"/>
            <w:vAlign w:val="bottom"/>
            <w:gridSpan w:val="4"/>
          </w:tcPr>
          <w:p>
            <w:pPr>
              <w:jc w:val="right"/>
              <w:ind w:right="60"/>
              <w:spacing w:after="0"/>
              <w:rPr>
                <w:sz w:val="20"/>
                <w:szCs w:val="20"/>
                <w:color w:val="auto"/>
              </w:rPr>
            </w:pPr>
            <w:r>
              <w:rPr>
                <w:rFonts w:ascii="Arial" w:cs="Arial" w:eastAsia="Arial" w:hAnsi="Arial"/>
                <w:sz w:val="17"/>
                <w:szCs w:val="17"/>
                <w:b w:val="1"/>
                <w:bCs w:val="1"/>
                <w:color w:val="auto"/>
              </w:rPr>
              <w:t>Three months ended March 31,</w:t>
            </w:r>
          </w:p>
        </w:tc>
      </w:tr>
      <w:tr>
        <w:trPr>
          <w:trHeight w:val="20"/>
        </w:trPr>
        <w:tc>
          <w:tcPr>
            <w:tcW w:w="4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47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2019</w:t>
            </w:r>
          </w:p>
        </w:tc>
        <w:tc>
          <w:tcPr>
            <w:tcW w:w="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2018</w:t>
            </w:r>
          </w:p>
        </w:tc>
      </w:tr>
      <w:tr>
        <w:trPr>
          <w:trHeight w:val="193"/>
        </w:trPr>
        <w:tc>
          <w:tcPr>
            <w:tcW w:w="4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31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433"/>
              <w:spacing w:after="0" w:line="194" w:lineRule="exact"/>
              <w:rPr>
                <w:sz w:val="20"/>
                <w:szCs w:val="20"/>
                <w:color w:val="auto"/>
              </w:rPr>
            </w:pPr>
            <w:r>
              <w:rPr>
                <w:rFonts w:ascii="Arial" w:cs="Arial" w:eastAsia="Arial" w:hAnsi="Arial"/>
                <w:sz w:val="17"/>
                <w:szCs w:val="17"/>
                <w:color w:val="auto"/>
              </w:rPr>
              <w:t>74</w:t>
            </w:r>
          </w:p>
        </w:tc>
        <w:tc>
          <w:tcPr>
            <w:tcW w:w="980" w:type="dxa"/>
            <w:vAlign w:val="bottom"/>
            <w:shd w:val="clear" w:color="auto" w:fill="CCEEFF"/>
          </w:tcPr>
          <w:p>
            <w:pPr>
              <w:jc w:val="right"/>
              <w:ind w:right="273"/>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207"/>
        </w:trPr>
        <w:tc>
          <w:tcPr>
            <w:tcW w:w="47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6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107</w:t>
            </w:r>
          </w:p>
        </w:tc>
        <w:tc>
          <w:tcPr>
            <w:tcW w:w="9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7"/>
                <w:szCs w:val="17"/>
                <w:color w:val="auto"/>
              </w:rPr>
            </w:pPr>
          </w:p>
        </w:tc>
      </w:tr>
      <w:tr>
        <w:trPr>
          <w:trHeight w:val="200"/>
        </w:trPr>
        <w:tc>
          <w:tcPr>
            <w:tcW w:w="476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181</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7"/>
                <w:szCs w:val="17"/>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ind w:left="280" w:right="220"/>
        <w:spacing w:after="0" w:line="262" w:lineRule="auto"/>
        <w:rPr>
          <w:sz w:val="20"/>
          <w:szCs w:val="20"/>
          <w:color w:val="auto"/>
        </w:rPr>
      </w:pPr>
      <w:r>
        <w:rPr>
          <w:rFonts w:ascii="Arial" w:cs="Arial" w:eastAsia="Arial" w:hAnsi="Arial"/>
          <w:sz w:val="17"/>
          <w:szCs w:val="17"/>
          <w:color w:val="auto"/>
        </w:rPr>
        <w:t>The Company uses the Black-Scholes option pricing model to calculate the grant-date fair value of an award. The fair values of the options granted to employees and directors were calculated using the following assumptions 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8260" w:type="dxa"/>
            <w:vAlign w:val="bottom"/>
          </w:tcPr>
          <w:p>
            <w:pPr>
              <w:spacing w:after="0"/>
              <w:rPr>
                <w:sz w:val="19"/>
                <w:szCs w:val="19"/>
                <w:color w:val="auto"/>
              </w:rPr>
            </w:pPr>
          </w:p>
        </w:tc>
        <w:tc>
          <w:tcPr>
            <w:tcW w:w="26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Three months ended March 31,</w:t>
            </w:r>
          </w:p>
        </w:tc>
      </w:tr>
      <w:tr>
        <w:trPr>
          <w:trHeight w:val="20"/>
        </w:trPr>
        <w:tc>
          <w:tcPr>
            <w:tcW w:w="8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3"/>
        </w:trPr>
        <w:tc>
          <w:tcPr>
            <w:tcW w:w="8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2019</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2018</w:t>
            </w:r>
          </w:p>
        </w:tc>
      </w:tr>
      <w:tr>
        <w:trPr>
          <w:trHeight w:val="193"/>
        </w:trPr>
        <w:tc>
          <w:tcPr>
            <w:tcW w:w="8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1580" w:type="dxa"/>
            <w:vAlign w:val="bottom"/>
            <w:shd w:val="clear" w:color="auto" w:fill="CCEEFF"/>
          </w:tcPr>
          <w:p>
            <w:pPr>
              <w:jc w:val="right"/>
              <w:ind w:right="493"/>
              <w:spacing w:after="0" w:line="194" w:lineRule="exact"/>
              <w:rPr>
                <w:sz w:val="20"/>
                <w:szCs w:val="20"/>
                <w:color w:val="auto"/>
              </w:rPr>
            </w:pPr>
            <w:r>
              <w:rPr>
                <w:rFonts w:ascii="Arial" w:cs="Arial" w:eastAsia="Arial" w:hAnsi="Arial"/>
                <w:sz w:val="17"/>
                <w:szCs w:val="17"/>
                <w:color w:val="auto"/>
              </w:rPr>
              <w:t>2.32-2.81%</w:t>
            </w: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r>
      <w:tr>
        <w:trPr>
          <w:trHeight w:val="200"/>
        </w:trPr>
        <w:tc>
          <w:tcPr>
            <w:tcW w:w="82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580" w:type="dxa"/>
            <w:vAlign w:val="bottom"/>
          </w:tcPr>
          <w:p>
            <w:pPr>
              <w:jc w:val="right"/>
              <w:ind w:right="493"/>
              <w:spacing w:after="0"/>
              <w:rPr>
                <w:sz w:val="20"/>
                <w:szCs w:val="20"/>
                <w:color w:val="auto"/>
              </w:rPr>
            </w:pPr>
            <w:r>
              <w:rPr>
                <w:rFonts w:ascii="Arial" w:cs="Arial" w:eastAsia="Arial" w:hAnsi="Arial"/>
                <w:sz w:val="17"/>
                <w:szCs w:val="17"/>
                <w:color w:val="auto"/>
              </w:rPr>
              <w:t>0%</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0"/>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Expected life</w:t>
            </w:r>
          </w:p>
        </w:tc>
        <w:tc>
          <w:tcPr>
            <w:tcW w:w="158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6.375 years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3"/>
        </w:trPr>
        <w:tc>
          <w:tcPr>
            <w:tcW w:w="8260" w:type="dxa"/>
            <w:vAlign w:val="bottom"/>
          </w:tcPr>
          <w:p>
            <w:pPr>
              <w:spacing w:after="0"/>
              <w:rPr>
                <w:sz w:val="20"/>
                <w:szCs w:val="20"/>
                <w:color w:val="auto"/>
              </w:rPr>
            </w:pPr>
            <w:r>
              <w:rPr>
                <w:rFonts w:ascii="Arial" w:cs="Arial" w:eastAsia="Arial" w:hAnsi="Arial"/>
                <w:sz w:val="17"/>
                <w:szCs w:val="17"/>
                <w:color w:val="auto"/>
              </w:rPr>
              <w:t>Expected volatility</w:t>
            </w:r>
          </w:p>
        </w:tc>
        <w:tc>
          <w:tcPr>
            <w:tcW w:w="1580" w:type="dxa"/>
            <w:vAlign w:val="bottom"/>
          </w:tcPr>
          <w:p>
            <w:pPr>
              <w:jc w:val="right"/>
              <w:ind w:right="493"/>
              <w:spacing w:after="0"/>
              <w:rPr>
                <w:sz w:val="20"/>
                <w:szCs w:val="20"/>
                <w:color w:val="auto"/>
              </w:rPr>
            </w:pPr>
            <w:r>
              <w:rPr>
                <w:rFonts w:ascii="Arial" w:cs="Arial" w:eastAsia="Arial" w:hAnsi="Arial"/>
                <w:sz w:val="17"/>
                <w:szCs w:val="17"/>
                <w:color w:val="auto"/>
              </w:rPr>
              <w:t>57-61%</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8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9. Net loss per share attributable to common stockholders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6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Three months ended March 31,</w:t>
            </w:r>
          </w:p>
        </w:tc>
      </w:tr>
      <w:tr>
        <w:trPr>
          <w:trHeight w:val="273"/>
        </w:trPr>
        <w:tc>
          <w:tcPr>
            <w:tcW w:w="72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56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23"/>
                <w:szCs w:val="23"/>
                <w:color w:val="auto"/>
              </w:rPr>
            </w:pPr>
          </w:p>
        </w:tc>
      </w:tr>
      <w:tr>
        <w:trPr>
          <w:trHeight w:val="47"/>
        </w:trPr>
        <w:tc>
          <w:tcPr>
            <w:tcW w:w="7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7280" w:type="dxa"/>
            <w:vAlign w:val="bottom"/>
          </w:tcPr>
          <w:p>
            <w:pPr>
              <w:ind w:left="420"/>
              <w:spacing w:after="0"/>
              <w:rPr>
                <w:sz w:val="20"/>
                <w:szCs w:val="20"/>
                <w:color w:val="auto"/>
              </w:rPr>
            </w:pPr>
            <w:r>
              <w:rPr>
                <w:rFonts w:ascii="Arial" w:cs="Arial" w:eastAsia="Arial" w:hAnsi="Arial"/>
                <w:sz w:val="17"/>
                <w:szCs w:val="17"/>
                <w:color w:val="auto"/>
              </w:rPr>
              <w:t>Net loss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3"/>
              <w:spacing w:after="0"/>
              <w:rPr>
                <w:sz w:val="20"/>
                <w:szCs w:val="20"/>
                <w:color w:val="auto"/>
              </w:rPr>
            </w:pPr>
            <w:r>
              <w:rPr>
                <w:rFonts w:ascii="Arial" w:cs="Arial" w:eastAsia="Arial" w:hAnsi="Arial"/>
                <w:sz w:val="17"/>
                <w:szCs w:val="17"/>
                <w:color w:val="auto"/>
              </w:rPr>
              <w:t>(5,742)</w:t>
            </w:r>
          </w:p>
        </w:tc>
        <w:tc>
          <w:tcPr>
            <w:tcW w:w="5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(1,912)</w:t>
            </w:r>
          </w:p>
        </w:tc>
      </w:tr>
      <w:tr>
        <w:trPr>
          <w:trHeight w:val="73"/>
        </w:trPr>
        <w:tc>
          <w:tcPr>
            <w:tcW w:w="7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0"/>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7"/>
        </w:trPr>
        <w:tc>
          <w:tcPr>
            <w:tcW w:w="7280" w:type="dxa"/>
            <w:vAlign w:val="bottom"/>
          </w:tcPr>
          <w:p>
            <w:pPr>
              <w:ind w:left="200"/>
              <w:spacing w:after="0"/>
              <w:rPr>
                <w:sz w:val="20"/>
                <w:szCs w:val="20"/>
                <w:color w:val="auto"/>
              </w:rPr>
            </w:pPr>
            <w:r>
              <w:rPr>
                <w:rFonts w:ascii="Arial" w:cs="Arial" w:eastAsia="Arial" w:hAnsi="Arial"/>
                <w:sz w:val="17"/>
                <w:szCs w:val="17"/>
                <w:color w:val="auto"/>
              </w:rPr>
              <w:t>Weighted-average number of common shares, basic and diluted</w:t>
            </w:r>
          </w:p>
        </w:tc>
        <w:tc>
          <w:tcPr>
            <w:tcW w:w="5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833,469</w:t>
            </w: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686,985</w:t>
            </w:r>
          </w:p>
        </w:tc>
        <w:tc>
          <w:tcPr>
            <w:tcW w:w="120" w:type="dxa"/>
            <w:vAlign w:val="bottom"/>
          </w:tcPr>
          <w:p>
            <w:pPr>
              <w:spacing w:after="0"/>
              <w:rPr>
                <w:sz w:val="17"/>
                <w:szCs w:val="17"/>
                <w:color w:val="auto"/>
              </w:rPr>
            </w:pPr>
          </w:p>
        </w:tc>
      </w:tr>
      <w:tr>
        <w:trPr>
          <w:trHeight w:val="200"/>
        </w:trPr>
        <w:tc>
          <w:tcPr>
            <w:tcW w:w="7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loss per common share attributable to common stockholders, basic and diluted</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(6.89)</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w:t>
            </w: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0" w:lineRule="exact"/>
        <w:rPr>
          <w:sz w:val="20"/>
          <w:szCs w:val="20"/>
          <w:color w:val="auto"/>
        </w:rPr>
      </w:pPr>
    </w:p>
    <w:p>
      <w:pPr>
        <w:ind w:left="280" w:right="780"/>
        <w:spacing w:after="0" w:line="262" w:lineRule="auto"/>
        <w:rPr>
          <w:sz w:val="20"/>
          <w:szCs w:val="20"/>
          <w:color w:val="auto"/>
        </w:rPr>
      </w:pPr>
      <w:r>
        <w:rPr>
          <w:rFonts w:ascii="Arial" w:cs="Arial" w:eastAsia="Arial" w:hAnsi="Arial"/>
          <w:sz w:val="17"/>
          <w:szCs w:val="17"/>
          <w:color w:val="auto"/>
        </w:rPr>
        <w:t>The Company’s potential dilutive securities, which include Preferred Stock and common stock options, have been excluded from the computation of diluted net loss per share as the effect would be anti-dilutive.</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160"/>
          </w:cols>
          <w:pgMar w:left="240" w:top="455"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right="420"/>
        <w:spacing w:after="0" w:line="251" w:lineRule="auto"/>
        <w:rPr>
          <w:sz w:val="20"/>
          <w:szCs w:val="20"/>
          <w:color w:val="auto"/>
        </w:rPr>
      </w:pPr>
      <w:r>
        <w:rPr>
          <w:rFonts w:ascii="Arial" w:cs="Arial" w:eastAsia="Arial" w:hAnsi="Arial"/>
          <w:sz w:val="17"/>
          <w:szCs w:val="17"/>
          <w:color w:val="auto"/>
        </w:rPr>
        <w:t>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62865</wp:posOffset>
            </wp:positionV>
            <wp:extent cx="690943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8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March 31,</w:t>
            </w:r>
          </w:p>
        </w:tc>
      </w:tr>
      <w:tr>
        <w:trPr>
          <w:trHeight w:val="220"/>
        </w:trPr>
        <w:tc>
          <w:tcPr>
            <w:tcW w:w="858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bottom w:val="single" w:sz="8" w:color="auto"/>
            </w:tcBorders>
          </w:tcPr>
          <w:p>
            <w:pPr>
              <w:spacing w:after="0"/>
              <w:rPr>
                <w:sz w:val="19"/>
                <w:szCs w:val="19"/>
                <w:color w:val="auto"/>
              </w:rPr>
            </w:pPr>
          </w:p>
        </w:tc>
      </w:tr>
      <w:tr>
        <w:trPr>
          <w:trHeight w:val="193"/>
        </w:trPr>
        <w:tc>
          <w:tcPr>
            <w:tcW w:w="8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Preferred Stock</w:t>
            </w:r>
          </w:p>
        </w:tc>
        <w:tc>
          <w:tcPr>
            <w:tcW w:w="1220" w:type="dxa"/>
            <w:vAlign w:val="bottom"/>
            <w:shd w:val="clear" w:color="auto" w:fill="CCEEFF"/>
          </w:tcPr>
          <w:p>
            <w:pPr>
              <w:jc w:val="right"/>
              <w:ind w:right="113"/>
              <w:spacing w:after="0" w:line="194" w:lineRule="exact"/>
              <w:rPr>
                <w:sz w:val="20"/>
                <w:szCs w:val="20"/>
                <w:color w:val="auto"/>
              </w:rPr>
            </w:pPr>
            <w:r>
              <w:rPr>
                <w:rFonts w:ascii="Arial" w:cs="Arial" w:eastAsia="Arial" w:hAnsi="Arial"/>
                <w:sz w:val="17"/>
                <w:szCs w:val="17"/>
                <w:color w:val="auto"/>
              </w:rPr>
              <w:t>22,677,585</w:t>
            </w: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9,051,722</w:t>
            </w:r>
          </w:p>
        </w:tc>
        <w:tc>
          <w:tcPr>
            <w:tcW w:w="80" w:type="dxa"/>
            <w:vAlign w:val="bottom"/>
            <w:shd w:val="clear" w:color="auto" w:fill="CCEEFF"/>
          </w:tcPr>
          <w:p>
            <w:pPr>
              <w:spacing w:after="0"/>
              <w:rPr>
                <w:sz w:val="16"/>
                <w:szCs w:val="16"/>
                <w:color w:val="auto"/>
              </w:rPr>
            </w:pPr>
          </w:p>
        </w:tc>
      </w:tr>
      <w:tr>
        <w:trPr>
          <w:trHeight w:val="207"/>
        </w:trPr>
        <w:tc>
          <w:tcPr>
            <w:tcW w:w="8580" w:type="dxa"/>
            <w:vAlign w:val="bottom"/>
          </w:tcPr>
          <w:p>
            <w:pPr>
              <w:spacing w:after="0"/>
              <w:rPr>
                <w:sz w:val="20"/>
                <w:szCs w:val="20"/>
                <w:color w:val="auto"/>
              </w:rPr>
            </w:pPr>
            <w:r>
              <w:rPr>
                <w:rFonts w:ascii="Arial" w:cs="Arial" w:eastAsia="Arial" w:hAnsi="Arial"/>
                <w:sz w:val="17"/>
                <w:szCs w:val="17"/>
                <w:color w:val="auto"/>
              </w:rPr>
              <w:t>Outstanding options to purchase common stock</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4,034,647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557,865</w:t>
            </w:r>
          </w:p>
        </w:tc>
        <w:tc>
          <w:tcPr>
            <w:tcW w:w="80" w:type="dxa"/>
            <w:vAlign w:val="bottom"/>
          </w:tcPr>
          <w:p>
            <w:pPr>
              <w:spacing w:after="0"/>
              <w:rPr>
                <w:sz w:val="17"/>
                <w:szCs w:val="17"/>
                <w:color w:val="auto"/>
              </w:rPr>
            </w:pPr>
          </w:p>
        </w:tc>
      </w:tr>
      <w:tr>
        <w:trPr>
          <w:trHeight w:val="200"/>
        </w:trPr>
        <w:tc>
          <w:tcPr>
            <w:tcW w:w="8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26,712,232</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9,609,587</w:t>
            </w:r>
          </w:p>
        </w:tc>
        <w:tc>
          <w:tcPr>
            <w:tcW w:w="80" w:type="dxa"/>
            <w:vAlign w:val="bottom"/>
            <w:shd w:val="clear" w:color="auto" w:fill="CCEEFF"/>
          </w:tcPr>
          <w:p>
            <w:pPr>
              <w:spacing w:after="0"/>
              <w:rPr>
                <w:sz w:val="17"/>
                <w:szCs w:val="17"/>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131" w:lineRule="exact"/>
        <w:rPr>
          <w:sz w:val="20"/>
          <w:szCs w:val="20"/>
          <w:color w:val="auto"/>
        </w:rPr>
      </w:pPr>
    </w:p>
    <w:p>
      <w:pPr>
        <w:ind w:left="280" w:right="280"/>
        <w:spacing w:after="0" w:line="249" w:lineRule="auto"/>
        <w:rPr>
          <w:sz w:val="20"/>
          <w:szCs w:val="20"/>
          <w:color w:val="auto"/>
        </w:rPr>
      </w:pPr>
      <w:r>
        <w:rPr>
          <w:rFonts w:ascii="Arial" w:cs="Arial" w:eastAsia="Arial" w:hAnsi="Arial"/>
          <w:sz w:val="17"/>
          <w:szCs w:val="17"/>
          <w:color w:val="auto"/>
        </w:rPr>
        <w:t>The unaudited pro forma basic and diluted weighted average common shares outstanding used in the calculation of unaudited pro forma basic and diluted net loss per share attributable to common stockholders for the three months ended March 31, 2019 gives effect to the automatic conversion upon the closing of the proposed initial public offering of all outstanding shares of convertible preferred stock as of March 31, 2019 into 22,677,585 shares of common stock as if the conversion had occurred on the later of January 1, 2019 or the issuance date of the convertible preferred stock.</w:t>
      </w:r>
    </w:p>
    <w:p>
      <w:pPr>
        <w:spacing w:after="0" w:line="93"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Unaudited pro forma basic and diluted net loss per share attributable to common stockholders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8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Three months ended</w:t>
            </w:r>
          </w:p>
        </w:tc>
      </w:tr>
      <w:tr>
        <w:trPr>
          <w:trHeight w:val="219"/>
        </w:trPr>
        <w:tc>
          <w:tcPr>
            <w:tcW w:w="8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March 31, 2019</w:t>
            </w:r>
          </w:p>
        </w:tc>
      </w:tr>
      <w:tr>
        <w:trPr>
          <w:trHeight w:val="20"/>
        </w:trPr>
        <w:tc>
          <w:tcPr>
            <w:tcW w:w="8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8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(unaudited)</w:t>
            </w:r>
          </w:p>
        </w:tc>
      </w:tr>
      <w:tr>
        <w:trPr>
          <w:trHeight w:val="47"/>
        </w:trPr>
        <w:tc>
          <w:tcPr>
            <w:tcW w:w="8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0"/>
        </w:trPr>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8460" w:type="dxa"/>
            <w:vAlign w:val="bottom"/>
          </w:tcPr>
          <w:p>
            <w:pPr>
              <w:ind w:left="200"/>
              <w:spacing w:after="0"/>
              <w:rPr>
                <w:sz w:val="20"/>
                <w:szCs w:val="20"/>
                <w:color w:val="auto"/>
              </w:rPr>
            </w:pPr>
            <w:r>
              <w:rPr>
                <w:rFonts w:ascii="Arial" w:cs="Arial" w:eastAsia="Arial" w:hAnsi="Arial"/>
                <w:sz w:val="17"/>
                <w:szCs w:val="17"/>
                <w:color w:val="auto"/>
              </w:rPr>
              <w:t>Net loss attributable to common stockholders</w:t>
            </w: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5,742</w:t>
            </w:r>
          </w:p>
        </w:tc>
        <w:tc>
          <w:tcPr>
            <w:tcW w:w="120" w:type="dxa"/>
            <w:vAlign w:val="bottom"/>
          </w:tcPr>
          <w:p>
            <w:pPr>
              <w:spacing w:after="0"/>
              <w:rPr>
                <w:sz w:val="17"/>
                <w:szCs w:val="17"/>
                <w:color w:val="auto"/>
              </w:rPr>
            </w:pPr>
          </w:p>
        </w:tc>
      </w:tr>
      <w:tr>
        <w:trPr>
          <w:trHeight w:val="200"/>
        </w:trPr>
        <w:tc>
          <w:tcPr>
            <w:tcW w:w="8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 forma net loss attributable to common stockholders</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5,742</w:t>
            </w:r>
          </w:p>
        </w:tc>
        <w:tc>
          <w:tcPr>
            <w:tcW w:w="120" w:type="dxa"/>
            <w:vAlign w:val="bottom"/>
            <w:shd w:val="clear" w:color="auto" w:fill="CCEEFF"/>
          </w:tcPr>
          <w:p>
            <w:pPr>
              <w:spacing w:after="0"/>
              <w:rPr>
                <w:sz w:val="17"/>
                <w:szCs w:val="17"/>
                <w:color w:val="auto"/>
              </w:rPr>
            </w:pPr>
          </w:p>
        </w:tc>
      </w:tr>
      <w:tr>
        <w:trPr>
          <w:trHeight w:val="267"/>
        </w:trPr>
        <w:tc>
          <w:tcPr>
            <w:tcW w:w="8460" w:type="dxa"/>
            <w:vAlign w:val="bottom"/>
          </w:tcPr>
          <w:p>
            <w:pPr>
              <w:spacing w:after="0"/>
              <w:rPr>
                <w:sz w:val="20"/>
                <w:szCs w:val="20"/>
                <w:color w:val="auto"/>
              </w:rPr>
            </w:pPr>
            <w:r>
              <w:rPr>
                <w:rFonts w:ascii="Arial" w:cs="Arial" w:eastAsia="Arial" w:hAnsi="Arial"/>
                <w:sz w:val="17"/>
                <w:szCs w:val="17"/>
                <w:color w:val="auto"/>
              </w:rPr>
              <w:t>Denominator:</w:t>
            </w: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0"/>
        </w:trPr>
        <w:tc>
          <w:tcPr>
            <w:tcW w:w="8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Weighted average common shares outstanding—basic and diluted</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833,469</w:t>
            </w:r>
          </w:p>
        </w:tc>
      </w:tr>
      <w:tr>
        <w:trPr>
          <w:trHeight w:val="203"/>
        </w:trPr>
        <w:tc>
          <w:tcPr>
            <w:tcW w:w="8460" w:type="dxa"/>
            <w:vAlign w:val="bottom"/>
          </w:tcPr>
          <w:p>
            <w:pPr>
              <w:ind w:left="200"/>
              <w:spacing w:after="0"/>
              <w:rPr>
                <w:sz w:val="20"/>
                <w:szCs w:val="20"/>
                <w:color w:val="auto"/>
              </w:rPr>
            </w:pPr>
            <w:r>
              <w:rPr>
                <w:rFonts w:ascii="Arial" w:cs="Arial" w:eastAsia="Arial" w:hAnsi="Arial"/>
                <w:sz w:val="17"/>
                <w:szCs w:val="17"/>
                <w:color w:val="auto"/>
              </w:rPr>
              <w:t>Pro forma adjustment to reflect assumed automatic conversion of convertible preferred shares upon</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460" w:type="dxa"/>
            <w:vAlign w:val="bottom"/>
          </w:tcPr>
          <w:p>
            <w:pPr>
              <w:ind w:left="420"/>
              <w:spacing w:after="0"/>
              <w:rPr>
                <w:sz w:val="20"/>
                <w:szCs w:val="20"/>
                <w:color w:val="auto"/>
              </w:rPr>
            </w:pPr>
            <w:r>
              <w:rPr>
                <w:rFonts w:ascii="Arial" w:cs="Arial" w:eastAsia="Arial" w:hAnsi="Arial"/>
                <w:sz w:val="17"/>
                <w:szCs w:val="17"/>
                <w:color w:val="auto"/>
              </w:rPr>
              <w:t>the closing of the proposed initial public offering</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22,677,585</w:t>
            </w:r>
          </w:p>
        </w:tc>
        <w:tc>
          <w:tcPr>
            <w:tcW w:w="120" w:type="dxa"/>
            <w:vAlign w:val="bottom"/>
          </w:tcPr>
          <w:p>
            <w:pPr>
              <w:spacing w:after="0"/>
              <w:rPr>
                <w:sz w:val="17"/>
                <w:szCs w:val="17"/>
                <w:color w:val="auto"/>
              </w:rPr>
            </w:pPr>
          </w:p>
        </w:tc>
      </w:tr>
      <w:tr>
        <w:trPr>
          <w:trHeight w:val="200"/>
        </w:trPr>
        <w:tc>
          <w:tcPr>
            <w:tcW w:w="8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 forma weighted average common shares outstanding—basic and diluted</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23,511,054</w:t>
            </w:r>
          </w:p>
        </w:tc>
        <w:tc>
          <w:tcPr>
            <w:tcW w:w="120" w:type="dxa"/>
            <w:vAlign w:val="bottom"/>
            <w:shd w:val="clear" w:color="auto" w:fill="CCEEFF"/>
          </w:tcPr>
          <w:p>
            <w:pPr>
              <w:spacing w:after="0"/>
              <w:rPr>
                <w:sz w:val="17"/>
                <w:szCs w:val="17"/>
                <w:color w:val="auto"/>
              </w:rPr>
            </w:pPr>
          </w:p>
        </w:tc>
      </w:tr>
      <w:tr>
        <w:trPr>
          <w:trHeight w:val="213"/>
        </w:trPr>
        <w:tc>
          <w:tcPr>
            <w:tcW w:w="8460" w:type="dxa"/>
            <w:vAlign w:val="bottom"/>
          </w:tcPr>
          <w:p>
            <w:pPr>
              <w:ind w:left="200"/>
              <w:spacing w:after="0"/>
              <w:rPr>
                <w:sz w:val="20"/>
                <w:szCs w:val="20"/>
                <w:color w:val="auto"/>
              </w:rPr>
            </w:pPr>
            <w:r>
              <w:rPr>
                <w:rFonts w:ascii="Arial" w:cs="Arial" w:eastAsia="Arial" w:hAnsi="Arial"/>
                <w:sz w:val="17"/>
                <w:szCs w:val="17"/>
                <w:color w:val="auto"/>
              </w:rPr>
              <w:t>Pro forma net loss per share attributable to common stockholders—basic and diluted</w:t>
            </w: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(0.24)</w:t>
            </w:r>
          </w:p>
        </w:tc>
      </w:tr>
      <w:tr>
        <w:trPr>
          <w:trHeight w:val="20"/>
        </w:trPr>
        <w:tc>
          <w:tcPr>
            <w:tcW w:w="8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10. Income taxes</w:t>
      </w:r>
    </w:p>
    <w:p>
      <w:pPr>
        <w:spacing w:after="0" w:line="141"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The company did not record an income tax benefit in its consolidated statement of operations for the three months ended March 31, 2019 and 2018 as it is more likely than not that the Company will not recognize the federal and state deferred tax benefits generated by its losses. The Company had net deferred tax assets and liabilities of $7,625 at December 31, 2018. The Company has provided a valuation allowance for the full amount of its net deferred tax assets and liabilities as of March 31, 2019 and December 31, 2018, as management has determined it is more likely than not that any future benefit from deductible temporary differences and net operating loss and tax credit carryforwards would not be realized.</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 has not recorded any amounts for unrecognized tax benefits as of March 31, 2019 or December 31, 2018.</w:t>
      </w:r>
    </w:p>
    <w:p>
      <w:pPr>
        <w:spacing w:after="0" w:line="15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160"/>
          </w:cols>
          <w:pgMar w:left="240" w:top="455"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11. Employee benefits</w:t>
      </w:r>
    </w:p>
    <w:p>
      <w:pPr>
        <w:spacing w:after="0" w:line="141"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In 2016, the Company established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Company is not required to make and has not made any contributions to the 401(k) Plan for the three months ended March 31, 2019 and 2018.</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12. Subsequent events</w:t>
      </w:r>
    </w:p>
    <w:p>
      <w:pPr>
        <w:spacing w:after="0" w:line="141" w:lineRule="exact"/>
        <w:rPr>
          <w:sz w:val="20"/>
          <w:szCs w:val="20"/>
          <w:color w:val="auto"/>
        </w:rPr>
      </w:pPr>
    </w:p>
    <w:p>
      <w:pPr>
        <w:ind w:left="280" w:right="40"/>
        <w:spacing w:after="0" w:line="251" w:lineRule="auto"/>
        <w:rPr>
          <w:sz w:val="20"/>
          <w:szCs w:val="20"/>
          <w:color w:val="auto"/>
        </w:rPr>
      </w:pPr>
      <w:r>
        <w:rPr>
          <w:rFonts w:ascii="Arial" w:cs="Arial" w:eastAsia="Arial" w:hAnsi="Arial"/>
          <w:sz w:val="17"/>
          <w:szCs w:val="17"/>
          <w:color w:val="auto"/>
        </w:rPr>
        <w:t>The Company has evaluated subsequent events through May 24, 2019, the date that these interim consolidated financial statements were originally issued and subsequent events occurring after such date through June 7, 2019, which is the date these interim consolidated financial statements were available for reissuance. The Company has concluded that no events or transactions have occurred that require disclosure in the accompanying interim consolidated financial statements other than the following:</w:t>
      </w:r>
    </w:p>
    <w:p>
      <w:pPr>
        <w:spacing w:after="0" w:line="89"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On June 6, 2019, the Company effected a 9.95-for-one reverse split of the Company’s issued and outstanding common and convertible preferred stock (see Note 7). All common share, convertible preferred share and per share information and related information included in the accompanying interim consolidated financial statements have been adjusted retroactively, where applicable, to reflect the reverse split.</w:t>
      </w:r>
    </w:p>
    <w:p>
      <w:pPr>
        <w:spacing w:after="0" w:line="8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On June 6, 2019, the Company’s stockholders approved the 2019 Equity Incentive Award Plan (“2019 Plan”) which will become effective in connection with the effectiveness of the Company’s proposed initial public offering. The 2019 Plan provides for the granting of equity-based awards. Upon the effectiveness of the Company’s proposed initial public offering, 2,200,000 shares of common stock will become available for future issuance plus any reserved shares not issued or subject to outstanding grants under the 2014 Plan on the effective date of the 2019 Plan, for issuance pursuant to awards granted under the 2019 Plan. The provisions of the 2019 Plan allow for periodic automatic increases for shares reserved under the 2019 Plan.</w:t>
      </w:r>
    </w:p>
    <w:p>
      <w:pPr>
        <w:spacing w:after="0" w:line="95" w:lineRule="exact"/>
        <w:rPr>
          <w:sz w:val="20"/>
          <w:szCs w:val="20"/>
          <w:color w:val="auto"/>
        </w:rPr>
      </w:pPr>
    </w:p>
    <w:p>
      <w:pPr>
        <w:ind w:left="280" w:right="60"/>
        <w:spacing w:after="0" w:line="251" w:lineRule="auto"/>
        <w:rPr>
          <w:sz w:val="20"/>
          <w:szCs w:val="20"/>
          <w:color w:val="auto"/>
        </w:rPr>
      </w:pPr>
      <w:r>
        <w:rPr>
          <w:rFonts w:ascii="Arial" w:cs="Arial" w:eastAsia="Arial" w:hAnsi="Arial"/>
          <w:sz w:val="17"/>
          <w:szCs w:val="17"/>
          <w:color w:val="auto"/>
        </w:rPr>
        <w:t>On June 6, 2019, the Company’s stockholders approved the 2019 Employee Stock Purchase Plan (“2019 ESPP”) which will become effective upon the effectiveness of the Company’s proposed initial public offering. The 2019 ESPP initially provides for the issuance of up to 315,000 shares of common stock to employees. The provisions of the 2019 ESPP provide for automatic periodic increases for shares reserved under the 2019 ESPP.</w:t>
      </w:r>
    </w:p>
    <w:p>
      <w:pPr>
        <w:spacing w:after="0" w:line="89" w:lineRule="exact"/>
        <w:rPr>
          <w:sz w:val="20"/>
          <w:szCs w:val="20"/>
          <w:color w:val="auto"/>
        </w:rPr>
      </w:pPr>
    </w:p>
    <w:p>
      <w:pPr>
        <w:ind w:left="280" w:right="20"/>
        <w:spacing w:after="0" w:line="251" w:lineRule="auto"/>
        <w:rPr>
          <w:sz w:val="20"/>
          <w:szCs w:val="20"/>
          <w:color w:val="auto"/>
        </w:rPr>
      </w:pPr>
      <w:r>
        <w:rPr>
          <w:rFonts w:ascii="Arial" w:cs="Arial" w:eastAsia="Arial" w:hAnsi="Arial"/>
          <w:sz w:val="17"/>
          <w:szCs w:val="17"/>
          <w:color w:val="auto"/>
        </w:rPr>
        <w:t>On June 6, 2019, the Company’s stockholders approved an amendment to the Company’s Amended and Restated Certificate of Incorporation which will become effective in connection with the effectiveness of the Company’s proposed initial public offering, to provide that the authorized capital stock of the Corporation shall consist of 300 million shares of common stock, $0.0001 per share par value, and 10 million shares of undesignated preferred stock, $0.0001 per share par value.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160"/>
          </w:cols>
          <w:pgMar w:left="240" w:top="455"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3239"/>
        <w:spacing w:after="0"/>
        <w:rPr>
          <w:sz w:val="20"/>
          <w:szCs w:val="20"/>
          <w:color w:val="auto"/>
        </w:rPr>
      </w:pPr>
      <w:r>
        <w:rPr>
          <w:rFonts w:ascii="Arial" w:cs="Arial" w:eastAsia="Arial" w:hAnsi="Arial"/>
          <w:sz w:val="32"/>
          <w:szCs w:val="32"/>
          <w:b w:val="1"/>
          <w:bCs w:val="1"/>
          <w:i w:val="1"/>
          <w:iCs w:val="1"/>
          <w:color w:val="auto"/>
        </w:rPr>
        <w:t>6,700,000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1431925</wp:posOffset>
            </wp:positionV>
            <wp:extent cx="1482090" cy="6940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48209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Arial" w:cs="Arial" w:eastAsia="Arial" w:hAnsi="Arial"/>
          <w:sz w:val="32"/>
          <w:szCs w:val="32"/>
          <w:b w:val="1"/>
          <w:bCs w:val="1"/>
          <w:i w:val="1"/>
          <w:iCs w:val="1"/>
          <w:color w:val="auto"/>
        </w:rPr>
        <w:t>Common stock</w:t>
      </w:r>
    </w:p>
    <w:p>
      <w:pPr>
        <w:spacing w:after="0" w:line="308"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Prospectus</w:t>
      </w:r>
    </w:p>
    <w:p>
      <w:pPr>
        <w:spacing w:after="0" w:line="336"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Cowen</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Credit Suisse</w:t>
      </w:r>
    </w:p>
    <w:p>
      <w:pPr>
        <w:spacing w:after="0" w:line="116"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Canaccord Genuity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2019</w:t>
      </w:r>
    </w:p>
    <w:p>
      <w:pPr>
        <w:sectPr>
          <w:pgSz w:w="11900" w:h="16838" w:orient="portrait"/>
          <w:cols w:equalWidth="0" w:num="1">
            <w:col w:w="10219"/>
          </w:cols>
          <w:pgMar w:left="240" w:top="455" w:right="1440"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PART II</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Information not required in prospectus</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Item 13. Other expenses of issuance and distribution.</w:t>
      </w:r>
    </w:p>
    <w:p>
      <w:pPr>
        <w:spacing w:after="0" w:line="141" w:lineRule="exact"/>
        <w:rPr>
          <w:sz w:val="20"/>
          <w:szCs w:val="20"/>
          <w:color w:val="auto"/>
        </w:rPr>
      </w:pPr>
    </w:p>
    <w:p>
      <w:pPr>
        <w:ind w:left="280" w:right="20"/>
        <w:spacing w:after="0" w:line="253" w:lineRule="auto"/>
        <w:rPr>
          <w:sz w:val="20"/>
          <w:szCs w:val="20"/>
          <w:color w:val="auto"/>
        </w:rPr>
      </w:pPr>
      <w:r>
        <w:rPr>
          <w:rFonts w:ascii="Arial" w:cs="Arial" w:eastAsia="Arial" w:hAnsi="Arial"/>
          <w:sz w:val="17"/>
          <w:szCs w:val="17"/>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the FINRA filing fee and the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62865</wp:posOffset>
            </wp:positionV>
            <wp:extent cx="690943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9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Amount</w:t>
            </w:r>
          </w:p>
        </w:tc>
      </w:tr>
      <w:tr>
        <w:trPr>
          <w:trHeight w:val="200"/>
        </w:trPr>
        <w:tc>
          <w:tcPr>
            <w:tcW w:w="9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paid or</w:t>
            </w:r>
          </w:p>
        </w:tc>
      </w:tr>
      <w:tr>
        <w:trPr>
          <w:trHeight w:val="219"/>
        </w:trPr>
        <w:tc>
          <w:tcPr>
            <w:tcW w:w="9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w w:val="99"/>
              </w:rPr>
              <w:t>to be paid</w:t>
            </w:r>
          </w:p>
        </w:tc>
      </w:tr>
      <w:tr>
        <w:trPr>
          <w:trHeight w:val="140"/>
        </w:trPr>
        <w:tc>
          <w:tcPr>
            <w:tcW w:w="9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00"/>
        </w:trPr>
        <w:tc>
          <w:tcPr>
            <w:tcW w:w="9880" w:type="dxa"/>
            <w:vAlign w:val="bottom"/>
          </w:tcPr>
          <w:p>
            <w:pPr>
              <w:spacing w:after="0"/>
              <w:rPr>
                <w:sz w:val="20"/>
                <w:szCs w:val="20"/>
                <w:color w:val="auto"/>
              </w:rPr>
            </w:pPr>
            <w:r>
              <w:rPr>
                <w:rFonts w:ascii="Arial" w:cs="Arial" w:eastAsia="Arial" w:hAnsi="Arial"/>
                <w:sz w:val="17"/>
                <w:szCs w:val="17"/>
                <w:color w:val="auto"/>
              </w:rPr>
              <w:t>SEC registration fee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14,942</w:t>
            </w:r>
          </w:p>
        </w:tc>
      </w:tr>
      <w:tr>
        <w:trPr>
          <w:trHeight w:val="200"/>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FINRA filing fee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18,992</w:t>
            </w:r>
          </w:p>
        </w:tc>
      </w:tr>
      <w:tr>
        <w:trPr>
          <w:trHeight w:val="200"/>
        </w:trPr>
        <w:tc>
          <w:tcPr>
            <w:tcW w:w="9880" w:type="dxa"/>
            <w:vAlign w:val="bottom"/>
          </w:tcPr>
          <w:p>
            <w:pPr>
              <w:spacing w:after="0"/>
              <w:rPr>
                <w:sz w:val="20"/>
                <w:szCs w:val="20"/>
                <w:color w:val="auto"/>
              </w:rPr>
            </w:pPr>
            <w:r>
              <w:rPr>
                <w:rFonts w:ascii="Arial" w:cs="Arial" w:eastAsia="Arial" w:hAnsi="Arial"/>
                <w:sz w:val="17"/>
                <w:szCs w:val="17"/>
                <w:color w:val="auto"/>
              </w:rPr>
              <w:t>Nasdaq listing fee</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125,000</w:t>
            </w:r>
          </w:p>
        </w:tc>
      </w:tr>
      <w:tr>
        <w:trPr>
          <w:trHeight w:val="200"/>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Printing and engraving expenses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237,150</w:t>
            </w:r>
          </w:p>
        </w:tc>
      </w:tr>
      <w:tr>
        <w:trPr>
          <w:trHeight w:val="200"/>
        </w:trPr>
        <w:tc>
          <w:tcPr>
            <w:tcW w:w="9880" w:type="dxa"/>
            <w:vAlign w:val="bottom"/>
          </w:tcPr>
          <w:p>
            <w:pPr>
              <w:spacing w:after="0"/>
              <w:rPr>
                <w:sz w:val="20"/>
                <w:szCs w:val="20"/>
                <w:color w:val="auto"/>
              </w:rPr>
            </w:pPr>
            <w:r>
              <w:rPr>
                <w:rFonts w:ascii="Arial" w:cs="Arial" w:eastAsia="Arial" w:hAnsi="Arial"/>
                <w:sz w:val="17"/>
                <w:szCs w:val="17"/>
                <w:color w:val="auto"/>
              </w:rPr>
              <w:t>Legal fees, Blue Sky fees and expenses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1,500,000</w:t>
            </w:r>
          </w:p>
        </w:tc>
        <w:tc>
          <w:tcPr>
            <w:tcW w:w="80" w:type="dxa"/>
            <w:vAlign w:val="bottom"/>
          </w:tcPr>
          <w:p>
            <w:pPr>
              <w:spacing w:after="0"/>
              <w:rPr>
                <w:sz w:val="17"/>
                <w:szCs w:val="17"/>
                <w:color w:val="auto"/>
              </w:rPr>
            </w:pPr>
          </w:p>
        </w:tc>
      </w:tr>
      <w:tr>
        <w:trPr>
          <w:trHeight w:val="200"/>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500,000</w:t>
            </w:r>
          </w:p>
        </w:tc>
      </w:tr>
      <w:tr>
        <w:trPr>
          <w:trHeight w:val="200"/>
        </w:trPr>
        <w:tc>
          <w:tcPr>
            <w:tcW w:w="9880" w:type="dxa"/>
            <w:vAlign w:val="bottom"/>
          </w:tcPr>
          <w:p>
            <w:pPr>
              <w:spacing w:after="0"/>
              <w:rPr>
                <w:sz w:val="20"/>
                <w:szCs w:val="20"/>
                <w:color w:val="auto"/>
              </w:rPr>
            </w:pPr>
            <w:r>
              <w:rPr>
                <w:rFonts w:ascii="Arial" w:cs="Arial" w:eastAsia="Arial" w:hAnsi="Arial"/>
                <w:sz w:val="17"/>
                <w:szCs w:val="17"/>
                <w:color w:val="auto"/>
              </w:rPr>
              <w:t>Transfer agent and registrar fees and expenses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6,500</w:t>
            </w:r>
          </w:p>
        </w:tc>
        <w:tc>
          <w:tcPr>
            <w:tcW w:w="80" w:type="dxa"/>
            <w:vAlign w:val="bottom"/>
          </w:tcPr>
          <w:p>
            <w:pPr>
              <w:spacing w:after="0"/>
              <w:rPr>
                <w:sz w:val="17"/>
                <w:szCs w:val="17"/>
                <w:color w:val="auto"/>
              </w:rPr>
            </w:pPr>
          </w:p>
        </w:tc>
      </w:tr>
      <w:tr>
        <w:trPr>
          <w:trHeight w:val="200"/>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47,416</w:t>
            </w:r>
          </w:p>
        </w:tc>
      </w:tr>
      <w:tr>
        <w:trPr>
          <w:trHeight w:val="207"/>
        </w:trPr>
        <w:tc>
          <w:tcPr>
            <w:tcW w:w="988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2,450,000</w:t>
            </w:r>
          </w:p>
        </w:tc>
        <w:tc>
          <w:tcPr>
            <w:tcW w:w="80" w:type="dxa"/>
            <w:vAlign w:val="bottom"/>
          </w:tcPr>
          <w:p>
            <w:pPr>
              <w:spacing w:after="0"/>
              <w:rPr>
                <w:sz w:val="17"/>
                <w:szCs w:val="17"/>
                <w:color w:val="auto"/>
              </w:rPr>
            </w:pPr>
          </w:p>
        </w:tc>
      </w:tr>
      <w:tr>
        <w:trPr>
          <w:trHeight w:val="47"/>
        </w:trPr>
        <w:tc>
          <w:tcPr>
            <w:tcW w:w="9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pacing w:after="0" w:line="93" w:lineRule="exact"/>
        <w:rPr>
          <w:sz w:val="20"/>
          <w:szCs w:val="20"/>
          <w:color w:val="auto"/>
        </w:rPr>
      </w:pPr>
    </w:p>
    <w:p>
      <w:pPr>
        <w:ind w:left="480" w:hanging="207"/>
        <w:spacing w:after="0"/>
        <w:tabs>
          <w:tab w:leader="none" w:pos="4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Item 14. Indemnification of directors and officers.</w:t>
      </w:r>
    </w:p>
    <w:p>
      <w:pPr>
        <w:spacing w:after="0" w:line="141" w:lineRule="exact"/>
        <w:rPr>
          <w:sz w:val="20"/>
          <w:szCs w:val="20"/>
          <w:color w:val="auto"/>
        </w:rPr>
      </w:pPr>
    </w:p>
    <w:p>
      <w:pPr>
        <w:jc w:val="both"/>
        <w:ind w:left="280" w:right="220"/>
        <w:spacing w:after="0" w:line="251" w:lineRule="auto"/>
        <w:rPr>
          <w:sz w:val="20"/>
          <w:szCs w:val="20"/>
          <w:color w:val="auto"/>
        </w:rPr>
      </w:pPr>
      <w:r>
        <w:rPr>
          <w:rFonts w:ascii="Arial" w:cs="Arial" w:eastAsia="Arial" w:hAnsi="Arial"/>
          <w:sz w:val="17"/>
          <w:szCs w:val="17"/>
          <w:color w:val="auto"/>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89" w:lineRule="exact"/>
        <w:rPr>
          <w:sz w:val="20"/>
          <w:szCs w:val="20"/>
          <w:color w:val="auto"/>
        </w:rPr>
      </w:pPr>
    </w:p>
    <w:p>
      <w:pPr>
        <w:ind w:left="280" w:right="300"/>
        <w:spacing w:after="0" w:line="253" w:lineRule="auto"/>
        <w:rPr>
          <w:sz w:val="20"/>
          <w:szCs w:val="20"/>
          <w:color w:val="auto"/>
        </w:rPr>
      </w:pPr>
      <w:r>
        <w:rPr>
          <w:rFonts w:ascii="Arial" w:cs="Arial" w:eastAsia="Arial" w:hAnsi="Arial"/>
          <w:sz w:val="17"/>
          <w:szCs w:val="17"/>
          <w:color w:val="auto"/>
        </w:rPr>
        <w:t>As permitted by the DGCL, the Registrant’s restated certificate of incorporation to be effective in connection with the completion of this offering contains provisions that eliminate the personal liability of its directors for monetary damages for any breach of fiduciary duties as a director, except liability for the following:</w:t>
      </w:r>
    </w:p>
    <w:p>
      <w:pPr>
        <w:spacing w:after="0" w:line="102" w:lineRule="exact"/>
        <w:rPr>
          <w:sz w:val="20"/>
          <w:szCs w:val="20"/>
          <w:color w:val="auto"/>
        </w:rPr>
      </w:pPr>
    </w:p>
    <w:p>
      <w:pPr>
        <w:ind w:left="480" w:hanging="207"/>
        <w:spacing w:after="0"/>
        <w:tabs>
          <w:tab w:leader="none" w:pos="4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Registrant or its stockholders;</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law;</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under Section 174 of the DGCL (regarding unlawful dividends and stock purchases); or</w:t>
      </w:r>
    </w:p>
    <w:p>
      <w:pPr>
        <w:spacing w:after="0" w:line="124" w:lineRule="exact"/>
        <w:rPr>
          <w:rFonts w:ascii="Arial" w:cs="Arial" w:eastAsia="Arial" w:hAnsi="Arial"/>
          <w:sz w:val="17"/>
          <w:szCs w:val="17"/>
          <w:color w:val="auto"/>
        </w:rPr>
      </w:pPr>
    </w:p>
    <w:p>
      <w:pPr>
        <w:ind w:left="480" w:hanging="207"/>
        <w:spacing w:after="0"/>
        <w:tabs>
          <w:tab w:leader="none" w:pos="4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permitted by the DGCL, the Registrant’s restated bylaws to be effective in connection with the completion of this offering, provide that:</w:t>
      </w:r>
    </w:p>
    <w:p>
      <w:pPr>
        <w:spacing w:after="0" w:line="125" w:lineRule="exact"/>
        <w:rPr>
          <w:sz w:val="20"/>
          <w:szCs w:val="20"/>
          <w:color w:val="auto"/>
        </w:rPr>
      </w:pPr>
    </w:p>
    <w:p>
      <w:pPr>
        <w:ind w:left="480" w:right="380" w:hanging="207"/>
        <w:spacing w:after="0" w:line="262" w:lineRule="auto"/>
        <w:tabs>
          <w:tab w:leader="none" w:pos="4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 is required to indemnify its directors and executive officers to the fullest extent permitted by the DGCL, subject to limited exceptions;</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 may indemnify its other employees and agents as set forth in the DGCL;</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160"/>
          </w:cols>
          <w:pgMar w:left="240" w:top="455"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480" w:right="60" w:hanging="207"/>
        <w:spacing w:after="0" w:line="262" w:lineRule="auto"/>
        <w:tabs>
          <w:tab w:leader="none" w:pos="4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 is required to advance expenses, as incurred, to its directors and executive officers in connection with a legal proceeding to the fullest extent permitted by the DGCL, subject to limited exceptions; and</w:t>
      </w:r>
    </w:p>
    <w:p>
      <w:pPr>
        <w:spacing w:after="0" w:line="93" w:lineRule="exact"/>
        <w:rPr>
          <w:rFonts w:ascii="Arial" w:cs="Arial" w:eastAsia="Arial" w:hAnsi="Arial"/>
          <w:sz w:val="17"/>
          <w:szCs w:val="17"/>
          <w:color w:val="auto"/>
        </w:rPr>
      </w:pPr>
    </w:p>
    <w:p>
      <w:pPr>
        <w:ind w:left="480" w:hanging="207"/>
        <w:spacing w:after="0"/>
        <w:tabs>
          <w:tab w:leader="none" w:pos="4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rights conferred in the restated bylaws are not exclusive.</w:t>
      </w:r>
    </w:p>
    <w:p>
      <w:pPr>
        <w:spacing w:after="0" w:line="111" w:lineRule="exact"/>
        <w:rPr>
          <w:sz w:val="20"/>
          <w:szCs w:val="20"/>
          <w:color w:val="auto"/>
        </w:rPr>
      </w:pPr>
    </w:p>
    <w:p>
      <w:pPr>
        <w:ind w:left="280" w:right="100"/>
        <w:spacing w:after="0" w:line="247" w:lineRule="auto"/>
        <w:rPr>
          <w:sz w:val="20"/>
          <w:szCs w:val="20"/>
          <w:color w:val="auto"/>
        </w:rPr>
      </w:pPr>
      <w:r>
        <w:rPr>
          <w:rFonts w:ascii="Arial" w:cs="Arial" w:eastAsia="Arial" w:hAnsi="Arial"/>
          <w:sz w:val="17"/>
          <w:szCs w:val="17"/>
          <w:color w:val="auto"/>
        </w:rPr>
        <w:t>Prior to the completion of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Registrant has directors’ and officers’ liability insurance for securities matters.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Item 15. Recent sales of unregistered securities.</w:t>
      </w:r>
    </w:p>
    <w:p>
      <w:pPr>
        <w:spacing w:after="0" w:line="141" w:lineRule="exact"/>
        <w:rPr>
          <w:sz w:val="20"/>
          <w:szCs w:val="20"/>
          <w:color w:val="auto"/>
        </w:rPr>
      </w:pPr>
    </w:p>
    <w:p>
      <w:pPr>
        <w:ind w:left="280" w:right="60"/>
        <w:spacing w:after="0" w:line="262" w:lineRule="auto"/>
        <w:rPr>
          <w:sz w:val="20"/>
          <w:szCs w:val="20"/>
          <w:color w:val="auto"/>
        </w:rPr>
      </w:pPr>
      <w:r>
        <w:rPr>
          <w:rFonts w:ascii="Arial" w:cs="Arial" w:eastAsia="Arial" w:hAnsi="Arial"/>
          <w:sz w:val="17"/>
          <w:szCs w:val="17"/>
          <w:color w:val="auto"/>
        </w:rPr>
        <w:t>The following lists set forth information regarding all securities sold or granted by the Registrant from June 5, 2016 through June 5, 2019 that were not registered under the Securities Act, and the consideration, if any, received by the Registrant for such securities: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(a) Stock Option Grants</w:t>
      </w:r>
    </w:p>
    <w:p>
      <w:pPr>
        <w:spacing w:after="0" w:line="131" w:lineRule="exact"/>
        <w:rPr>
          <w:sz w:val="20"/>
          <w:szCs w:val="20"/>
          <w:color w:val="auto"/>
        </w:rPr>
      </w:pPr>
    </w:p>
    <w:p>
      <w:pPr>
        <w:jc w:val="both"/>
        <w:ind w:left="280" w:right="320"/>
        <w:spacing w:after="0" w:line="253" w:lineRule="auto"/>
        <w:rPr>
          <w:sz w:val="20"/>
          <w:szCs w:val="20"/>
          <w:color w:val="auto"/>
        </w:rPr>
      </w:pPr>
      <w:r>
        <w:rPr>
          <w:rFonts w:ascii="Arial" w:cs="Arial" w:eastAsia="Arial" w:hAnsi="Arial"/>
          <w:sz w:val="17"/>
          <w:szCs w:val="17"/>
          <w:color w:val="auto"/>
        </w:rPr>
        <w:t>From June 5, 2016 through June 5, 2019, the Registrant has granted to its employees, directors, consultants and other service providers options to purchase an aggregate of 4,020,772 shares of common stock under its 2014 Equity Incentive Plan, or 2014 Plan, with exercise prices ranging from $0.40 to $15.00 per share.</w:t>
      </w:r>
    </w:p>
    <w:p>
      <w:pPr>
        <w:spacing w:after="0" w:line="89" w:lineRule="exact"/>
        <w:rPr>
          <w:sz w:val="20"/>
          <w:szCs w:val="20"/>
          <w:color w:val="auto"/>
        </w:rPr>
      </w:pPr>
    </w:p>
    <w:p>
      <w:pPr>
        <w:ind w:left="280"/>
        <w:spacing w:after="0" w:line="253" w:lineRule="auto"/>
        <w:rPr>
          <w:sz w:val="20"/>
          <w:szCs w:val="20"/>
          <w:color w:val="auto"/>
        </w:rPr>
      </w:pPr>
      <w:r>
        <w:rPr>
          <w:rFonts w:ascii="Arial" w:cs="Arial" w:eastAsia="Arial" w:hAnsi="Arial"/>
          <w:sz w:val="17"/>
          <w:szCs w:val="17"/>
          <w:color w:val="auto"/>
        </w:rPr>
        <w:t>From June 5, 2016 through June 5, 2019, employees, directors, consultants and other service providers of the Registrant exercised options granted under the 2014 Plan for an aggregate of 244,726 shares of common stock with exercise prices ranging from $0.40 to $2.19 per share for an aggregate exercise price of $118,184.</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(b) Preferred Stock</w:t>
      </w:r>
    </w:p>
    <w:p>
      <w:pPr>
        <w:spacing w:after="0" w:line="131" w:lineRule="exact"/>
        <w:rPr>
          <w:sz w:val="20"/>
          <w:szCs w:val="20"/>
          <w:color w:val="auto"/>
        </w:rPr>
      </w:pPr>
    </w:p>
    <w:p>
      <w:pPr>
        <w:ind w:left="280" w:right="220"/>
        <w:spacing w:after="0" w:line="249" w:lineRule="auto"/>
        <w:rPr>
          <w:sz w:val="20"/>
          <w:szCs w:val="20"/>
          <w:color w:val="auto"/>
        </w:rPr>
      </w:pPr>
      <w:r>
        <w:rPr>
          <w:rFonts w:ascii="Arial" w:cs="Arial" w:eastAsia="Arial" w:hAnsi="Arial"/>
          <w:sz w:val="17"/>
          <w:szCs w:val="17"/>
          <w:color w:val="auto"/>
        </w:rPr>
        <w:t>In July 2016, the Registrant issued and sold an aggregate of 1,260,802 additional shares of Series A convertible preferred stock, at a purchase price of $2.38 per share, for an aggregate purchase price of approximately $3 million. In February 2017, we sold an aggregate of 1,260,802 additional shares of our Series A convertible preferred stock, at a purchase price of $2.38 per share, for an aggregate purchase price of approximately $3 million. Upon the completion of this offering, these shares of Series A convertible preferred stock will convert into 2,521,604 shares of common stock.</w:t>
      </w:r>
    </w:p>
    <w:p>
      <w:pPr>
        <w:spacing w:after="0" w:line="93" w:lineRule="exact"/>
        <w:rPr>
          <w:sz w:val="20"/>
          <w:szCs w:val="20"/>
          <w:color w:val="auto"/>
        </w:rPr>
      </w:pPr>
    </w:p>
    <w:p>
      <w:pPr>
        <w:ind w:left="280" w:right="120"/>
        <w:spacing w:after="0" w:line="253" w:lineRule="auto"/>
        <w:rPr>
          <w:sz w:val="20"/>
          <w:szCs w:val="20"/>
          <w:color w:val="auto"/>
        </w:rPr>
      </w:pPr>
      <w:r>
        <w:rPr>
          <w:rFonts w:ascii="Arial" w:cs="Arial" w:eastAsia="Arial" w:hAnsi="Arial"/>
          <w:sz w:val="17"/>
          <w:szCs w:val="17"/>
          <w:color w:val="auto"/>
        </w:rPr>
        <w:t>Between January and September 2018, the Registrant issued and sold to an investor an aggregate of 7,617,746 shares of Series A-2 convertible preferred stock, at a purchase price of $3.81 per share, for an aggregate purchase price of $29,000,000. Upon the completion of this offering, these shares of Series A-2 convertible preferred stock will convert into 7,617,746 shares of common stock.</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100"/>
          </w:cols>
          <w:pgMar w:left="240" w:top="455" w:right="5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280" w:right="340"/>
        <w:spacing w:after="0" w:line="253" w:lineRule="auto"/>
        <w:rPr>
          <w:sz w:val="20"/>
          <w:szCs w:val="20"/>
          <w:color w:val="auto"/>
        </w:rPr>
      </w:pPr>
      <w:r>
        <w:rPr>
          <w:rFonts w:ascii="Arial" w:cs="Arial" w:eastAsia="Arial" w:hAnsi="Arial"/>
          <w:sz w:val="17"/>
          <w:szCs w:val="17"/>
          <w:color w:val="auto"/>
        </w:rPr>
        <w:t>On October 22, 2018, the Registrant issued and sold to 14 investors an aggregate of 10,079,671 shares of Series B convertible preferred stock, at a purchase price of $8.93 per share, for an aggregate purchase price of $89,999,994. Upon the completion of this offering, these shares of Series B convertible preferred stock will convert into 10,079,671 shares of common stock.</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(c) Simple Agreement for Future Equity</w:t>
      </w:r>
    </w:p>
    <w:p>
      <w:pPr>
        <w:spacing w:after="0" w:line="131"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In October 2017, we issued rights to purchase certain shares of our capital stock at a purchase price of $3,000,000, or Purchase Amount, pursuant to a Simple Agreement for Future Equity, or SAFE. The entire Purchase Amount and all other obligations under the SAFE converted into 788,042 shares of our Series A-2 convertible preferred stock in January 2018.</w:t>
      </w:r>
    </w:p>
    <w:p>
      <w:pPr>
        <w:spacing w:after="0" w:line="89" w:lineRule="exact"/>
        <w:rPr>
          <w:sz w:val="20"/>
          <w:szCs w:val="20"/>
          <w:color w:val="auto"/>
        </w:rPr>
      </w:pPr>
    </w:p>
    <w:p>
      <w:pPr>
        <w:ind w:left="280"/>
        <w:spacing w:after="0" w:line="248" w:lineRule="auto"/>
        <w:rPr>
          <w:sz w:val="20"/>
          <w:szCs w:val="20"/>
          <w:color w:val="auto"/>
        </w:rPr>
      </w:pPr>
      <w:r>
        <w:rPr>
          <w:rFonts w:ascii="Arial" w:cs="Arial" w:eastAsia="Arial" w:hAnsi="Arial"/>
          <w:sz w:val="17"/>
          <w:szCs w:val="17"/>
          <w:color w:val="auto"/>
        </w:rPr>
        <w:t>Unless otherwise stated, the sales of the above securities were deemed to be exempt from registration under the Securities Act in reliance 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stock certificates issued in each of the foregoing transactions.</w:t>
      </w:r>
    </w:p>
    <w:p>
      <w:pPr>
        <w:spacing w:after="0" w:line="95" w:lineRule="exact"/>
        <w:rPr>
          <w:sz w:val="20"/>
          <w:szCs w:val="20"/>
          <w:color w:val="auto"/>
        </w:rPr>
      </w:pPr>
    </w:p>
    <w:p>
      <w:pPr>
        <w:ind w:left="280" w:right="20"/>
        <w:spacing w:after="0" w:line="249"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140"/>
          </w:cols>
          <w:pgMar w:left="240" w:top="455"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Item 16. Exhibits and financial statement schedules.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76835</wp:posOffset>
            </wp:positionV>
            <wp:extent cx="690943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00"/>
        </w:trPr>
        <w:tc>
          <w:tcPr>
            <w:tcW w:w="160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2"/>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Description of document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20"/>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1.1</w:t>
            </w:r>
          </w:p>
        </w:tc>
        <w:tc>
          <w:tcPr>
            <w:tcW w:w="256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rPr>
              <w:t>Form of Underwriting Agreement.</w:t>
            </w:r>
          </w:p>
        </w:tc>
        <w:tc>
          <w:tcPr>
            <w:tcW w:w="6720" w:type="dxa"/>
            <w:vAlign w:val="bottom"/>
            <w:gridSpan w:val="22"/>
          </w:tcPr>
          <w:p>
            <w:pPr>
              <w:spacing w:after="0"/>
              <w:rPr>
                <w:sz w:val="19"/>
                <w:szCs w:val="19"/>
                <w:color w:val="auto"/>
              </w:rPr>
            </w:pPr>
          </w:p>
        </w:tc>
      </w:tr>
      <w:tr>
        <w:trPr>
          <w:trHeight w:val="247"/>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3.1</w:t>
            </w:r>
          </w:p>
        </w:tc>
        <w:tc>
          <w:tcPr>
            <w:tcW w:w="722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rPr>
              <w:t>Amended and Restated Certificate of Incorporation, as amended to date, as currently in effect.</w:t>
            </w:r>
          </w:p>
        </w:tc>
        <w:tc>
          <w:tcPr>
            <w:tcW w:w="2060" w:type="dxa"/>
            <w:vAlign w:val="bottom"/>
            <w:gridSpan w:val="12"/>
          </w:tcPr>
          <w:p>
            <w:pPr>
              <w:spacing w:after="0"/>
              <w:rPr>
                <w:sz w:val="21"/>
                <w:szCs w:val="2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3.2*</w:t>
            </w:r>
          </w:p>
        </w:tc>
        <w:tc>
          <w:tcPr>
            <w:tcW w:w="9280" w:type="dxa"/>
            <w:vAlign w:val="bottom"/>
            <w:gridSpan w:val="27"/>
          </w:tcPr>
          <w:p>
            <w:pPr>
              <w:spacing w:after="0"/>
              <w:rPr>
                <w:rFonts w:ascii="Arial" w:cs="Arial" w:eastAsia="Arial" w:hAnsi="Arial"/>
                <w:sz w:val="17"/>
                <w:szCs w:val="17"/>
                <w:color w:val="0000EE"/>
              </w:rPr>
            </w:pPr>
            <w:hyperlink r:id="rId358">
              <w:r>
                <w:rPr>
                  <w:rFonts w:ascii="Arial" w:cs="Arial" w:eastAsia="Arial" w:hAnsi="Arial"/>
                  <w:sz w:val="17"/>
                  <w:szCs w:val="17"/>
                  <w:color w:val="0000EE"/>
                </w:rPr>
                <w:t>Form of Restated Certificate of Incorporation to be effective upon the completion of this offering.</w:t>
              </w:r>
            </w:hyperlink>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3.3*</w:t>
            </w:r>
          </w:p>
        </w:tc>
        <w:tc>
          <w:tcPr>
            <w:tcW w:w="5740" w:type="dxa"/>
            <w:vAlign w:val="bottom"/>
            <w:tcBorders>
              <w:top w:val="single" w:sz="8" w:color="0000EE"/>
              <w:bottom w:val="single" w:sz="8" w:color="0000EE"/>
            </w:tcBorders>
            <w:gridSpan w:val="12"/>
          </w:tcPr>
          <w:p>
            <w:pPr>
              <w:spacing w:after="0"/>
              <w:rPr>
                <w:rFonts w:ascii="Arial" w:cs="Arial" w:eastAsia="Arial" w:hAnsi="Arial"/>
                <w:sz w:val="17"/>
                <w:szCs w:val="17"/>
                <w:color w:val="0000EE"/>
              </w:rPr>
            </w:pPr>
            <w:hyperlink r:id="rId359">
              <w:r>
                <w:rPr>
                  <w:rFonts w:ascii="Arial" w:cs="Arial" w:eastAsia="Arial" w:hAnsi="Arial"/>
                  <w:sz w:val="17"/>
                  <w:szCs w:val="17"/>
                  <w:color w:val="0000EE"/>
                </w:rPr>
                <w:t>Amended and Restated Bylaws, as amended to date, as currently in effect.</w:t>
              </w:r>
            </w:hyperlink>
          </w:p>
        </w:tc>
        <w:tc>
          <w:tcPr>
            <w:tcW w:w="1580" w:type="dxa"/>
            <w:vAlign w:val="bottom"/>
            <w:tcBorders>
              <w:top w:val="single" w:sz="8" w:color="0000EE"/>
            </w:tcBorders>
            <w:gridSpan w:val="4"/>
          </w:tcPr>
          <w:p>
            <w:pPr>
              <w:spacing w:after="0"/>
              <w:rPr>
                <w:sz w:val="21"/>
                <w:szCs w:val="21"/>
                <w:color w:val="auto"/>
              </w:rPr>
            </w:pPr>
          </w:p>
        </w:tc>
        <w:tc>
          <w:tcPr>
            <w:tcW w:w="1960" w:type="dxa"/>
            <w:vAlign w:val="bottom"/>
            <w:gridSpan w:val="11"/>
          </w:tcPr>
          <w:p>
            <w:pPr>
              <w:spacing w:after="0"/>
              <w:rPr>
                <w:sz w:val="21"/>
                <w:szCs w:val="2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3.4*</w:t>
            </w:r>
          </w:p>
        </w:tc>
        <w:tc>
          <w:tcPr>
            <w:tcW w:w="9280" w:type="dxa"/>
            <w:vAlign w:val="bottom"/>
            <w:gridSpan w:val="27"/>
          </w:tcPr>
          <w:p>
            <w:pPr>
              <w:spacing w:after="0"/>
              <w:rPr>
                <w:rFonts w:ascii="Arial" w:cs="Arial" w:eastAsia="Arial" w:hAnsi="Arial"/>
                <w:sz w:val="17"/>
                <w:szCs w:val="17"/>
                <w:color w:val="0000EE"/>
              </w:rPr>
            </w:pPr>
            <w:hyperlink r:id="rId360">
              <w:r>
                <w:rPr>
                  <w:rFonts w:ascii="Arial" w:cs="Arial" w:eastAsia="Arial" w:hAnsi="Arial"/>
                  <w:sz w:val="17"/>
                  <w:szCs w:val="17"/>
                  <w:color w:val="0000EE"/>
                </w:rPr>
                <w:t>Form of Restated Bylaws to be effective upon the completion of this offering.</w:t>
              </w:r>
            </w:hyperlink>
          </w:p>
        </w:tc>
      </w:tr>
      <w:tr>
        <w:trPr>
          <w:trHeight w:val="247"/>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4.1</w:t>
            </w:r>
          </w:p>
        </w:tc>
        <w:tc>
          <w:tcPr>
            <w:tcW w:w="5840" w:type="dxa"/>
            <w:vAlign w:val="bottom"/>
            <w:tcBorders>
              <w:top w:val="single" w:sz="8" w:color="0000EE"/>
            </w:tcBorders>
            <w:gridSpan w:val="13"/>
          </w:tcPr>
          <w:p>
            <w:pPr>
              <w:spacing w:after="0"/>
              <w:rPr>
                <w:sz w:val="20"/>
                <w:szCs w:val="20"/>
                <w:color w:val="auto"/>
              </w:rPr>
            </w:pPr>
            <w:r>
              <w:rPr>
                <w:rFonts w:ascii="Arial" w:cs="Arial" w:eastAsia="Arial" w:hAnsi="Arial"/>
                <w:sz w:val="17"/>
                <w:szCs w:val="17"/>
                <w:color w:val="0000EE"/>
              </w:rPr>
              <w:t>Form of Common Stock Certificate.</w:t>
            </w:r>
          </w:p>
        </w:tc>
        <w:tc>
          <w:tcPr>
            <w:tcW w:w="3440" w:type="dxa"/>
            <w:vAlign w:val="bottom"/>
            <w:gridSpan w:val="14"/>
          </w:tcPr>
          <w:p>
            <w:pPr>
              <w:spacing w:after="0"/>
              <w:rPr>
                <w:sz w:val="21"/>
                <w:szCs w:val="21"/>
                <w:color w:val="auto"/>
              </w:rPr>
            </w:pPr>
          </w:p>
        </w:tc>
      </w:tr>
      <w:tr>
        <w:trPr>
          <w:trHeight w:val="20"/>
        </w:trPr>
        <w:tc>
          <w:tcPr>
            <w:tcW w:w="16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4.2*</w:t>
            </w:r>
          </w:p>
        </w:tc>
        <w:tc>
          <w:tcPr>
            <w:tcW w:w="9280" w:type="dxa"/>
            <w:vAlign w:val="bottom"/>
            <w:gridSpan w:val="27"/>
          </w:tcPr>
          <w:p>
            <w:pPr>
              <w:spacing w:after="0"/>
              <w:rPr>
                <w:rFonts w:ascii="Arial" w:cs="Arial" w:eastAsia="Arial" w:hAnsi="Arial"/>
                <w:sz w:val="17"/>
                <w:szCs w:val="17"/>
                <w:color w:val="0000EE"/>
              </w:rPr>
            </w:pPr>
            <w:hyperlink r:id="rId361">
              <w:r>
                <w:rPr>
                  <w:rFonts w:ascii="Arial" w:cs="Arial" w:eastAsia="Arial" w:hAnsi="Arial"/>
                  <w:sz w:val="17"/>
                  <w:szCs w:val="17"/>
                  <w:color w:val="0000EE"/>
                </w:rPr>
                <w:t>Amended and Restated Investors’ Rights Agreement, dated October 22, 2018, by and among the Registrant and certain</w:t>
              </w:r>
            </w:hyperlink>
          </w:p>
        </w:tc>
      </w:tr>
      <w:tr>
        <w:trPr>
          <w:trHeight w:val="180"/>
        </w:trPr>
        <w:tc>
          <w:tcPr>
            <w:tcW w:w="1600" w:type="dxa"/>
            <w:vAlign w:val="bottom"/>
          </w:tcPr>
          <w:p>
            <w:pPr>
              <w:spacing w:after="0"/>
              <w:rPr>
                <w:sz w:val="15"/>
                <w:szCs w:val="15"/>
                <w:color w:val="auto"/>
              </w:rPr>
            </w:pPr>
          </w:p>
        </w:tc>
        <w:tc>
          <w:tcPr>
            <w:tcW w:w="2460" w:type="dxa"/>
            <w:vAlign w:val="bottom"/>
            <w:tcBorders>
              <w:top w:val="single" w:sz="8" w:color="0000EE"/>
            </w:tcBorders>
            <w:gridSpan w:val="3"/>
          </w:tcPr>
          <w:p>
            <w:pPr>
              <w:spacing w:after="0" w:line="180" w:lineRule="exact"/>
              <w:rPr>
                <w:rFonts w:ascii="Arial" w:cs="Arial" w:eastAsia="Arial" w:hAnsi="Arial"/>
                <w:sz w:val="17"/>
                <w:szCs w:val="17"/>
                <w:color w:val="0000EE"/>
              </w:rPr>
            </w:pPr>
            <w:hyperlink r:id="rId361">
              <w:r>
                <w:rPr>
                  <w:rFonts w:ascii="Arial" w:cs="Arial" w:eastAsia="Arial" w:hAnsi="Arial"/>
                  <w:sz w:val="17"/>
                  <w:szCs w:val="17"/>
                  <w:color w:val="0000EE"/>
                </w:rPr>
                <w:t>of its stockholders.</w:t>
              </w:r>
            </w:hyperlink>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7"/>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5.1</w:t>
            </w:r>
          </w:p>
        </w:tc>
        <w:tc>
          <w:tcPr>
            <w:tcW w:w="246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rPr>
              <w:t>Opinion of Fenwick &amp; West LLP.</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7"/>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10.1</w:t>
            </w:r>
          </w:p>
        </w:tc>
        <w:tc>
          <w:tcPr>
            <w:tcW w:w="476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rPr>
              <w:t>Form of Indemnification Agreement with directors and officers.</w:t>
            </w:r>
          </w:p>
        </w:tc>
        <w:tc>
          <w:tcPr>
            <w:tcW w:w="4520" w:type="dxa"/>
            <w:vAlign w:val="bottom"/>
            <w:gridSpan w:val="18"/>
          </w:tcPr>
          <w:p>
            <w:pPr>
              <w:spacing w:after="0"/>
              <w:rPr>
                <w:sz w:val="21"/>
                <w:szCs w:val="2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10.2*</w:t>
            </w:r>
          </w:p>
        </w:tc>
        <w:tc>
          <w:tcPr>
            <w:tcW w:w="9280" w:type="dxa"/>
            <w:vAlign w:val="bottom"/>
            <w:gridSpan w:val="27"/>
          </w:tcPr>
          <w:p>
            <w:pPr>
              <w:spacing w:after="0"/>
              <w:rPr>
                <w:rFonts w:ascii="Arial" w:cs="Arial" w:eastAsia="Arial" w:hAnsi="Arial"/>
                <w:sz w:val="17"/>
                <w:szCs w:val="17"/>
                <w:color w:val="0000EE"/>
              </w:rPr>
            </w:pPr>
            <w:hyperlink r:id="rId362">
              <w:r>
                <w:rPr>
                  <w:rFonts w:ascii="Arial" w:cs="Arial" w:eastAsia="Arial" w:hAnsi="Arial"/>
                  <w:sz w:val="17"/>
                  <w:szCs w:val="17"/>
                  <w:color w:val="0000EE"/>
                </w:rPr>
                <w:t>2014 Equity Incentive Plan, as amended, and forms of award agreements.</w:t>
              </w:r>
            </w:hyperlink>
          </w:p>
        </w:tc>
      </w:tr>
      <w:tr>
        <w:trPr>
          <w:trHeight w:val="20"/>
        </w:trPr>
        <w:tc>
          <w:tcPr>
            <w:tcW w:w="16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47"/>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10.4</w:t>
            </w:r>
          </w:p>
        </w:tc>
        <w:tc>
          <w:tcPr>
            <w:tcW w:w="8980" w:type="dxa"/>
            <w:vAlign w:val="bottom"/>
            <w:tcBorders>
              <w:bottom w:val="single" w:sz="8" w:color="0000EE"/>
            </w:tcBorders>
            <w:gridSpan w:val="24"/>
          </w:tcPr>
          <w:p>
            <w:pPr>
              <w:spacing w:after="0"/>
              <w:rPr>
                <w:sz w:val="20"/>
                <w:szCs w:val="20"/>
                <w:color w:val="auto"/>
              </w:rPr>
            </w:pPr>
            <w:r>
              <w:rPr>
                <w:rFonts w:ascii="Arial" w:cs="Arial" w:eastAsia="Arial" w:hAnsi="Arial"/>
                <w:sz w:val="17"/>
                <w:szCs w:val="17"/>
                <w:color w:val="0000EE"/>
              </w:rPr>
              <w:t>2019 Equity Incentive Plan, to become effective on the date immediately prior to the date the registration statement is</w:t>
            </w:r>
          </w:p>
        </w:tc>
        <w:tc>
          <w:tcPr>
            <w:tcW w:w="300" w:type="dxa"/>
            <w:vAlign w:val="bottom"/>
            <w:gridSpan w:val="3"/>
          </w:tcPr>
          <w:p>
            <w:pPr>
              <w:spacing w:after="0"/>
              <w:rPr>
                <w:sz w:val="21"/>
                <w:szCs w:val="21"/>
                <w:color w:val="auto"/>
              </w:rPr>
            </w:pPr>
          </w:p>
        </w:tc>
      </w:tr>
      <w:tr>
        <w:trPr>
          <w:trHeight w:val="180"/>
        </w:trPr>
        <w:tc>
          <w:tcPr>
            <w:tcW w:w="1600" w:type="dxa"/>
            <w:vAlign w:val="bottom"/>
          </w:tcPr>
          <w:p>
            <w:pPr>
              <w:spacing w:after="0"/>
              <w:rPr>
                <w:sz w:val="15"/>
                <w:szCs w:val="15"/>
                <w:color w:val="auto"/>
              </w:rPr>
            </w:pPr>
          </w:p>
        </w:tc>
        <w:tc>
          <w:tcPr>
            <w:tcW w:w="9280" w:type="dxa"/>
            <w:vAlign w:val="bottom"/>
            <w:gridSpan w:val="27"/>
          </w:tcPr>
          <w:p>
            <w:pPr>
              <w:spacing w:after="0" w:line="180" w:lineRule="exact"/>
              <w:rPr>
                <w:sz w:val="20"/>
                <w:szCs w:val="20"/>
                <w:color w:val="auto"/>
              </w:rPr>
            </w:pPr>
            <w:r>
              <w:rPr>
                <w:rFonts w:ascii="Arial" w:cs="Arial" w:eastAsia="Arial" w:hAnsi="Arial"/>
                <w:sz w:val="17"/>
                <w:szCs w:val="17"/>
                <w:color w:val="0000EE"/>
              </w:rPr>
              <w:t>declared effective, and forms of award agreements.</w:t>
            </w:r>
          </w:p>
        </w:tc>
      </w:tr>
      <w:tr>
        <w:trPr>
          <w:trHeight w:val="20"/>
        </w:trPr>
        <w:tc>
          <w:tcPr>
            <w:tcW w:w="16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47"/>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10.5</w:t>
            </w:r>
          </w:p>
        </w:tc>
        <w:tc>
          <w:tcPr>
            <w:tcW w:w="9000" w:type="dxa"/>
            <w:vAlign w:val="bottom"/>
            <w:tcBorders>
              <w:bottom w:val="single" w:sz="8" w:color="0000EE"/>
            </w:tcBorders>
            <w:gridSpan w:val="25"/>
          </w:tcPr>
          <w:p>
            <w:pPr>
              <w:spacing w:after="0"/>
              <w:rPr>
                <w:sz w:val="20"/>
                <w:szCs w:val="20"/>
                <w:color w:val="auto"/>
              </w:rPr>
            </w:pPr>
            <w:r>
              <w:rPr>
                <w:rFonts w:ascii="Arial" w:cs="Arial" w:eastAsia="Arial" w:hAnsi="Arial"/>
                <w:sz w:val="17"/>
                <w:szCs w:val="17"/>
                <w:color w:val="0000EE"/>
              </w:rPr>
              <w:t>2019 Employee Stock Purchase Plan, to become effective on the date the registration statement is declared effective,</w:t>
            </w:r>
          </w:p>
        </w:tc>
        <w:tc>
          <w:tcPr>
            <w:tcW w:w="280" w:type="dxa"/>
            <w:vAlign w:val="bottom"/>
            <w:gridSpan w:val="2"/>
          </w:tcPr>
          <w:p>
            <w:pPr>
              <w:spacing w:after="0"/>
              <w:rPr>
                <w:sz w:val="21"/>
                <w:szCs w:val="21"/>
                <w:color w:val="auto"/>
              </w:rPr>
            </w:pPr>
          </w:p>
        </w:tc>
      </w:tr>
      <w:tr>
        <w:trPr>
          <w:trHeight w:val="180"/>
        </w:trPr>
        <w:tc>
          <w:tcPr>
            <w:tcW w:w="1600" w:type="dxa"/>
            <w:vAlign w:val="bottom"/>
          </w:tcPr>
          <w:p>
            <w:pPr>
              <w:spacing w:after="0"/>
              <w:rPr>
                <w:sz w:val="15"/>
                <w:szCs w:val="15"/>
                <w:color w:val="auto"/>
              </w:rPr>
            </w:pPr>
          </w:p>
        </w:tc>
        <w:tc>
          <w:tcPr>
            <w:tcW w:w="9280" w:type="dxa"/>
            <w:vAlign w:val="bottom"/>
            <w:gridSpan w:val="27"/>
          </w:tcPr>
          <w:p>
            <w:pPr>
              <w:spacing w:after="0" w:line="180" w:lineRule="exact"/>
              <w:rPr>
                <w:sz w:val="20"/>
                <w:szCs w:val="20"/>
                <w:color w:val="auto"/>
              </w:rPr>
            </w:pPr>
            <w:r>
              <w:rPr>
                <w:rFonts w:ascii="Arial" w:cs="Arial" w:eastAsia="Arial" w:hAnsi="Arial"/>
                <w:sz w:val="17"/>
                <w:szCs w:val="17"/>
                <w:color w:val="0000EE"/>
              </w:rPr>
              <w:t>and forms of award agreements.</w:t>
            </w:r>
          </w:p>
        </w:tc>
      </w:tr>
      <w:tr>
        <w:trPr>
          <w:trHeight w:val="20"/>
        </w:trPr>
        <w:tc>
          <w:tcPr>
            <w:tcW w:w="16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10.6*</w:t>
            </w:r>
          </w:p>
        </w:tc>
        <w:tc>
          <w:tcPr>
            <w:tcW w:w="812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color w:val="0000EE"/>
              </w:rPr>
              <w:t>Lease Agreement, dated August 20, 2018, by and between Homology Medicines, Inc., and the Registrant.</w:t>
            </w:r>
          </w:p>
        </w:tc>
        <w:tc>
          <w:tcPr>
            <w:tcW w:w="1160" w:type="dxa"/>
            <w:vAlign w:val="bottom"/>
            <w:gridSpan w:val="8"/>
          </w:tcPr>
          <w:p>
            <w:pPr>
              <w:spacing w:after="0"/>
              <w:rPr>
                <w:sz w:val="21"/>
                <w:szCs w:val="2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10.7*</w:t>
            </w:r>
          </w:p>
        </w:tc>
        <w:tc>
          <w:tcPr>
            <w:tcW w:w="8900" w:type="dxa"/>
            <w:vAlign w:val="bottom"/>
            <w:tcBorders>
              <w:bottom w:val="single" w:sz="8" w:color="0000EE"/>
            </w:tcBorders>
            <w:gridSpan w:val="21"/>
          </w:tcPr>
          <w:p>
            <w:pPr>
              <w:spacing w:after="0"/>
              <w:rPr>
                <w:rFonts w:ascii="Arial" w:cs="Arial" w:eastAsia="Arial" w:hAnsi="Arial"/>
                <w:sz w:val="17"/>
                <w:szCs w:val="17"/>
                <w:color w:val="0000EE"/>
              </w:rPr>
            </w:pPr>
            <w:hyperlink r:id="rId363">
              <w:r>
                <w:rPr>
                  <w:rFonts w:ascii="Arial" w:cs="Arial" w:eastAsia="Arial" w:hAnsi="Arial"/>
                  <w:sz w:val="17"/>
                  <w:szCs w:val="17"/>
                  <w:color w:val="0000EE"/>
                </w:rPr>
                <w:t>Lease Agreement dated January 2, 2019, by and between MIT 139 Main Street Leasehold LLC., and the Registrant.</w:t>
              </w:r>
            </w:hyperlink>
          </w:p>
        </w:tc>
        <w:tc>
          <w:tcPr>
            <w:tcW w:w="380" w:type="dxa"/>
            <w:vAlign w:val="bottom"/>
            <w:gridSpan w:val="6"/>
          </w:tcPr>
          <w:p>
            <w:pPr>
              <w:spacing w:after="0"/>
              <w:rPr>
                <w:sz w:val="21"/>
                <w:szCs w:val="21"/>
                <w:color w:val="auto"/>
              </w:rPr>
            </w:pPr>
          </w:p>
        </w:tc>
      </w:tr>
      <w:tr>
        <w:trPr>
          <w:trHeight w:val="247"/>
        </w:trPr>
        <w:tc>
          <w:tcPr>
            <w:tcW w:w="1600" w:type="dxa"/>
            <w:vAlign w:val="bottom"/>
          </w:tcPr>
          <w:p>
            <w:pPr>
              <w:jc w:val="right"/>
              <w:ind w:right="693"/>
              <w:spacing w:after="0"/>
              <w:rPr>
                <w:sz w:val="20"/>
                <w:szCs w:val="20"/>
                <w:color w:val="auto"/>
              </w:rPr>
            </w:pPr>
            <w:r>
              <w:rPr>
                <w:rFonts w:ascii="Arial" w:cs="Arial" w:eastAsia="Arial" w:hAnsi="Arial"/>
                <w:sz w:val="17"/>
                <w:szCs w:val="17"/>
                <w:color w:val="auto"/>
              </w:rPr>
              <w:t>10.8†*</w:t>
            </w:r>
          </w:p>
        </w:tc>
        <w:tc>
          <w:tcPr>
            <w:tcW w:w="2460" w:type="dxa"/>
            <w:vAlign w:val="bottom"/>
            <w:gridSpan w:val="3"/>
          </w:tcPr>
          <w:p>
            <w:pPr>
              <w:spacing w:after="0"/>
              <w:rPr>
                <w:rFonts w:ascii="Arial" w:cs="Arial" w:eastAsia="Arial" w:hAnsi="Arial"/>
                <w:sz w:val="17"/>
                <w:szCs w:val="17"/>
                <w:color w:val="0000EE"/>
              </w:rPr>
            </w:pPr>
            <w:hyperlink r:id="rId364">
              <w:r>
                <w:rPr>
                  <w:rFonts w:ascii="Arial" w:cs="Arial" w:eastAsia="Arial" w:hAnsi="Arial"/>
                  <w:sz w:val="17"/>
                  <w:szCs w:val="17"/>
                  <w:color w:val="0000EE"/>
                </w:rPr>
                <w:t>License Agreement, dated July</w:t>
              </w:r>
            </w:hyperlink>
          </w:p>
        </w:tc>
        <w:tc>
          <w:tcPr>
            <w:tcW w:w="6820" w:type="dxa"/>
            <w:vAlign w:val="bottom"/>
            <w:gridSpan w:val="24"/>
          </w:tcPr>
          <w:p>
            <w:pPr>
              <w:jc w:val="right"/>
              <w:ind w:right="900"/>
              <w:spacing w:after="0"/>
              <w:rPr>
                <w:rFonts w:ascii="Arial" w:cs="Arial" w:eastAsia="Arial" w:hAnsi="Arial"/>
                <w:sz w:val="17"/>
                <w:szCs w:val="17"/>
                <w:color w:val="0000EE"/>
              </w:rPr>
            </w:pPr>
            <w:hyperlink r:id="rId364">
              <w:r>
                <w:rPr>
                  <w:rFonts w:ascii="Arial" w:cs="Arial" w:eastAsia="Arial" w:hAnsi="Arial"/>
                  <w:sz w:val="17"/>
                  <w:szCs w:val="17"/>
                  <w:color w:val="0000EE"/>
                </w:rPr>
                <w:t>31, 2015, by and between Cold Spring Harbor Laboratory and the Registrant.</w:t>
              </w:r>
            </w:hyperlink>
          </w:p>
        </w:tc>
      </w:tr>
      <w:tr>
        <w:trPr>
          <w:trHeight w:val="20"/>
        </w:trPr>
        <w:tc>
          <w:tcPr>
            <w:tcW w:w="16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47"/>
        </w:trPr>
        <w:tc>
          <w:tcPr>
            <w:tcW w:w="1600" w:type="dxa"/>
            <w:vAlign w:val="bottom"/>
          </w:tcPr>
          <w:p>
            <w:pPr>
              <w:jc w:val="right"/>
              <w:ind w:right="693"/>
              <w:spacing w:after="0"/>
              <w:rPr>
                <w:sz w:val="20"/>
                <w:szCs w:val="20"/>
                <w:color w:val="auto"/>
              </w:rPr>
            </w:pPr>
            <w:r>
              <w:rPr>
                <w:rFonts w:ascii="Arial" w:cs="Arial" w:eastAsia="Arial" w:hAnsi="Arial"/>
                <w:sz w:val="17"/>
                <w:szCs w:val="17"/>
                <w:color w:val="auto"/>
              </w:rPr>
              <w:t>10.9†*</w:t>
            </w:r>
          </w:p>
        </w:tc>
        <w:tc>
          <w:tcPr>
            <w:tcW w:w="2460" w:type="dxa"/>
            <w:vAlign w:val="bottom"/>
            <w:gridSpan w:val="3"/>
          </w:tcPr>
          <w:p>
            <w:pPr>
              <w:spacing w:after="0"/>
              <w:rPr>
                <w:rFonts w:ascii="Arial" w:cs="Arial" w:eastAsia="Arial" w:hAnsi="Arial"/>
                <w:sz w:val="17"/>
                <w:szCs w:val="17"/>
                <w:color w:val="0000EE"/>
              </w:rPr>
            </w:pPr>
            <w:hyperlink r:id="rId365">
              <w:r>
                <w:rPr>
                  <w:rFonts w:ascii="Arial" w:cs="Arial" w:eastAsia="Arial" w:hAnsi="Arial"/>
                  <w:sz w:val="17"/>
                  <w:szCs w:val="17"/>
                  <w:color w:val="0000EE"/>
                </w:rPr>
                <w:t>License Agreement, dated April</w:t>
              </w:r>
            </w:hyperlink>
          </w:p>
        </w:tc>
        <w:tc>
          <w:tcPr>
            <w:tcW w:w="20" w:type="dxa"/>
            <w:vAlign w:val="bottom"/>
          </w:tcPr>
          <w:p>
            <w:pPr>
              <w:spacing w:after="0"/>
              <w:rPr>
                <w:sz w:val="21"/>
                <w:szCs w:val="21"/>
                <w:color w:val="auto"/>
              </w:rPr>
            </w:pPr>
          </w:p>
        </w:tc>
        <w:tc>
          <w:tcPr>
            <w:tcW w:w="6800" w:type="dxa"/>
            <w:vAlign w:val="bottom"/>
            <w:gridSpan w:val="23"/>
          </w:tcPr>
          <w:p>
            <w:pPr>
              <w:jc w:val="right"/>
              <w:ind w:right="900"/>
              <w:spacing w:after="0"/>
              <w:rPr>
                <w:rFonts w:ascii="Arial" w:cs="Arial" w:eastAsia="Arial" w:hAnsi="Arial"/>
                <w:sz w:val="17"/>
                <w:szCs w:val="17"/>
                <w:color w:val="0000EE"/>
              </w:rPr>
            </w:pPr>
            <w:hyperlink r:id="rId365">
              <w:r>
                <w:rPr>
                  <w:rFonts w:ascii="Arial" w:cs="Arial" w:eastAsia="Arial" w:hAnsi="Arial"/>
                  <w:sz w:val="17"/>
                  <w:szCs w:val="17"/>
                  <w:color w:val="0000EE"/>
                </w:rPr>
                <w:t>18, 2016, by and between the University of Southampton and the Registrant.</w:t>
              </w:r>
            </w:hyperlink>
          </w:p>
        </w:tc>
      </w:tr>
      <w:tr>
        <w:trPr>
          <w:trHeight w:val="20"/>
        </w:trPr>
        <w:tc>
          <w:tcPr>
            <w:tcW w:w="16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10.10*</w:t>
            </w:r>
          </w:p>
        </w:tc>
        <w:tc>
          <w:tcPr>
            <w:tcW w:w="9280" w:type="dxa"/>
            <w:vAlign w:val="bottom"/>
            <w:gridSpan w:val="27"/>
          </w:tcPr>
          <w:p>
            <w:pPr>
              <w:spacing w:after="0"/>
              <w:rPr>
                <w:rFonts w:ascii="Arial" w:cs="Arial" w:eastAsia="Arial" w:hAnsi="Arial"/>
                <w:sz w:val="17"/>
                <w:szCs w:val="17"/>
                <w:color w:val="0000EE"/>
              </w:rPr>
            </w:pPr>
            <w:hyperlink r:id="rId366">
              <w:r>
                <w:rPr>
                  <w:rFonts w:ascii="Arial" w:cs="Arial" w:eastAsia="Arial" w:hAnsi="Arial"/>
                  <w:sz w:val="17"/>
                  <w:szCs w:val="17"/>
                  <w:color w:val="0000EE"/>
                </w:rPr>
                <w:t>Employment Agreement, dated October 5, 2017, by and between the Registrant and Edward M. Kaye, as amended.</w:t>
              </w:r>
            </w:hyperlink>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10.11*</w:t>
            </w:r>
          </w:p>
        </w:tc>
        <w:tc>
          <w:tcPr>
            <w:tcW w:w="8920" w:type="dxa"/>
            <w:vAlign w:val="bottom"/>
            <w:tcBorders>
              <w:top w:val="single" w:sz="8" w:color="0000EE"/>
            </w:tcBorders>
            <w:gridSpan w:val="22"/>
          </w:tcPr>
          <w:p>
            <w:pPr>
              <w:spacing w:after="0"/>
              <w:rPr>
                <w:rFonts w:ascii="Arial" w:cs="Arial" w:eastAsia="Arial" w:hAnsi="Arial"/>
                <w:sz w:val="17"/>
                <w:szCs w:val="17"/>
                <w:color w:val="0000EE"/>
              </w:rPr>
            </w:pPr>
            <w:hyperlink r:id="rId367">
              <w:r>
                <w:rPr>
                  <w:rFonts w:ascii="Arial" w:cs="Arial" w:eastAsia="Arial" w:hAnsi="Arial"/>
                  <w:sz w:val="17"/>
                  <w:szCs w:val="17"/>
                  <w:color w:val="0000EE"/>
                </w:rPr>
                <w:t>Employment Agreement, dated November 20, 2015, by and between the Registrant and Huw M. Nash.</w:t>
              </w:r>
            </w:hyperlink>
          </w:p>
        </w:tc>
        <w:tc>
          <w:tcPr>
            <w:tcW w:w="360" w:type="dxa"/>
            <w:vAlign w:val="bottom"/>
            <w:gridSpan w:val="5"/>
          </w:tcPr>
          <w:p>
            <w:pPr>
              <w:spacing w:after="0"/>
              <w:rPr>
                <w:sz w:val="21"/>
                <w:szCs w:val="21"/>
                <w:color w:val="auto"/>
              </w:rPr>
            </w:pPr>
          </w:p>
        </w:tc>
      </w:tr>
      <w:tr>
        <w:trPr>
          <w:trHeight w:val="20"/>
        </w:trPr>
        <w:tc>
          <w:tcPr>
            <w:tcW w:w="16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10.12*</w:t>
            </w:r>
          </w:p>
        </w:tc>
        <w:tc>
          <w:tcPr>
            <w:tcW w:w="9280" w:type="dxa"/>
            <w:vAlign w:val="bottom"/>
            <w:gridSpan w:val="27"/>
          </w:tcPr>
          <w:p>
            <w:pPr>
              <w:spacing w:after="0"/>
              <w:rPr>
                <w:rFonts w:ascii="Arial" w:cs="Arial" w:eastAsia="Arial" w:hAnsi="Arial"/>
                <w:sz w:val="17"/>
                <w:szCs w:val="17"/>
                <w:color w:val="0000EE"/>
              </w:rPr>
            </w:pPr>
            <w:hyperlink r:id="rId368">
              <w:r>
                <w:rPr>
                  <w:rFonts w:ascii="Arial" w:cs="Arial" w:eastAsia="Arial" w:hAnsi="Arial"/>
                  <w:sz w:val="17"/>
                  <w:szCs w:val="17"/>
                  <w:color w:val="0000EE"/>
                </w:rPr>
                <w:t>Employment Agreement, dated September 8, 2017, by and between the Registrant and Barry J. Ticho, as amended.</w:t>
              </w:r>
            </w:hyperlink>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10.13*</w:t>
            </w:r>
          </w:p>
        </w:tc>
        <w:tc>
          <w:tcPr>
            <w:tcW w:w="8940" w:type="dxa"/>
            <w:vAlign w:val="bottom"/>
            <w:tcBorders>
              <w:top w:val="single" w:sz="8" w:color="0000EE"/>
            </w:tcBorders>
            <w:gridSpan w:val="23"/>
          </w:tcPr>
          <w:p>
            <w:pPr>
              <w:spacing w:after="0"/>
              <w:rPr>
                <w:rFonts w:ascii="Arial" w:cs="Arial" w:eastAsia="Arial" w:hAnsi="Arial"/>
                <w:sz w:val="17"/>
                <w:szCs w:val="17"/>
                <w:color w:val="0000EE"/>
              </w:rPr>
            </w:pPr>
            <w:hyperlink r:id="rId369">
              <w:r>
                <w:rPr>
                  <w:rFonts w:ascii="Arial" w:cs="Arial" w:eastAsia="Arial" w:hAnsi="Arial"/>
                  <w:sz w:val="17"/>
                  <w:szCs w:val="17"/>
                  <w:color w:val="0000EE"/>
                </w:rPr>
                <w:t>Employment Agreement, dated January 7, 2018, by and between the Registrant and Gene Liau.</w:t>
              </w:r>
            </w:hyperlink>
          </w:p>
        </w:tc>
        <w:tc>
          <w:tcPr>
            <w:tcW w:w="340" w:type="dxa"/>
            <w:vAlign w:val="bottom"/>
            <w:gridSpan w:val="4"/>
          </w:tcPr>
          <w:p>
            <w:pPr>
              <w:spacing w:after="0"/>
              <w:rPr>
                <w:sz w:val="21"/>
                <w:szCs w:val="21"/>
                <w:color w:val="auto"/>
              </w:rPr>
            </w:pPr>
          </w:p>
        </w:tc>
      </w:tr>
      <w:tr>
        <w:trPr>
          <w:trHeight w:val="20"/>
        </w:trPr>
        <w:tc>
          <w:tcPr>
            <w:tcW w:w="16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10.14*</w:t>
            </w:r>
          </w:p>
        </w:tc>
        <w:tc>
          <w:tcPr>
            <w:tcW w:w="8380" w:type="dxa"/>
            <w:vAlign w:val="bottom"/>
            <w:tcBorders>
              <w:bottom w:val="single" w:sz="8" w:color="0000EE"/>
            </w:tcBorders>
            <w:gridSpan w:val="20"/>
          </w:tcPr>
          <w:p>
            <w:pPr>
              <w:spacing w:after="0"/>
              <w:rPr>
                <w:rFonts w:ascii="Arial" w:cs="Arial" w:eastAsia="Arial" w:hAnsi="Arial"/>
                <w:sz w:val="17"/>
                <w:szCs w:val="17"/>
                <w:color w:val="0000EE"/>
              </w:rPr>
            </w:pPr>
            <w:hyperlink r:id="rId370">
              <w:r>
                <w:rPr>
                  <w:rFonts w:ascii="Arial" w:cs="Arial" w:eastAsia="Arial" w:hAnsi="Arial"/>
                  <w:sz w:val="17"/>
                  <w:szCs w:val="17"/>
                  <w:color w:val="0000EE"/>
                </w:rPr>
                <w:t>Employment Agreement, dated February 12, 2019, by and between the Registrant and Stephen J. Tulipano.</w:t>
              </w:r>
            </w:hyperlink>
          </w:p>
        </w:tc>
        <w:tc>
          <w:tcPr>
            <w:tcW w:w="900" w:type="dxa"/>
            <w:vAlign w:val="bottom"/>
            <w:gridSpan w:val="7"/>
          </w:tcPr>
          <w:p>
            <w:pPr>
              <w:spacing w:after="0"/>
              <w:rPr>
                <w:sz w:val="21"/>
                <w:szCs w:val="21"/>
                <w:color w:val="auto"/>
              </w:rPr>
            </w:pPr>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10.15*</w:t>
            </w:r>
          </w:p>
        </w:tc>
        <w:tc>
          <w:tcPr>
            <w:tcW w:w="9280" w:type="dxa"/>
            <w:vAlign w:val="bottom"/>
            <w:gridSpan w:val="27"/>
          </w:tcPr>
          <w:p>
            <w:pPr>
              <w:spacing w:after="0"/>
              <w:rPr>
                <w:rFonts w:ascii="Arial" w:cs="Arial" w:eastAsia="Arial" w:hAnsi="Arial"/>
                <w:sz w:val="17"/>
                <w:szCs w:val="17"/>
                <w:color w:val="0000EE"/>
              </w:rPr>
            </w:pPr>
            <w:hyperlink r:id="rId371">
              <w:r>
                <w:rPr>
                  <w:rFonts w:ascii="Arial" w:cs="Arial" w:eastAsia="Arial" w:hAnsi="Arial"/>
                  <w:sz w:val="17"/>
                  <w:szCs w:val="17"/>
                  <w:color w:val="0000EE"/>
                </w:rPr>
                <w:t>Consulting Agreement, dated October 24, 2014, by and between the Registrant and Adrian R. Krainer.</w:t>
              </w:r>
            </w:hyperlink>
          </w:p>
        </w:tc>
      </w:tr>
      <w:tr>
        <w:trPr>
          <w:trHeight w:val="247"/>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21.1*</w:t>
            </w:r>
          </w:p>
        </w:tc>
        <w:tc>
          <w:tcPr>
            <w:tcW w:w="2460" w:type="dxa"/>
            <w:vAlign w:val="bottom"/>
            <w:tcBorders>
              <w:top w:val="single" w:sz="8" w:color="0000EE"/>
            </w:tcBorders>
            <w:gridSpan w:val="3"/>
          </w:tcPr>
          <w:p>
            <w:pPr>
              <w:spacing w:after="0"/>
              <w:rPr>
                <w:rFonts w:ascii="Arial" w:cs="Arial" w:eastAsia="Arial" w:hAnsi="Arial"/>
                <w:sz w:val="17"/>
                <w:szCs w:val="17"/>
                <w:color w:val="0000EE"/>
              </w:rPr>
            </w:pPr>
            <w:hyperlink r:id="rId372">
              <w:r>
                <w:rPr>
                  <w:rFonts w:ascii="Arial" w:cs="Arial" w:eastAsia="Arial" w:hAnsi="Arial"/>
                  <w:sz w:val="17"/>
                  <w:szCs w:val="17"/>
                  <w:color w:val="0000EE"/>
                </w:rPr>
                <w:t>Subsidiaries of the Registrant.</w:t>
              </w:r>
            </w:hyperlink>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6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r>
      <w:tr>
        <w:trPr>
          <w:trHeight w:val="247"/>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23.1</w:t>
            </w:r>
          </w:p>
        </w:tc>
        <w:tc>
          <w:tcPr>
            <w:tcW w:w="528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rPr>
              <w:t>Consent of KPMG, an independent registered public accounting firm.</w:t>
            </w:r>
          </w:p>
        </w:tc>
        <w:tc>
          <w:tcPr>
            <w:tcW w:w="4000" w:type="dxa"/>
            <w:vAlign w:val="bottom"/>
            <w:gridSpan w:val="17"/>
          </w:tcPr>
          <w:p>
            <w:pPr>
              <w:spacing w:after="0"/>
              <w:rPr>
                <w:sz w:val="21"/>
                <w:szCs w:val="21"/>
                <w:color w:val="auto"/>
              </w:rPr>
            </w:pPr>
          </w:p>
        </w:tc>
      </w:tr>
      <w:tr>
        <w:trPr>
          <w:trHeight w:val="247"/>
        </w:trPr>
        <w:tc>
          <w:tcPr>
            <w:tcW w:w="1600" w:type="dxa"/>
            <w:vAlign w:val="bottom"/>
          </w:tcPr>
          <w:p>
            <w:pPr>
              <w:jc w:val="right"/>
              <w:ind w:right="853"/>
              <w:spacing w:after="0"/>
              <w:rPr>
                <w:sz w:val="20"/>
                <w:szCs w:val="20"/>
                <w:color w:val="auto"/>
              </w:rPr>
            </w:pPr>
            <w:r>
              <w:rPr>
                <w:rFonts w:ascii="Arial" w:cs="Arial" w:eastAsia="Arial" w:hAnsi="Arial"/>
                <w:sz w:val="17"/>
                <w:szCs w:val="17"/>
                <w:color w:val="auto"/>
              </w:rPr>
              <w:t>23.2</w:t>
            </w:r>
          </w:p>
        </w:tc>
        <w:tc>
          <w:tcPr>
            <w:tcW w:w="438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rPr>
              <w:t>Consent of Fenwick &amp; West LLP (included in Exhibit 5.1).</w:t>
            </w:r>
          </w:p>
        </w:tc>
        <w:tc>
          <w:tcPr>
            <w:tcW w:w="4900" w:type="dxa"/>
            <w:vAlign w:val="bottom"/>
            <w:gridSpan w:val="19"/>
          </w:tcPr>
          <w:p>
            <w:pPr>
              <w:spacing w:after="0"/>
              <w:rPr>
                <w:sz w:val="21"/>
                <w:szCs w:val="21"/>
                <w:color w:val="auto"/>
              </w:rPr>
            </w:pPr>
          </w:p>
        </w:tc>
      </w:tr>
      <w:tr>
        <w:trPr>
          <w:trHeight w:val="285"/>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23.3*</w:t>
            </w:r>
          </w:p>
        </w:tc>
        <w:tc>
          <w:tcPr>
            <w:tcW w:w="9280" w:type="dxa"/>
            <w:vAlign w:val="bottom"/>
            <w:gridSpan w:val="27"/>
          </w:tcPr>
          <w:p>
            <w:pPr>
              <w:spacing w:after="0"/>
              <w:rPr>
                <w:sz w:val="20"/>
                <w:szCs w:val="20"/>
                <w:color w:val="auto"/>
              </w:rPr>
            </w:pPr>
            <w:r>
              <w:rPr>
                <w:rFonts w:ascii="Arial" w:cs="Arial" w:eastAsia="Arial" w:hAnsi="Arial"/>
                <w:sz w:val="17"/>
                <w:szCs w:val="17"/>
                <w:color w:val="auto"/>
              </w:rPr>
              <w:t>Consent of Health Advances LLC.</w:t>
            </w:r>
          </w:p>
        </w:tc>
      </w:tr>
      <w:tr>
        <w:trPr>
          <w:trHeight w:val="228"/>
        </w:trPr>
        <w:tc>
          <w:tcPr>
            <w:tcW w:w="1600" w:type="dxa"/>
            <w:vAlign w:val="bottom"/>
          </w:tcPr>
          <w:p>
            <w:pPr>
              <w:jc w:val="right"/>
              <w:ind w:right="793"/>
              <w:spacing w:after="0"/>
              <w:rPr>
                <w:sz w:val="20"/>
                <w:szCs w:val="20"/>
                <w:color w:val="auto"/>
              </w:rPr>
            </w:pPr>
            <w:r>
              <w:rPr>
                <w:rFonts w:ascii="Arial" w:cs="Arial" w:eastAsia="Arial" w:hAnsi="Arial"/>
                <w:sz w:val="17"/>
                <w:szCs w:val="17"/>
                <w:color w:val="auto"/>
              </w:rPr>
              <w:t>24.1*</w:t>
            </w:r>
          </w:p>
        </w:tc>
        <w:tc>
          <w:tcPr>
            <w:tcW w:w="9280" w:type="dxa"/>
            <w:vAlign w:val="bottom"/>
            <w:gridSpan w:val="27"/>
          </w:tcPr>
          <w:p>
            <w:pPr>
              <w:spacing w:after="0"/>
              <w:rPr>
                <w:rFonts w:ascii="Arial" w:cs="Arial" w:eastAsia="Arial" w:hAnsi="Arial"/>
                <w:sz w:val="17"/>
                <w:szCs w:val="17"/>
                <w:color w:val="0000EE"/>
              </w:rPr>
            </w:pPr>
            <w:hyperlink w:anchor="page222">
              <w:r>
                <w:rPr>
                  <w:rFonts w:ascii="Arial" w:cs="Arial" w:eastAsia="Arial" w:hAnsi="Arial"/>
                  <w:sz w:val="17"/>
                  <w:szCs w:val="17"/>
                  <w:color w:val="0000EE"/>
                </w:rPr>
                <w:t>Power of Attorney (included in the signature page to this registration statement).</w:t>
              </w:r>
            </w:hyperlink>
          </w:p>
        </w:tc>
      </w:tr>
      <w:tr>
        <w:trPr>
          <w:trHeight w:val="20"/>
        </w:trPr>
        <w:tc>
          <w:tcPr>
            <w:tcW w:w="16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17145</wp:posOffset>
            </wp:positionV>
            <wp:extent cx="6909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17" w:lineRule="exact"/>
        <w:rPr>
          <w:sz w:val="20"/>
          <w:szCs w:val="20"/>
          <w:color w:val="auto"/>
        </w:rPr>
      </w:pPr>
    </w:p>
    <w:p>
      <w:pPr>
        <w:ind w:left="480" w:hanging="207"/>
        <w:spacing w:after="0"/>
        <w:tabs>
          <w:tab w:leader="none" w:pos="4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Previously  filed.</w:t>
      </w:r>
    </w:p>
    <w:p>
      <w:pPr>
        <w:ind w:left="280"/>
        <w:spacing w:after="0"/>
        <w:tabs>
          <w:tab w:leader="none" w:pos="480" w:val="left"/>
          <w:tab w:leader="none" w:pos="1300" w:val="left"/>
        </w:tabs>
        <w:rPr>
          <w:sz w:val="20"/>
          <w:szCs w:val="20"/>
          <w:color w:val="auto"/>
        </w:rPr>
      </w:pPr>
      <w:r>
        <w:rPr>
          <w:rFonts w:ascii="Arial" w:cs="Arial" w:eastAsia="Arial" w:hAnsi="Arial"/>
          <w:sz w:val="13"/>
          <w:szCs w:val="13"/>
          <w:color w:val="auto"/>
        </w:rPr>
        <w:t>†</w:t>
        <w:tab/>
        <w:t>Confidential</w:t>
        <w:tab/>
        <w:t>treatment requested with respect to portions of this exhibit.</w:t>
      </w:r>
    </w:p>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160"/>
          </w:cols>
          <w:pgMar w:left="240" w:top="455"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(b) Financial Statement Schedules.</w:t>
      </w:r>
    </w:p>
    <w:p>
      <w:pPr>
        <w:spacing w:after="0" w:line="111" w:lineRule="exact"/>
        <w:rPr>
          <w:sz w:val="20"/>
          <w:szCs w:val="20"/>
          <w:color w:val="auto"/>
        </w:rPr>
      </w:pPr>
    </w:p>
    <w:p>
      <w:pPr>
        <w:ind w:left="280"/>
        <w:spacing w:after="0" w:line="262" w:lineRule="auto"/>
        <w:rPr>
          <w:sz w:val="20"/>
          <w:szCs w:val="20"/>
          <w:color w:val="auto"/>
        </w:rPr>
      </w:pPr>
      <w:r>
        <w:rPr>
          <w:rFonts w:ascii="Arial" w:cs="Arial" w:eastAsia="Arial" w:hAnsi="Arial"/>
          <w:sz w:val="17"/>
          <w:szCs w:val="17"/>
          <w:color w:val="auto"/>
        </w:rPr>
        <w:t>No financial statement schedules are provided because the information called for is not required or is shown either in the financial statements or notes.</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Item 17. Undertakings.</w:t>
      </w:r>
    </w:p>
    <w:p>
      <w:pPr>
        <w:spacing w:after="0" w:line="141" w:lineRule="exact"/>
        <w:rPr>
          <w:sz w:val="20"/>
          <w:szCs w:val="20"/>
          <w:color w:val="auto"/>
        </w:rPr>
      </w:pPr>
    </w:p>
    <w:p>
      <w:pPr>
        <w:ind w:left="280" w:right="20"/>
        <w:spacing w:after="0" w:line="262" w:lineRule="auto"/>
        <w:rPr>
          <w:sz w:val="20"/>
          <w:szCs w:val="20"/>
          <w:color w:val="auto"/>
        </w:rPr>
      </w:pPr>
      <w:r>
        <w:rPr>
          <w:rFonts w:ascii="Arial" w:cs="Arial" w:eastAsia="Arial" w:hAnsi="Arial"/>
          <w:sz w:val="17"/>
          <w:szCs w:val="17"/>
          <w:color w:val="auto"/>
        </w:rPr>
        <w:t>The undersigned Registrant hereby undertakes to provide to the underwriters at the completion specified in the underwriting agreement, certificates in such denominations and registered in such names as required by the underwriters to permit prompt delivery to each purchaser.</w:t>
      </w:r>
    </w:p>
    <w:p>
      <w:pPr>
        <w:spacing w:after="0" w:line="80" w:lineRule="exact"/>
        <w:rPr>
          <w:sz w:val="20"/>
          <w:szCs w:val="20"/>
          <w:color w:val="auto"/>
        </w:rPr>
      </w:pPr>
    </w:p>
    <w:p>
      <w:pPr>
        <w:ind w:left="280" w:right="180"/>
        <w:spacing w:after="0" w:line="247"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undersigned Registrant hereby undertakes that:</w:t>
      </w:r>
    </w:p>
    <w:p>
      <w:pPr>
        <w:spacing w:after="0" w:line="111" w:lineRule="exact"/>
        <w:rPr>
          <w:sz w:val="20"/>
          <w:szCs w:val="20"/>
          <w:color w:val="auto"/>
        </w:rPr>
      </w:pPr>
    </w:p>
    <w:p>
      <w:pPr>
        <w:jc w:val="both"/>
        <w:ind w:left="280" w:right="60" w:hanging="7"/>
        <w:spacing w:after="0" w:line="245"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hanging="267"/>
        <w:spacing w:after="0"/>
        <w:tabs>
          <w:tab w:leader="none" w:pos="5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1" w:lineRule="exact"/>
        <w:rPr>
          <w:rFonts w:ascii="Arial" w:cs="Arial" w:eastAsia="Arial" w:hAnsi="Arial"/>
          <w:sz w:val="17"/>
          <w:szCs w:val="17"/>
          <w:color w:val="auto"/>
        </w:rPr>
      </w:pPr>
    </w:p>
    <w:p>
      <w:pPr>
        <w:jc w:val="both"/>
        <w:ind w:left="280" w:right="220" w:hanging="7"/>
        <w:spacing w:after="0" w:line="253" w:lineRule="auto"/>
        <w:tabs>
          <w:tab w:leader="none" w:pos="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080"/>
          </w:cols>
          <w:pgMar w:left="240" w:top="455" w:right="5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auto"/>
        </w:rPr>
        <w:t>Signatures</w:t>
      </w:r>
    </w:p>
    <w:p>
      <w:pPr>
        <w:spacing w:after="0" w:line="151" w:lineRule="exact"/>
        <w:rPr>
          <w:sz w:val="20"/>
          <w:szCs w:val="20"/>
          <w:color w:val="auto"/>
        </w:rPr>
      </w:pPr>
    </w:p>
    <w:p>
      <w:pPr>
        <w:ind w:left="280" w:right="60"/>
        <w:spacing w:after="0" w:line="253"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on Form S-1 to be signed on its behalf by the undersigned, thereunto duly authorized, in the City of Bedford, State of Massachusetts, on the 7th day of June, 2019.</w:t>
      </w:r>
    </w:p>
    <w:p>
      <w:pPr>
        <w:spacing w:after="0" w:line="102"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STOKE THERAPEUTICS, INC.</w:t>
      </w:r>
    </w:p>
    <w:p>
      <w:pPr>
        <w:spacing w:after="0" w:line="111"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By: /s/ Edward M.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4551045</wp:posOffset>
            </wp:positionH>
            <wp:positionV relativeFrom="paragraph">
              <wp:posOffset>635</wp:posOffset>
            </wp:positionV>
            <wp:extent cx="25317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spacing w:after="0" w:line="1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Edward M. Kaye, M.D.</w:t>
      </w:r>
    </w:p>
    <w:p>
      <w:pPr>
        <w:spacing w:after="0" w:line="5" w:lineRule="exact"/>
        <w:rPr>
          <w:sz w:val="20"/>
          <w:szCs w:val="20"/>
          <w:color w:val="auto"/>
        </w:rPr>
      </w:pPr>
    </w:p>
    <w:p>
      <w:pPr>
        <w:ind w:left="7160"/>
        <w:spacing w:after="0"/>
        <w:rPr>
          <w:sz w:val="20"/>
          <w:szCs w:val="20"/>
          <w:color w:val="auto"/>
        </w:rPr>
      </w:pPr>
      <w:r>
        <w:rPr>
          <w:rFonts w:ascii="Arial" w:cs="Arial" w:eastAsia="Arial" w:hAnsi="Arial"/>
          <w:sz w:val="17"/>
          <w:szCs w:val="17"/>
          <w:i w:val="1"/>
          <w:iCs w:val="1"/>
          <w:color w:val="auto"/>
        </w:rPr>
        <w:t>Chief Executive Officer</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Power of attorney</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w:t>
      </w:r>
    </w:p>
    <w:p>
      <w:pPr>
        <w:spacing w:after="0" w:line="5" w:lineRule="exact"/>
        <w:rPr>
          <w:sz w:val="20"/>
          <w:szCs w:val="20"/>
          <w:color w:val="auto"/>
        </w:rPr>
      </w:pPr>
    </w:p>
    <w:p>
      <w:pPr>
        <w:ind w:left="280" w:right="60"/>
        <w:spacing w:after="0" w:line="247" w:lineRule="auto"/>
        <w:rPr>
          <w:sz w:val="20"/>
          <w:szCs w:val="20"/>
          <w:color w:val="auto"/>
        </w:rPr>
      </w:pPr>
      <w:r>
        <w:rPr>
          <w:rFonts w:ascii="Arial" w:cs="Arial" w:eastAsia="Arial" w:hAnsi="Arial"/>
          <w:sz w:val="17"/>
          <w:szCs w:val="17"/>
          <w:color w:val="auto"/>
        </w:rPr>
        <w:t>Edward M. Kaye and Stephen J. Tulipano, and each of them, as his true and lawful attorneys-in-fact, proxies and agents, each with full power of substitution and resubstitution and full power to act without the other,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97" w:lineRule="exact"/>
        <w:rPr>
          <w:sz w:val="20"/>
          <w:szCs w:val="20"/>
          <w:color w:val="auto"/>
        </w:rPr>
      </w:pPr>
    </w:p>
    <w:p>
      <w:pPr>
        <w:ind w:left="280" w:right="460"/>
        <w:spacing w:after="0" w:line="262"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57150</wp:posOffset>
            </wp:positionV>
            <wp:extent cx="690943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8" w:lineRule="exact"/>
        <w:rPr>
          <w:sz w:val="20"/>
          <w:szCs w:val="20"/>
          <w:color w:val="auto"/>
        </w:rPr>
      </w:pPr>
    </w:p>
    <w:tbl>
      <w:tblPr>
        <w:tblLayout w:type="fixed"/>
        <w:tblInd w:w="280" w:type="dxa"/>
        <w:tblCellMar>
          <w:top w:w="0" w:type="dxa"/>
          <w:left w:w="0" w:type="dxa"/>
          <w:bottom w:w="0" w:type="dxa"/>
          <w:right w:w="0" w:type="dxa"/>
        </w:tblCellMar>
      </w:tblPr>
      <w:tr>
        <w:trPr>
          <w:trHeight w:val="219"/>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Title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Date</w:t>
            </w:r>
          </w:p>
        </w:tc>
      </w:tr>
      <w:tr>
        <w:trPr>
          <w:trHeight w:val="28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Edward M. Kaye</w:t>
            </w:r>
          </w:p>
        </w:tc>
        <w:tc>
          <w:tcPr>
            <w:tcW w:w="4660" w:type="dxa"/>
            <w:vAlign w:val="bottom"/>
          </w:tcPr>
          <w:p>
            <w:pPr>
              <w:jc w:val="center"/>
              <w:spacing w:after="0"/>
              <w:rPr>
                <w:sz w:val="20"/>
                <w:szCs w:val="20"/>
                <w:color w:val="auto"/>
              </w:rPr>
            </w:pPr>
            <w:r>
              <w:rPr>
                <w:rFonts w:ascii="Arial" w:cs="Arial" w:eastAsia="Arial" w:hAnsi="Arial"/>
                <w:sz w:val="17"/>
                <w:szCs w:val="17"/>
                <w:color w:val="auto"/>
              </w:rPr>
              <w:t>Chief Executive Officer</w:t>
            </w:r>
          </w:p>
        </w:tc>
        <w:tc>
          <w:tcPr>
            <w:tcW w:w="2380" w:type="dxa"/>
            <w:vAlign w:val="bottom"/>
          </w:tcPr>
          <w:p>
            <w:pPr>
              <w:jc w:val="center"/>
              <w:spacing w:after="0"/>
              <w:rPr>
                <w:sz w:val="20"/>
                <w:szCs w:val="20"/>
                <w:color w:val="auto"/>
              </w:rPr>
            </w:pPr>
            <w:r>
              <w:rPr>
                <w:rFonts w:ascii="Arial" w:cs="Arial" w:eastAsia="Arial" w:hAnsi="Arial"/>
                <w:sz w:val="17"/>
                <w:szCs w:val="17"/>
                <w:color w:val="auto"/>
              </w:rPr>
              <w:t>June 7, 2019</w:t>
            </w:r>
          </w:p>
        </w:tc>
      </w:tr>
      <w:tr>
        <w:trPr>
          <w:trHeight w:val="205"/>
        </w:trPr>
        <w:tc>
          <w:tcPr>
            <w:tcW w:w="3840" w:type="dxa"/>
            <w:vAlign w:val="bottom"/>
          </w:tcPr>
          <w:p>
            <w:pPr>
              <w:jc w:val="center"/>
              <w:spacing w:after="0"/>
              <w:rPr>
                <w:sz w:val="20"/>
                <w:szCs w:val="20"/>
                <w:color w:val="auto"/>
              </w:rPr>
            </w:pPr>
            <w:r>
              <w:rPr>
                <w:rFonts w:ascii="Arial" w:cs="Arial" w:eastAsia="Arial" w:hAnsi="Arial"/>
                <w:sz w:val="17"/>
                <w:szCs w:val="17"/>
                <w:color w:val="auto"/>
              </w:rPr>
              <w:t>Edward M. Kaye, M.D.</w:t>
            </w:r>
          </w:p>
        </w:tc>
        <w:tc>
          <w:tcPr>
            <w:tcW w:w="4660" w:type="dxa"/>
            <w:vAlign w:val="bottom"/>
          </w:tcPr>
          <w:p>
            <w:pPr>
              <w:jc w:val="center"/>
              <w:spacing w:after="0" w:line="192" w:lineRule="exact"/>
              <w:rPr>
                <w:sz w:val="20"/>
                <w:szCs w:val="20"/>
                <w:color w:val="auto"/>
              </w:rPr>
            </w:pPr>
            <w:r>
              <w:rPr>
                <w:rFonts w:ascii="Arial" w:cs="Arial" w:eastAsia="Arial" w:hAnsi="Arial"/>
                <w:sz w:val="17"/>
                <w:szCs w:val="17"/>
                <w:color w:val="auto"/>
              </w:rPr>
              <w:t>(Principal Executive Officer)</w:t>
            </w:r>
          </w:p>
        </w:tc>
        <w:tc>
          <w:tcPr>
            <w:tcW w:w="2380" w:type="dxa"/>
            <w:vAlign w:val="bottom"/>
          </w:tcPr>
          <w:p>
            <w:pPr>
              <w:spacing w:after="0"/>
              <w:rPr>
                <w:sz w:val="17"/>
                <w:szCs w:val="17"/>
                <w:color w:val="auto"/>
              </w:rPr>
            </w:pPr>
          </w:p>
        </w:tc>
      </w:tr>
      <w:tr>
        <w:trPr>
          <w:trHeight w:val="36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Stephen J. Tulipano</w:t>
            </w:r>
          </w:p>
        </w:tc>
        <w:tc>
          <w:tcPr>
            <w:tcW w:w="4660" w:type="dxa"/>
            <w:vAlign w:val="bottom"/>
          </w:tcPr>
          <w:p>
            <w:pPr>
              <w:jc w:val="center"/>
              <w:spacing w:after="0"/>
              <w:rPr>
                <w:sz w:val="20"/>
                <w:szCs w:val="20"/>
                <w:color w:val="auto"/>
              </w:rPr>
            </w:pPr>
            <w:r>
              <w:rPr>
                <w:rFonts w:ascii="Arial" w:cs="Arial" w:eastAsia="Arial" w:hAnsi="Arial"/>
                <w:sz w:val="17"/>
                <w:szCs w:val="17"/>
                <w:color w:val="auto"/>
              </w:rPr>
              <w:t>Chief Financial Officer</w:t>
            </w:r>
          </w:p>
        </w:tc>
        <w:tc>
          <w:tcPr>
            <w:tcW w:w="2380" w:type="dxa"/>
            <w:vAlign w:val="bottom"/>
          </w:tcPr>
          <w:p>
            <w:pPr>
              <w:jc w:val="center"/>
              <w:spacing w:after="0"/>
              <w:rPr>
                <w:sz w:val="20"/>
                <w:szCs w:val="20"/>
                <w:color w:val="auto"/>
              </w:rPr>
            </w:pPr>
            <w:r>
              <w:rPr>
                <w:rFonts w:ascii="Arial" w:cs="Arial" w:eastAsia="Arial" w:hAnsi="Arial"/>
                <w:sz w:val="17"/>
                <w:szCs w:val="17"/>
                <w:color w:val="auto"/>
              </w:rPr>
              <w:t>June 7, 2019</w:t>
            </w:r>
          </w:p>
        </w:tc>
      </w:tr>
      <w:tr>
        <w:trPr>
          <w:trHeight w:val="205"/>
        </w:trPr>
        <w:tc>
          <w:tcPr>
            <w:tcW w:w="3840" w:type="dxa"/>
            <w:vAlign w:val="bottom"/>
          </w:tcPr>
          <w:p>
            <w:pPr>
              <w:jc w:val="center"/>
              <w:spacing w:after="0"/>
              <w:rPr>
                <w:sz w:val="20"/>
                <w:szCs w:val="20"/>
                <w:color w:val="auto"/>
              </w:rPr>
            </w:pPr>
            <w:r>
              <w:rPr>
                <w:rFonts w:ascii="Arial" w:cs="Arial" w:eastAsia="Arial" w:hAnsi="Arial"/>
                <w:sz w:val="17"/>
                <w:szCs w:val="17"/>
                <w:color w:val="auto"/>
              </w:rPr>
              <w:t>Stephen J. Tulipano</w:t>
            </w:r>
          </w:p>
        </w:tc>
        <w:tc>
          <w:tcPr>
            <w:tcW w:w="4660" w:type="dxa"/>
            <w:vAlign w:val="bottom"/>
          </w:tcPr>
          <w:p>
            <w:pPr>
              <w:jc w:val="center"/>
              <w:spacing w:after="0" w:line="192" w:lineRule="exact"/>
              <w:rPr>
                <w:sz w:val="20"/>
                <w:szCs w:val="20"/>
                <w:color w:val="auto"/>
              </w:rPr>
            </w:pPr>
            <w:r>
              <w:rPr>
                <w:rFonts w:ascii="Arial" w:cs="Arial" w:eastAsia="Arial" w:hAnsi="Arial"/>
                <w:sz w:val="17"/>
                <w:szCs w:val="17"/>
                <w:color w:val="auto"/>
              </w:rPr>
              <w:t>(Principal Accounting and Financial Officer)</w:t>
            </w:r>
          </w:p>
        </w:tc>
        <w:tc>
          <w:tcPr>
            <w:tcW w:w="2380" w:type="dxa"/>
            <w:vAlign w:val="bottom"/>
          </w:tcPr>
          <w:p>
            <w:pPr>
              <w:spacing w:after="0"/>
              <w:rPr>
                <w:sz w:val="17"/>
                <w:szCs w:val="17"/>
                <w:color w:val="auto"/>
              </w:rPr>
            </w:pPr>
          </w:p>
        </w:tc>
      </w:tr>
      <w:tr>
        <w:trPr>
          <w:trHeight w:val="36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Jennifer C. Burstein</w:t>
            </w:r>
          </w:p>
        </w:tc>
        <w:tc>
          <w:tcPr>
            <w:tcW w:w="466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380" w:type="dxa"/>
            <w:vAlign w:val="bottom"/>
          </w:tcPr>
          <w:p>
            <w:pPr>
              <w:jc w:val="center"/>
              <w:spacing w:after="0"/>
              <w:rPr>
                <w:sz w:val="20"/>
                <w:szCs w:val="20"/>
                <w:color w:val="auto"/>
              </w:rPr>
            </w:pPr>
            <w:r>
              <w:rPr>
                <w:rFonts w:ascii="Arial" w:cs="Arial" w:eastAsia="Arial" w:hAnsi="Arial"/>
                <w:sz w:val="17"/>
                <w:szCs w:val="17"/>
                <w:color w:val="auto"/>
              </w:rPr>
              <w:t>June 7, 2019</w:t>
            </w:r>
          </w:p>
        </w:tc>
      </w:tr>
      <w:tr>
        <w:trPr>
          <w:trHeight w:val="205"/>
        </w:trPr>
        <w:tc>
          <w:tcPr>
            <w:tcW w:w="3840" w:type="dxa"/>
            <w:vAlign w:val="bottom"/>
          </w:tcPr>
          <w:p>
            <w:pPr>
              <w:jc w:val="center"/>
              <w:spacing w:after="0"/>
              <w:rPr>
                <w:sz w:val="20"/>
                <w:szCs w:val="20"/>
                <w:color w:val="auto"/>
              </w:rPr>
            </w:pPr>
            <w:r>
              <w:rPr>
                <w:rFonts w:ascii="Arial" w:cs="Arial" w:eastAsia="Arial" w:hAnsi="Arial"/>
                <w:sz w:val="17"/>
                <w:szCs w:val="17"/>
                <w:color w:val="auto"/>
              </w:rPr>
              <w:t>Jennifer C. Burstein</w:t>
            </w:r>
          </w:p>
        </w:tc>
        <w:tc>
          <w:tcPr>
            <w:tcW w:w="46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36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t>
            </w:r>
          </w:p>
        </w:tc>
        <w:tc>
          <w:tcPr>
            <w:tcW w:w="466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380" w:type="dxa"/>
            <w:vAlign w:val="bottom"/>
          </w:tcPr>
          <w:p>
            <w:pPr>
              <w:jc w:val="center"/>
              <w:spacing w:after="0"/>
              <w:rPr>
                <w:sz w:val="20"/>
                <w:szCs w:val="20"/>
                <w:color w:val="auto"/>
              </w:rPr>
            </w:pPr>
            <w:r>
              <w:rPr>
                <w:rFonts w:ascii="Arial" w:cs="Arial" w:eastAsia="Arial" w:hAnsi="Arial"/>
                <w:sz w:val="17"/>
                <w:szCs w:val="17"/>
                <w:color w:val="auto"/>
              </w:rPr>
              <w:t>June 7, 2019</w:t>
            </w:r>
          </w:p>
        </w:tc>
      </w:tr>
      <w:tr>
        <w:trPr>
          <w:trHeight w:val="205"/>
        </w:trPr>
        <w:tc>
          <w:tcPr>
            <w:tcW w:w="3840" w:type="dxa"/>
            <w:vAlign w:val="bottom"/>
          </w:tcPr>
          <w:p>
            <w:pPr>
              <w:jc w:val="center"/>
              <w:spacing w:after="0"/>
              <w:rPr>
                <w:sz w:val="20"/>
                <w:szCs w:val="20"/>
                <w:color w:val="auto"/>
              </w:rPr>
            </w:pPr>
            <w:r>
              <w:rPr>
                <w:rFonts w:ascii="Arial" w:cs="Arial" w:eastAsia="Arial" w:hAnsi="Arial"/>
                <w:sz w:val="17"/>
                <w:szCs w:val="17"/>
                <w:color w:val="auto"/>
              </w:rPr>
              <w:t>Samuel W. Hall, Ph.D.</w:t>
            </w:r>
          </w:p>
        </w:tc>
        <w:tc>
          <w:tcPr>
            <w:tcW w:w="46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36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t>
            </w:r>
          </w:p>
        </w:tc>
        <w:tc>
          <w:tcPr>
            <w:tcW w:w="466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380" w:type="dxa"/>
            <w:vAlign w:val="bottom"/>
          </w:tcPr>
          <w:p>
            <w:pPr>
              <w:jc w:val="center"/>
              <w:spacing w:after="0"/>
              <w:rPr>
                <w:sz w:val="20"/>
                <w:szCs w:val="20"/>
                <w:color w:val="auto"/>
              </w:rPr>
            </w:pPr>
            <w:r>
              <w:rPr>
                <w:rFonts w:ascii="Arial" w:cs="Arial" w:eastAsia="Arial" w:hAnsi="Arial"/>
                <w:sz w:val="17"/>
                <w:szCs w:val="17"/>
                <w:color w:val="auto"/>
              </w:rPr>
              <w:t>June 7, 2019</w:t>
            </w:r>
          </w:p>
        </w:tc>
      </w:tr>
      <w:tr>
        <w:trPr>
          <w:trHeight w:val="205"/>
        </w:trPr>
        <w:tc>
          <w:tcPr>
            <w:tcW w:w="3840" w:type="dxa"/>
            <w:vAlign w:val="bottom"/>
          </w:tcPr>
          <w:p>
            <w:pPr>
              <w:jc w:val="center"/>
              <w:spacing w:after="0"/>
              <w:rPr>
                <w:sz w:val="20"/>
                <w:szCs w:val="20"/>
                <w:color w:val="auto"/>
              </w:rPr>
            </w:pPr>
            <w:r>
              <w:rPr>
                <w:rFonts w:ascii="Arial" w:cs="Arial" w:eastAsia="Arial" w:hAnsi="Arial"/>
                <w:sz w:val="17"/>
                <w:szCs w:val="17"/>
                <w:color w:val="auto"/>
              </w:rPr>
              <w:t>Seth L. Harrison, M.D.</w:t>
            </w:r>
          </w:p>
        </w:tc>
        <w:tc>
          <w:tcPr>
            <w:tcW w:w="46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36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t>
            </w:r>
          </w:p>
        </w:tc>
        <w:tc>
          <w:tcPr>
            <w:tcW w:w="466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380" w:type="dxa"/>
            <w:vAlign w:val="bottom"/>
          </w:tcPr>
          <w:p>
            <w:pPr>
              <w:jc w:val="center"/>
              <w:spacing w:after="0"/>
              <w:rPr>
                <w:sz w:val="20"/>
                <w:szCs w:val="20"/>
                <w:color w:val="auto"/>
              </w:rPr>
            </w:pPr>
            <w:r>
              <w:rPr>
                <w:rFonts w:ascii="Arial" w:cs="Arial" w:eastAsia="Arial" w:hAnsi="Arial"/>
                <w:sz w:val="17"/>
                <w:szCs w:val="17"/>
                <w:color w:val="auto"/>
              </w:rPr>
              <w:t>June 7, 2019</w:t>
            </w:r>
          </w:p>
        </w:tc>
      </w:tr>
      <w:tr>
        <w:trPr>
          <w:trHeight w:val="205"/>
        </w:trPr>
        <w:tc>
          <w:tcPr>
            <w:tcW w:w="3840" w:type="dxa"/>
            <w:vAlign w:val="bottom"/>
          </w:tcPr>
          <w:p>
            <w:pPr>
              <w:jc w:val="center"/>
              <w:spacing w:after="0"/>
              <w:rPr>
                <w:sz w:val="20"/>
                <w:szCs w:val="20"/>
                <w:color w:val="auto"/>
              </w:rPr>
            </w:pPr>
            <w:r>
              <w:rPr>
                <w:rFonts w:ascii="Arial" w:cs="Arial" w:eastAsia="Arial" w:hAnsi="Arial"/>
                <w:sz w:val="17"/>
                <w:szCs w:val="17"/>
                <w:color w:val="auto"/>
              </w:rPr>
              <w:t>Adrian R. Krainer, Ph.D.</w:t>
            </w:r>
          </w:p>
        </w:tc>
        <w:tc>
          <w:tcPr>
            <w:tcW w:w="46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36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w:t>
            </w:r>
          </w:p>
        </w:tc>
        <w:tc>
          <w:tcPr>
            <w:tcW w:w="466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380" w:type="dxa"/>
            <w:vAlign w:val="bottom"/>
          </w:tcPr>
          <w:p>
            <w:pPr>
              <w:jc w:val="center"/>
              <w:spacing w:after="0"/>
              <w:rPr>
                <w:sz w:val="20"/>
                <w:szCs w:val="20"/>
                <w:color w:val="auto"/>
              </w:rPr>
            </w:pPr>
            <w:r>
              <w:rPr>
                <w:rFonts w:ascii="Arial" w:cs="Arial" w:eastAsia="Arial" w:hAnsi="Arial"/>
                <w:sz w:val="17"/>
                <w:szCs w:val="17"/>
                <w:color w:val="auto"/>
              </w:rPr>
              <w:t>June 7, 2019</w:t>
            </w:r>
          </w:p>
        </w:tc>
      </w:tr>
      <w:tr>
        <w:trPr>
          <w:trHeight w:val="205"/>
        </w:trPr>
        <w:tc>
          <w:tcPr>
            <w:tcW w:w="3840" w:type="dxa"/>
            <w:vAlign w:val="bottom"/>
          </w:tcPr>
          <w:p>
            <w:pPr>
              <w:jc w:val="center"/>
              <w:spacing w:after="0"/>
              <w:rPr>
                <w:sz w:val="20"/>
                <w:szCs w:val="20"/>
                <w:color w:val="auto"/>
              </w:rPr>
            </w:pPr>
            <w:r>
              <w:rPr>
                <w:rFonts w:ascii="Arial" w:cs="Arial" w:eastAsia="Arial" w:hAnsi="Arial"/>
                <w:sz w:val="17"/>
                <w:szCs w:val="17"/>
                <w:color w:val="auto"/>
              </w:rPr>
              <w:t>Arthur A. Levin, Ph.D.</w:t>
            </w:r>
          </w:p>
        </w:tc>
        <w:tc>
          <w:tcPr>
            <w:tcW w:w="46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360"/>
        </w:trPr>
        <w:tc>
          <w:tcPr>
            <w:tcW w:w="3840" w:type="dxa"/>
            <w:vAlign w:val="bottom"/>
          </w:tcPr>
          <w:p>
            <w:pPr>
              <w:spacing w:after="0"/>
              <w:rPr>
                <w:sz w:val="24"/>
                <w:szCs w:val="24"/>
                <w:color w:val="auto"/>
              </w:rPr>
            </w:pPr>
          </w:p>
        </w:tc>
        <w:tc>
          <w:tcPr>
            <w:tcW w:w="4660" w:type="dxa"/>
            <w:vAlign w:val="bottom"/>
          </w:tcPr>
          <w:p>
            <w:pPr>
              <w:ind w:left="1460"/>
              <w:spacing w:after="0"/>
              <w:rPr>
                <w:sz w:val="20"/>
                <w:szCs w:val="20"/>
                <w:color w:val="auto"/>
              </w:rPr>
            </w:pPr>
            <w:r>
              <w:rPr>
                <w:rFonts w:ascii="Arial" w:cs="Arial" w:eastAsia="Arial" w:hAnsi="Arial"/>
                <w:sz w:val="17"/>
                <w:szCs w:val="17"/>
                <w:color w:val="auto"/>
              </w:rPr>
              <w:t>II-6</w:t>
            </w:r>
          </w:p>
        </w:tc>
        <w:tc>
          <w:tcPr>
            <w:tcW w:w="2380" w:type="dxa"/>
            <w:vAlign w:val="bottom"/>
          </w:tcPr>
          <w:p>
            <w:pPr>
              <w:spacing w:after="0"/>
              <w:rPr>
                <w:sz w:val="24"/>
                <w:szCs w:val="24"/>
                <w:color w:val="auto"/>
              </w:rPr>
            </w:pPr>
          </w:p>
        </w:tc>
      </w:tr>
    </w:tbl>
    <w:p>
      <w:pPr>
        <w:sectPr>
          <w:pgSz w:w="11900" w:h="16838" w:orient="portrait"/>
          <w:cols w:equalWidth="0" w:num="1">
            <w:col w:w="11160"/>
          </w:cols>
          <w:pgMar w:left="240" w:top="455"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ind w:left="2160"/>
        <w:spacing w:after="0"/>
        <w:tabs>
          <w:tab w:leader="none" w:pos="6100" w:val="left"/>
          <w:tab w:leader="none" w:pos="94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June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24384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2438400" cy="8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Arthur O. Tzianabos, Ph.D.</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*By Attorney-in-Fact</w:t>
      </w:r>
    </w:p>
    <w:p>
      <w:pPr>
        <w:spacing w:after="0" w:line="5" w:lineRule="exact"/>
        <w:rPr>
          <w:sz w:val="20"/>
          <w:szCs w:val="20"/>
          <w:color w:val="auto"/>
        </w:rPr>
      </w:pPr>
    </w:p>
    <w:p>
      <w:pPr>
        <w:jc w:val="center"/>
        <w:ind w:right="6120"/>
        <w:spacing w:after="0"/>
        <w:rPr>
          <w:sz w:val="20"/>
          <w:szCs w:val="20"/>
          <w:color w:val="auto"/>
        </w:rPr>
      </w:pPr>
      <w:r>
        <w:rPr>
          <w:rFonts w:ascii="Arial" w:cs="Arial" w:eastAsia="Arial" w:hAnsi="Arial"/>
          <w:sz w:val="17"/>
          <w:szCs w:val="17"/>
          <w:color w:val="auto"/>
        </w:rPr>
        <w:t>/s/ Stephen J. Tulipano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24384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2438400" cy="8255"/>
                    </a:xfrm>
                    <a:prstGeom prst="rect">
                      <a:avLst/>
                    </a:prstGeom>
                    <a:noFill/>
                  </pic:spPr>
                </pic:pic>
              </a:graphicData>
            </a:graphic>
          </wp:anchor>
        </w:drawing>
      </w:r>
    </w:p>
    <w:p>
      <w:pPr>
        <w:jc w:val="center"/>
        <w:ind w:right="6120"/>
        <w:spacing w:after="0"/>
        <w:rPr>
          <w:sz w:val="20"/>
          <w:szCs w:val="20"/>
          <w:color w:val="auto"/>
        </w:rPr>
      </w:pPr>
      <w:r>
        <w:rPr>
          <w:rFonts w:ascii="Arial" w:cs="Arial" w:eastAsia="Arial" w:hAnsi="Arial"/>
          <w:sz w:val="17"/>
          <w:szCs w:val="17"/>
          <w:color w:val="auto"/>
        </w:rPr>
        <w:t>Stephen J. Tulipano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17780</wp:posOffset>
            </wp:positionV>
            <wp:extent cx="6909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0500"/>
          </w:cols>
          <w:pgMar w:left="240" w:top="455" w:right="115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Stoke Therapeutics, Inc.</w:t>
      </w:r>
    </w:p>
    <w:p>
      <w:pPr>
        <w:spacing w:after="0" w:line="11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Shares of Common Stock</w:t>
      </w:r>
    </w:p>
    <w:p>
      <w:pPr>
        <w:spacing w:after="0" w:line="11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Underwriting Agreement</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Representatives of the</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several Underwriters listed</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Schedule 1 hereto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10010-3629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7" w:lineRule="exact"/>
        <w:rPr>
          <w:sz w:val="20"/>
          <w:szCs w:val="20"/>
          <w:color w:val="auto"/>
        </w:rPr>
      </w:pPr>
    </w:p>
    <w:p>
      <w:pPr>
        <w:ind w:right="300" w:firstLine="435"/>
        <w:spacing w:after="0" w:line="293" w:lineRule="auto"/>
        <w:rPr>
          <w:sz w:val="20"/>
          <w:szCs w:val="20"/>
          <w:color w:val="auto"/>
        </w:rPr>
      </w:pPr>
      <w:r>
        <w:rPr>
          <w:rFonts w:ascii="Arial" w:cs="Arial" w:eastAsia="Arial" w:hAnsi="Arial"/>
          <w:sz w:val="16"/>
          <w:szCs w:val="16"/>
          <w:color w:val="auto"/>
        </w:rPr>
        <w:t>Stoke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proposes to issue and sell to the several underwriters listed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you are acting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an aggregate of [—] shares of common stock, par value $0.0001 per share, of the Company (the “</w:t>
      </w:r>
      <w:r>
        <w:rPr>
          <w:rFonts w:ascii="Arial" w:cs="Arial" w:eastAsia="Arial" w:hAnsi="Arial"/>
          <w:sz w:val="16"/>
          <w:szCs w:val="16"/>
          <w:b w:val="1"/>
          <w:bCs w:val="1"/>
          <w:color w:val="auto"/>
        </w:rPr>
        <w:t>Underwritten Shares</w:t>
      </w:r>
      <w:r>
        <w:rPr>
          <w:rFonts w:ascii="Arial" w:cs="Arial" w:eastAsia="Arial" w:hAnsi="Arial"/>
          <w:sz w:val="16"/>
          <w:szCs w:val="16"/>
          <w:color w:val="auto"/>
        </w:rPr>
        <w:t>”) and, at the option of the Underwriters, up to an additional [—] shares of common stock of the Company (the “</w:t>
      </w:r>
      <w:r>
        <w:rPr>
          <w:rFonts w:ascii="Arial" w:cs="Arial" w:eastAsia="Arial" w:hAnsi="Arial"/>
          <w:sz w:val="16"/>
          <w:szCs w:val="16"/>
          <w:b w:val="1"/>
          <w:bCs w:val="1"/>
          <w:color w:val="auto"/>
        </w:rPr>
        <w:t>Option Shares</w:t>
      </w:r>
      <w:r>
        <w:rPr>
          <w:rFonts w:ascii="Arial" w:cs="Arial" w:eastAsia="Arial" w:hAnsi="Arial"/>
          <w:sz w:val="16"/>
          <w:szCs w:val="16"/>
          <w:color w:val="auto"/>
        </w:rPr>
        <w:t>”). The Underwritten Shares and the Option Shares are herein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common stock of the Company to be outstanding after giving effect to the sale of the Shares are referred to herein as the “</w:t>
      </w:r>
      <w:r>
        <w:rPr>
          <w:rFonts w:ascii="Arial" w:cs="Arial" w:eastAsia="Arial" w:hAnsi="Arial"/>
          <w:sz w:val="16"/>
          <w:szCs w:val="16"/>
          <w:b w:val="1"/>
          <w:bCs w:val="1"/>
          <w:color w:val="auto"/>
        </w:rPr>
        <w:t>Stock</w:t>
      </w:r>
      <w:r>
        <w:rPr>
          <w:rFonts w:ascii="Arial" w:cs="Arial" w:eastAsia="Arial" w:hAnsi="Arial"/>
          <w:sz w:val="16"/>
          <w:szCs w:val="16"/>
          <w:color w:val="auto"/>
        </w:rPr>
        <w:t>”.</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Shares, as follows:</w:t>
      </w:r>
    </w:p>
    <w:p>
      <w:pPr>
        <w:spacing w:after="0" w:line="119" w:lineRule="exact"/>
        <w:rPr>
          <w:sz w:val="20"/>
          <w:szCs w:val="20"/>
          <w:color w:val="auto"/>
        </w:rPr>
      </w:pPr>
    </w:p>
    <w:p>
      <w:pPr>
        <w:ind w:right="100" w:firstLine="428"/>
        <w:spacing w:after="0" w:line="251" w:lineRule="auto"/>
        <w:tabs>
          <w:tab w:leader="none" w:pos="61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prepared and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and the rules and regulations of the Commission thereunder (collectively, the “</w:t>
      </w:r>
      <w:r>
        <w:rPr>
          <w:rFonts w:ascii="Arial" w:cs="Arial" w:eastAsia="Arial" w:hAnsi="Arial"/>
          <w:sz w:val="18"/>
          <w:szCs w:val="18"/>
          <w:b w:val="1"/>
          <w:bCs w:val="1"/>
          <w:color w:val="auto"/>
        </w:rPr>
        <w:t>Securities Act</w:t>
      </w:r>
      <w:r>
        <w:rPr>
          <w:rFonts w:ascii="Arial" w:cs="Arial" w:eastAsia="Arial" w:hAnsi="Arial"/>
          <w:sz w:val="18"/>
          <w:szCs w:val="18"/>
          <w:color w:val="auto"/>
        </w:rPr>
        <w:t>”), a registration statement (File No. 333-231700),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w:t>
      </w:r>
      <w:r>
        <w:rPr>
          <w:rFonts w:ascii="Arial" w:cs="Arial" w:eastAsia="Arial" w:hAnsi="Arial"/>
          <w:sz w:val="18"/>
          <w:szCs w:val="18"/>
          <w:b w:val="1"/>
          <w:bCs w:val="1"/>
          <w:color w:val="auto"/>
        </w:rPr>
        <w:t>Rule 430 Information</w:t>
      </w:r>
      <w:r>
        <w:rPr>
          <w:rFonts w:ascii="Arial" w:cs="Arial" w:eastAsia="Arial" w:hAnsi="Arial"/>
          <w:sz w:val="18"/>
          <w:szCs w:val="18"/>
          <w:color w:val="auto"/>
        </w:rPr>
        <w:t>”), is referred to herein as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as used herein, the term “</w:t>
      </w:r>
      <w:r>
        <w:rPr>
          <w:rFonts w:ascii="Arial" w:cs="Arial" w:eastAsia="Arial" w:hAnsi="Arial"/>
          <w:sz w:val="18"/>
          <w:szCs w:val="18"/>
          <w:b w:val="1"/>
          <w:b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means each prospectus included in such registration statement (and any amendments thereto) before effectiveness, any prospectus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Commission</w:t>
      </w:r>
    </w:p>
    <w:p>
      <w:pPr>
        <w:sectPr>
          <w:pgSz w:w="11900" w:h="16838" w:orient="portrait"/>
          <w:cols w:equalWidth="0" w:num="1">
            <w:col w:w="10880"/>
          </w:cols>
          <w:pgMar w:left="520" w:top="121" w:right="499" w:bottom="1440" w:gutter="0" w:footer="0" w:header="0"/>
        </w:sectPr>
      </w:pPr>
    </w:p>
    <w:bookmarkStart w:id="224" w:name="page225"/>
    <w:bookmarkEnd w:id="22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pursuant to Rule 424(a) under the Securities Act and the prospectus included in the Registration Statement at the time of its effectiveness that omits Rule 430 Information, and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shall be deemed to include such Rule 462 Registration Statement. Capitalized terms used but not defined herein shall have the meanings</w:t>
      </w:r>
      <w:r>
        <w:rPr>
          <w:rFonts w:ascii="Arial" w:cs="Arial" w:eastAsia="Arial" w:hAnsi="Arial"/>
          <w:sz w:val="17"/>
          <w:szCs w:val="17"/>
          <w:b w:val="1"/>
          <w:bCs w:val="1"/>
          <w:color w:val="auto"/>
        </w:rPr>
        <w:t xml:space="preserve"> </w:t>
      </w:r>
      <w:r>
        <w:rPr>
          <w:rFonts w:ascii="Arial" w:cs="Arial" w:eastAsia="Arial" w:hAnsi="Arial"/>
          <w:sz w:val="17"/>
          <w:szCs w:val="17"/>
          <w:color w:val="auto"/>
        </w:rPr>
        <w:t>given to such terms in the Registration Statement and the Prospectus.</w:t>
      </w:r>
    </w:p>
    <w:p>
      <w:pPr>
        <w:spacing w:after="0" w:line="179" w:lineRule="exact"/>
        <w:rPr>
          <w:sz w:val="20"/>
          <w:szCs w:val="20"/>
          <w:color w:val="auto"/>
        </w:rPr>
      </w:pPr>
    </w:p>
    <w:p>
      <w:pPr>
        <w:ind w:right="240" w:firstLine="435"/>
        <w:spacing w:after="0" w:line="257" w:lineRule="auto"/>
        <w:rPr>
          <w:sz w:val="20"/>
          <w:szCs w:val="20"/>
          <w:color w:val="auto"/>
        </w:rPr>
      </w:pPr>
      <w:r>
        <w:rPr>
          <w:rFonts w:ascii="Arial" w:cs="Arial" w:eastAsia="Arial" w:hAnsi="Arial"/>
          <w:sz w:val="18"/>
          <w:szCs w:val="18"/>
          <w:color w:val="auto"/>
        </w:rPr>
        <w:t xml:space="preserve">At or prior to the Applicable Time (as defined below), the Company had prepared the following information (collectively with the pricing information set forth in Part I of </w:t>
      </w:r>
      <w:r>
        <w:rPr>
          <w:rFonts w:ascii="Arial" w:cs="Arial" w:eastAsia="Arial" w:hAnsi="Arial"/>
          <w:sz w:val="18"/>
          <w:szCs w:val="18"/>
          <w:u w:val="single" w:color="auto"/>
          <w:color w:val="auto"/>
        </w:rPr>
        <w:t>Annex A</w:t>
      </w:r>
      <w:r>
        <w:rPr>
          <w:rFonts w:ascii="Arial" w:cs="Arial" w:eastAsia="Arial" w:hAnsi="Arial"/>
          <w:sz w:val="18"/>
          <w:szCs w:val="18"/>
          <w:color w:val="auto"/>
        </w:rPr>
        <w:t>, the “</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xml:space="preserve">”): a Preliminary Prospectus dated June [—], 2019 and any “free-writing prospectus” (as defined pursuant to Rule 405 under the Securities Act) listed in Part II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82" w:lineRule="exact"/>
        <w:rPr>
          <w:sz w:val="20"/>
          <w:szCs w:val="20"/>
          <w:color w:val="auto"/>
        </w:rPr>
      </w:pPr>
    </w:p>
    <w:p>
      <w:pPr>
        <w:ind w:left="420"/>
        <w:spacing w:after="0"/>
        <w:tabs>
          <w:tab w:leader="none" w:pos="26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w:t>
      </w:r>
      <w:r>
        <w:rPr>
          <w:sz w:val="20"/>
          <w:szCs w:val="20"/>
          <w:color w:val="auto"/>
        </w:rPr>
        <w:tab/>
      </w:r>
      <w:r>
        <w:rPr>
          <w:rFonts w:ascii="Arial" w:cs="Arial" w:eastAsia="Arial" w:hAnsi="Arial"/>
          <w:sz w:val="16"/>
          <w:szCs w:val="16"/>
          <w:color w:val="auto"/>
        </w:rPr>
        <w:t>] P.M., New York City time, on June [—], 2019.</w:t>
      </w:r>
    </w:p>
    <w:p>
      <w:pPr>
        <w:spacing w:after="0" w:line="226" w:lineRule="exact"/>
        <w:rPr>
          <w:sz w:val="20"/>
          <w:szCs w:val="20"/>
          <w:color w:val="auto"/>
        </w:rPr>
      </w:pPr>
    </w:p>
    <w:p>
      <w:pPr>
        <w:ind w:left="600" w:hanging="172"/>
        <w:spacing w:after="0"/>
        <w:tabs>
          <w:tab w:leader="none" w:pos="6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Purchase of the Shares</w:t>
      </w:r>
      <w:r>
        <w:rPr>
          <w:rFonts w:ascii="Arial" w:cs="Arial" w:eastAsia="Arial" w:hAnsi="Arial"/>
          <w:sz w:val="18"/>
          <w:szCs w:val="18"/>
          <w:color w:val="auto"/>
        </w:rPr>
        <w:t>.</w:t>
      </w:r>
    </w:p>
    <w:p>
      <w:pPr>
        <w:spacing w:after="0" w:line="220" w:lineRule="exact"/>
        <w:rPr>
          <w:sz w:val="20"/>
          <w:szCs w:val="20"/>
          <w:color w:val="auto"/>
        </w:rPr>
      </w:pPr>
    </w:p>
    <w:p>
      <w:pPr>
        <w:jc w:val="both"/>
        <w:ind w:right="60" w:firstLine="428"/>
        <w:spacing w:after="0" w:line="273" w:lineRule="auto"/>
        <w:tabs>
          <w:tab w:leader="none" w:pos="67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 agrees to issue and sell the Underwritten Shares to the several Underwriters as provided in this underwriting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and each Underwriter, on the basis of the representations, warranties and agreements set forth herein and subject to the conditions set forth herein, agrees, severally and not jointly, to purchase at a price per share of $[—] (the “</w:t>
      </w:r>
      <w:r>
        <w:rPr>
          <w:rFonts w:ascii="Arial" w:cs="Arial" w:eastAsia="Arial" w:hAnsi="Arial"/>
          <w:sz w:val="17"/>
          <w:szCs w:val="17"/>
          <w:b w:val="1"/>
          <w:bCs w:val="1"/>
          <w:color w:val="auto"/>
        </w:rPr>
        <w:t>Purchase Price</w:t>
      </w:r>
      <w:r>
        <w:rPr>
          <w:rFonts w:ascii="Arial" w:cs="Arial" w:eastAsia="Arial" w:hAnsi="Arial"/>
          <w:sz w:val="17"/>
          <w:szCs w:val="17"/>
          <w:color w:val="auto"/>
        </w:rPr>
        <w:t xml:space="preserve">”) from the Company the respective number of Underwritten Shares set forth opposite such Underwriter’s name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w:t>
      </w:r>
    </w:p>
    <w:p>
      <w:pPr>
        <w:spacing w:after="0" w:line="177" w:lineRule="exact"/>
        <w:rPr>
          <w:sz w:val="20"/>
          <w:szCs w:val="20"/>
          <w:color w:val="auto"/>
        </w:rPr>
      </w:pPr>
    </w:p>
    <w:p>
      <w:pPr>
        <w:ind w:right="40" w:firstLine="435"/>
        <w:spacing w:after="0" w:line="295" w:lineRule="auto"/>
        <w:rPr>
          <w:sz w:val="20"/>
          <w:szCs w:val="20"/>
          <w:color w:val="auto"/>
        </w:rPr>
      </w:pPr>
      <w:r>
        <w:rPr>
          <w:rFonts w:ascii="Arial" w:cs="Arial" w:eastAsia="Arial" w:hAnsi="Arial"/>
          <w:sz w:val="16"/>
          <w:szCs w:val="16"/>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62" w:lineRule="exact"/>
        <w:rPr>
          <w:sz w:val="20"/>
          <w:szCs w:val="20"/>
          <w:color w:val="auto"/>
        </w:rPr>
      </w:pPr>
    </w:p>
    <w:p>
      <w:pPr>
        <w:ind w:right="40" w:firstLine="435"/>
        <w:spacing w:after="0" w:line="270" w:lineRule="auto"/>
        <w:rPr>
          <w:sz w:val="20"/>
          <w:szCs w:val="20"/>
          <w:color w:val="auto"/>
        </w:rPr>
      </w:pPr>
      <w:r>
        <w:rPr>
          <w:rFonts w:ascii="Arial" w:cs="Arial" w:eastAsia="Arial" w:hAnsi="Arial"/>
          <w:sz w:val="17"/>
          <w:szCs w:val="17"/>
          <w:color w:val="auto"/>
        </w:rPr>
        <w:t xml:space="preserve">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81" w:lineRule="exact"/>
        <w:rPr>
          <w:sz w:val="20"/>
          <w:szCs w:val="20"/>
          <w:color w:val="auto"/>
        </w:rPr>
      </w:pPr>
    </w:p>
    <w:p>
      <w:pPr>
        <w:ind w:firstLine="435"/>
        <w:spacing w:after="0" w:line="288" w:lineRule="auto"/>
        <w:rPr>
          <w:sz w:val="20"/>
          <w:szCs w:val="20"/>
          <w:color w:val="auto"/>
        </w:rPr>
      </w:pPr>
      <w:r>
        <w:rPr>
          <w:rFonts w:ascii="Arial" w:cs="Arial" w:eastAsia="Arial" w:hAnsi="Arial"/>
          <w:sz w:val="16"/>
          <w:szCs w:val="16"/>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ectPr>
          <w:pgSz w:w="11900" w:h="16838" w:orient="portrait"/>
          <w:cols w:equalWidth="0" w:num="1">
            <w:col w:w="10860"/>
          </w:cols>
          <w:pgMar w:left="520" w:top="274" w:right="519" w:bottom="1440" w:gutter="0" w:footer="0" w:header="0"/>
        </w:sectPr>
      </w:pPr>
    </w:p>
    <w:bookmarkStart w:id="225" w:name="page226"/>
    <w:bookmarkEnd w:id="225"/>
    <w:p>
      <w:pPr>
        <w:jc w:val="both"/>
        <w:ind w:right="180" w:firstLine="428"/>
        <w:spacing w:after="0" w:line="257" w:lineRule="auto"/>
        <w:tabs>
          <w:tab w:leader="none" w:pos="6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88" w:lineRule="exact"/>
        <w:rPr>
          <w:rFonts w:ascii="Arial" w:cs="Arial" w:eastAsia="Arial" w:hAnsi="Arial"/>
          <w:sz w:val="18"/>
          <w:szCs w:val="18"/>
          <w:color w:val="auto"/>
        </w:rPr>
      </w:pPr>
    </w:p>
    <w:p>
      <w:pPr>
        <w:ind w:right="80" w:firstLine="428"/>
        <w:spacing w:after="0" w:line="267" w:lineRule="auto"/>
        <w:tabs>
          <w:tab w:leader="none" w:pos="67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Payment for the Shares shall be made by wire transfer in immediately available funds to the account specified by the Company to the Representatives in the case of the Underwritten Shares through the offices of Davis Polk &amp; Wardwell LLP, 450 Lexington Avenue, New York, New York 10017 at 10:00 A.M. New York City time on June [—], 2019,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w:t>
      </w:r>
      <w:r>
        <w:rPr>
          <w:rFonts w:ascii="Arial" w:cs="Arial" w:eastAsia="Arial" w:hAnsi="Arial"/>
          <w:sz w:val="17"/>
          <w:szCs w:val="17"/>
          <w:b w:val="1"/>
          <w:bCs w:val="1"/>
          <w:color w:val="auto"/>
        </w:rPr>
        <w:t>Closing Date</w:t>
      </w:r>
      <w:r>
        <w:rPr>
          <w:rFonts w:ascii="Arial" w:cs="Arial" w:eastAsia="Arial" w:hAnsi="Arial"/>
          <w:sz w:val="17"/>
          <w:szCs w:val="17"/>
          <w:color w:val="auto"/>
        </w:rPr>
        <w:t>”, and the time and date for such payment for the Option Shares, if other than the Closing Date, is herein referred to as the “</w:t>
      </w:r>
      <w:r>
        <w:rPr>
          <w:rFonts w:ascii="Arial" w:cs="Arial" w:eastAsia="Arial" w:hAnsi="Arial"/>
          <w:sz w:val="17"/>
          <w:szCs w:val="17"/>
          <w:b w:val="1"/>
          <w:bCs w:val="1"/>
          <w:color w:val="auto"/>
        </w:rPr>
        <w:t>Additional Closing Date</w:t>
      </w:r>
      <w:r>
        <w:rPr>
          <w:rFonts w:ascii="Arial" w:cs="Arial" w:eastAsia="Arial" w:hAnsi="Arial"/>
          <w:sz w:val="17"/>
          <w:szCs w:val="17"/>
          <w:color w:val="auto"/>
        </w:rPr>
        <w:t>”.</w:t>
      </w:r>
    </w:p>
    <w:p>
      <w:pPr>
        <w:spacing w:after="0" w:line="185" w:lineRule="exact"/>
        <w:rPr>
          <w:sz w:val="20"/>
          <w:szCs w:val="20"/>
          <w:color w:val="auto"/>
        </w:rPr>
      </w:pPr>
    </w:p>
    <w:p>
      <w:pPr>
        <w:ind w:right="20" w:firstLine="435"/>
        <w:spacing w:after="0" w:line="295" w:lineRule="auto"/>
        <w:rPr>
          <w:sz w:val="20"/>
          <w:szCs w:val="20"/>
          <w:color w:val="auto"/>
        </w:rPr>
      </w:pPr>
      <w:r>
        <w:rPr>
          <w:rFonts w:ascii="Arial" w:cs="Arial" w:eastAsia="Arial" w:hAnsi="Arial"/>
          <w:sz w:val="16"/>
          <w:szCs w:val="16"/>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unless the Representatives shall otherwise instruct.</w:t>
      </w:r>
    </w:p>
    <w:p>
      <w:pPr>
        <w:spacing w:after="0" w:line="162" w:lineRule="exact"/>
        <w:rPr>
          <w:sz w:val="20"/>
          <w:szCs w:val="20"/>
          <w:color w:val="auto"/>
        </w:rPr>
      </w:pPr>
    </w:p>
    <w:p>
      <w:pPr>
        <w:ind w:firstLine="428"/>
        <w:spacing w:after="0" w:line="266" w:lineRule="auto"/>
        <w:tabs>
          <w:tab w:leader="none" w:pos="68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84" w:lineRule="exact"/>
        <w:rPr>
          <w:sz w:val="20"/>
          <w:szCs w:val="20"/>
          <w:color w:val="auto"/>
        </w:rPr>
      </w:pPr>
    </w:p>
    <w:p>
      <w:pPr>
        <w:ind w:left="600" w:hanging="172"/>
        <w:spacing w:after="0"/>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3" w:lineRule="exact"/>
        <w:rPr>
          <w:rFonts w:ascii="Arial" w:cs="Arial" w:eastAsia="Arial" w:hAnsi="Arial"/>
          <w:sz w:val="18"/>
          <w:szCs w:val="18"/>
          <w:color w:val="auto"/>
        </w:rPr>
      </w:pPr>
    </w:p>
    <w:p>
      <w:pPr>
        <w:ind w:left="420" w:firstLine="426"/>
        <w:spacing w:after="0" w:line="267" w:lineRule="auto"/>
        <w:tabs>
          <w:tab w:leader="none" w:pos="1079"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ectPr>
          <w:pgSz w:w="11900" w:h="16838" w:orient="portrait"/>
          <w:cols w:equalWidth="0" w:num="1">
            <w:col w:w="10860"/>
          </w:cols>
          <w:pgMar w:left="520" w:top="274" w:right="519" w:bottom="1440" w:gutter="0" w:footer="0" w:header="0"/>
        </w:sectPr>
      </w:pPr>
    </w:p>
    <w:bookmarkStart w:id="226" w:name="page227"/>
    <w:bookmarkEnd w:id="226"/>
    <w:p>
      <w:pPr>
        <w:ind w:left="-426" w:right="80" w:firstLine="426"/>
        <w:spacing w:after="0" w:line="266" w:lineRule="auto"/>
        <w:tabs>
          <w:tab w:leader="none" w:pos="243"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Pricing Disclosure Package</w:t>
      </w:r>
      <w:r>
        <w:rPr>
          <w:rFonts w:ascii="Arial" w:cs="Arial" w:eastAsia="Arial" w:hAnsi="Arial"/>
          <w:sz w:val="17"/>
          <w:szCs w:val="17"/>
          <w:color w:val="auto"/>
        </w:rPr>
        <w:t>. The Pricing Disclosure Package as of the Applicable Time did not, and as of the Closing Date and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77" w:lineRule="exact"/>
        <w:rPr>
          <w:rFonts w:ascii="Arial" w:cs="Arial" w:eastAsia="Arial" w:hAnsi="Arial"/>
          <w:sz w:val="17"/>
          <w:szCs w:val="17"/>
          <w:color w:val="auto"/>
        </w:rPr>
      </w:pPr>
    </w:p>
    <w:p>
      <w:pPr>
        <w:ind w:left="-426" w:firstLine="426"/>
        <w:spacing w:after="0" w:line="263" w:lineRule="auto"/>
        <w:tabs>
          <w:tab w:leader="none" w:pos="233"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Other than the Registration Statement, the Preliminary Prospectus and the Prospectus,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xml:space="preserve">”) other than (i) any document not constituting a prospectus pursuant to Section 2(a)(10)(a) of the Securities Act or Rule 134 under the Securities Act or (ii) the documents listed in Part II of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each electronic road show and any other written communications approved in writing in advance by the Representatives, such approval not to be unreasonably withheld or delayed. Each such Issuer Free Writing Prospectus, if any,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Pricing Disclosure Package, and, when taken together with any other Issuer Free Writing Prospectus and the Preliminary Prospectus, in each case,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90" w:lineRule="exact"/>
        <w:rPr>
          <w:rFonts w:ascii="Arial" w:cs="Arial" w:eastAsia="Arial" w:hAnsi="Arial"/>
          <w:sz w:val="17"/>
          <w:szCs w:val="17"/>
          <w:color w:val="auto"/>
        </w:rPr>
      </w:pPr>
    </w:p>
    <w:p>
      <w:pPr>
        <w:ind w:left="-426" w:right="340" w:firstLine="426"/>
        <w:spacing w:after="0" w:line="270" w:lineRule="auto"/>
        <w:tabs>
          <w:tab w:leader="none" w:pos="243"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Emerging Growth Company</w:t>
      </w:r>
      <w:r>
        <w:rPr>
          <w:rFonts w:ascii="Arial" w:cs="Arial" w:eastAsia="Arial" w:hAnsi="Arial"/>
          <w:sz w:val="17"/>
          <w:szCs w:val="17"/>
          <w:color w:val="auto"/>
        </w:rPr>
        <w:t>. From the time of initial confidential submission of the Registration Statement to the Commission (or, if</w:t>
      </w:r>
      <w:r>
        <w:rPr>
          <w:rFonts w:ascii="Arial" w:cs="Arial" w:eastAsia="Arial" w:hAnsi="Arial"/>
          <w:sz w:val="17"/>
          <w:szCs w:val="17"/>
          <w:i w:val="1"/>
          <w:iCs w:val="1"/>
          <w:color w:val="auto"/>
        </w:rPr>
        <w:t xml:space="preserve"> </w:t>
      </w:r>
      <w:r>
        <w:rPr>
          <w:rFonts w:ascii="Arial" w:cs="Arial" w:eastAsia="Arial" w:hAnsi="Arial"/>
          <w:sz w:val="17"/>
          <w:szCs w:val="17"/>
          <w:color w:val="auto"/>
        </w:rPr>
        <w:t>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7"/>
          <w:szCs w:val="17"/>
          <w:b w:val="1"/>
          <w:bCs w:val="1"/>
          <w:color w:val="auto"/>
        </w:rPr>
        <w:t>Emerging Growth Company</w:t>
      </w:r>
      <w:r>
        <w:rPr>
          <w:rFonts w:ascii="Arial" w:cs="Arial" w:eastAsia="Arial" w:hAnsi="Arial"/>
          <w:sz w:val="17"/>
          <w:szCs w:val="17"/>
          <w:color w:val="auto"/>
        </w:rPr>
        <w:t>”).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oral or written communication with potential investors undertaken in reliance on Section 5(d) of the Securities Act.</w:t>
      </w:r>
    </w:p>
    <w:p>
      <w:pPr>
        <w:sectPr>
          <w:pgSz w:w="11900" w:h="16838" w:orient="portrait"/>
          <w:cols w:equalWidth="0" w:num="1">
            <w:col w:w="10034"/>
          </w:cols>
          <w:pgMar w:left="1366" w:top="274" w:right="499" w:bottom="1440" w:gutter="0" w:footer="0" w:header="0"/>
        </w:sectPr>
      </w:pPr>
    </w:p>
    <w:bookmarkStart w:id="227" w:name="page228"/>
    <w:bookmarkEnd w:id="227"/>
    <w:p>
      <w:pPr>
        <w:ind w:right="20" w:firstLine="41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(e) </w:t>
      </w:r>
      <w:r>
        <w:rPr>
          <w:rFonts w:ascii="Arial" w:cs="Arial" w:eastAsia="Arial" w:hAnsi="Arial"/>
          <w:sz w:val="16"/>
          <w:szCs w:val="16"/>
          <w:i w:val="1"/>
          <w:iCs w:val="1"/>
          <w:color w:val="auto"/>
        </w:rPr>
        <w:t>Testing-the-Waters Materials.</w:t>
      </w:r>
      <w:r>
        <w:rPr>
          <w:rFonts w:ascii="Arial" w:cs="Arial" w:eastAsia="Arial" w:hAnsi="Arial"/>
          <w:sz w:val="16"/>
          <w:szCs w:val="16"/>
          <w:color w:val="auto"/>
        </w:rPr>
        <w:t xml:space="preserve"> The Company (i) has not alone engaged in any Testing-the-Waters Communications,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w:t>
      </w:r>
    </w:p>
    <w:p>
      <w:pPr>
        <w:ind w:firstLine="8"/>
        <w:spacing w:after="0" w:line="283" w:lineRule="auto"/>
        <w:tabs>
          <w:tab w:leader="none" w:pos="26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Company has not distributed or approved for distribution any Written Testing-the-Waters Communications other than those listed on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63" w:lineRule="exact"/>
        <w:rPr>
          <w:rFonts w:ascii="Arial" w:cs="Arial" w:eastAsia="Arial" w:hAnsi="Arial"/>
          <w:sz w:val="16"/>
          <w:szCs w:val="16"/>
          <w:color w:val="auto"/>
        </w:rPr>
      </w:pPr>
    </w:p>
    <w:p>
      <w:pPr>
        <w:ind w:right="20" w:firstLine="426"/>
        <w:spacing w:after="0" w:line="282" w:lineRule="auto"/>
        <w:tabs>
          <w:tab w:leader="none" w:pos="640" w:val="left"/>
        </w:tabs>
        <w:numPr>
          <w:ilvl w:val="1"/>
          <w:numId w:val="128"/>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has been declared effective by the Commission. No order suspending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67" w:lineRule="exact"/>
        <w:rPr>
          <w:rFonts w:ascii="Arial" w:cs="Arial" w:eastAsia="Arial" w:hAnsi="Arial"/>
          <w:sz w:val="16"/>
          <w:szCs w:val="16"/>
          <w:color w:val="auto"/>
        </w:rPr>
      </w:pPr>
    </w:p>
    <w:p>
      <w:pPr>
        <w:ind w:right="340" w:firstLine="426"/>
        <w:spacing w:after="0" w:line="295" w:lineRule="auto"/>
        <w:tabs>
          <w:tab w:leader="none" w:pos="669" w:val="left"/>
        </w:tabs>
        <w:numPr>
          <w:ilvl w:val="1"/>
          <w:numId w:val="12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Company and its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w:t>
      </w:r>
    </w:p>
    <w:p>
      <w:pPr>
        <w:sectPr>
          <w:pgSz w:w="11900" w:h="16838" w:orient="portrait"/>
          <w:cols w:equalWidth="0" w:num="1">
            <w:col w:w="10460"/>
          </w:cols>
          <w:pgMar w:left="940" w:top="274" w:right="499" w:bottom="1440" w:gutter="0" w:footer="0" w:header="0"/>
        </w:sectPr>
      </w:pPr>
    </w:p>
    <w:bookmarkStart w:id="228" w:name="page229"/>
    <w:bookmarkEnd w:id="22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financial statements have been prepared in conformity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 If applicable, the disclosure included in the Registration Statement, the Pricing Disclosure Package and the Prospectus regarding “non-GAAP financial measures” (as such term is defined by the rules and regulations of the Commission) complies, to the extent applicable, with Regulation G of the Exchange Act and Item 10 of Regulation S-K of the Securities Act.</w:t>
      </w:r>
    </w:p>
    <w:p>
      <w:pPr>
        <w:spacing w:after="0" w:line="61" w:lineRule="exact"/>
        <w:rPr>
          <w:sz w:val="20"/>
          <w:szCs w:val="20"/>
          <w:color w:val="auto"/>
        </w:rPr>
      </w:pPr>
    </w:p>
    <w:p>
      <w:pPr>
        <w:ind w:right="40" w:firstLine="426"/>
        <w:spacing w:after="0" w:line="282" w:lineRule="auto"/>
        <w:tabs>
          <w:tab w:leader="none" w:pos="669"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67" w:lineRule="exact"/>
        <w:rPr>
          <w:rFonts w:ascii="Arial" w:cs="Arial" w:eastAsia="Arial" w:hAnsi="Arial"/>
          <w:sz w:val="16"/>
          <w:szCs w:val="16"/>
          <w:color w:val="auto"/>
        </w:rPr>
      </w:pPr>
    </w:p>
    <w:p>
      <w:pPr>
        <w:ind w:right="100" w:firstLine="426"/>
        <w:spacing w:after="0" w:line="284" w:lineRule="auto"/>
        <w:tabs>
          <w:tab w:leader="none" w:pos="63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Company and each of its subsidiaries have been duly organized and are validly existing and in</w:t>
      </w:r>
      <w:r>
        <w:rPr>
          <w:rFonts w:ascii="Arial" w:cs="Arial" w:eastAsia="Arial" w:hAnsi="Arial"/>
          <w:sz w:val="16"/>
          <w:szCs w:val="16"/>
          <w:i w:val="1"/>
          <w:iCs w:val="1"/>
          <w:color w:val="auto"/>
        </w:rPr>
        <w:t xml:space="preserve"> </w:t>
      </w:r>
      <w:r>
        <w:rPr>
          <w:rFonts w:ascii="Arial" w:cs="Arial" w:eastAsia="Arial" w:hAnsi="Arial"/>
          <w:sz w:val="16"/>
          <w:szCs w:val="16"/>
          <w:color w:val="auto"/>
        </w:rPr>
        <w:t>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The Company does not own or control, directly or indirectly, any corporation, association or other entity other than the subsidiaries listed in Exhibit 21 to the Registration Statement.</w:t>
      </w:r>
    </w:p>
    <w:p>
      <w:pPr>
        <w:sectPr>
          <w:pgSz w:w="11900" w:h="16838" w:orient="portrait"/>
          <w:cols w:equalWidth="0" w:num="1">
            <w:col w:w="10460"/>
          </w:cols>
          <w:pgMar w:left="940" w:top="268" w:right="499" w:bottom="1440" w:gutter="0" w:footer="0" w:header="0"/>
        </w:sectPr>
      </w:pPr>
    </w:p>
    <w:bookmarkStart w:id="229" w:name="page230"/>
    <w:bookmarkEnd w:id="229"/>
    <w:p>
      <w:pPr>
        <w:ind w:left="-426" w:firstLine="426"/>
        <w:spacing w:after="0" w:line="283" w:lineRule="auto"/>
        <w:tabs>
          <w:tab w:leader="none" w:pos="204"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Capitalization. </w:t>
      </w:r>
      <w:r>
        <w:rPr>
          <w:rFonts w:ascii="Arial" w:cs="Arial" w:eastAsia="Arial" w:hAnsi="Arial"/>
          <w:sz w:val="16"/>
          <w:szCs w:val="16"/>
          <w:color w:val="auto"/>
        </w:rPr>
        <w:t>The Company has an authorized capitalization as set forth in the Registration Statement, the Pricing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under the heading “Capitalization”; all the outstanding shares of capital stock of the Company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57" w:lineRule="exact"/>
        <w:rPr>
          <w:rFonts w:ascii="Arial" w:cs="Arial" w:eastAsia="Arial" w:hAnsi="Arial"/>
          <w:sz w:val="16"/>
          <w:szCs w:val="16"/>
          <w:color w:val="auto"/>
        </w:rPr>
      </w:pPr>
    </w:p>
    <w:p>
      <w:pPr>
        <w:ind w:left="-426" w:right="20" w:firstLine="426"/>
        <w:spacing w:after="0" w:line="283" w:lineRule="auto"/>
        <w:tabs>
          <w:tab w:leader="none" w:pos="243"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With respect to the stock options (the “</w:t>
      </w:r>
      <w:r>
        <w:rPr>
          <w:rFonts w:ascii="Arial" w:cs="Arial" w:eastAsia="Arial" w:hAnsi="Arial"/>
          <w:sz w:val="16"/>
          <w:szCs w:val="16"/>
          <w:b w:val="1"/>
          <w:bCs w:val="1"/>
          <w:color w:val="auto"/>
        </w:rPr>
        <w:t>Stock Options</w:t>
      </w:r>
      <w:r>
        <w:rPr>
          <w:rFonts w:ascii="Arial" w:cs="Arial" w:eastAsia="Arial" w:hAnsi="Arial"/>
          <w:sz w:val="16"/>
          <w:szCs w:val="16"/>
          <w:color w:val="auto"/>
        </w:rPr>
        <w:t>”) granted pursuant to the stock-based compensation plans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(the “</w:t>
      </w:r>
      <w:r>
        <w:rPr>
          <w:rFonts w:ascii="Arial" w:cs="Arial" w:eastAsia="Arial" w:hAnsi="Arial"/>
          <w:sz w:val="16"/>
          <w:szCs w:val="16"/>
          <w:b w:val="1"/>
          <w:bCs w:val="1"/>
          <w:color w:val="auto"/>
        </w:rPr>
        <w:t>Company Stock Plans</w:t>
      </w:r>
      <w:r>
        <w:rPr>
          <w:rFonts w:ascii="Arial" w:cs="Arial" w:eastAsia="Arial" w:hAnsi="Arial"/>
          <w:sz w:val="16"/>
          <w:szCs w:val="16"/>
          <w:color w:val="auto"/>
        </w:rPr>
        <w:t>”), (i) each Stock Option intended to qualify as an “incentive stock option” under Section 422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Company Stock Plans, the applicable terms of the Exchange Act and all other applicable laws and regulatory rules or requirements, including the rules of any exchange on which Company securities may be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69" w:lineRule="exact"/>
        <w:rPr>
          <w:rFonts w:ascii="Arial" w:cs="Arial" w:eastAsia="Arial" w:hAnsi="Arial"/>
          <w:sz w:val="16"/>
          <w:szCs w:val="16"/>
          <w:color w:val="auto"/>
        </w:rPr>
      </w:pPr>
    </w:p>
    <w:p>
      <w:pPr>
        <w:ind w:left="-426" w:right="20" w:firstLine="426"/>
        <w:spacing w:after="0" w:line="257" w:lineRule="auto"/>
        <w:tabs>
          <w:tab w:leader="none" w:pos="204"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full right, power and authority to execute and deliver this Agreement and to perform its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81" w:lineRule="exact"/>
        <w:rPr>
          <w:rFonts w:ascii="Arial" w:cs="Arial" w:eastAsia="Arial" w:hAnsi="Arial"/>
          <w:sz w:val="18"/>
          <w:szCs w:val="18"/>
          <w:color w:val="auto"/>
        </w:rPr>
      </w:pPr>
    </w:p>
    <w:p>
      <w:pPr>
        <w:ind w:left="294" w:hanging="294"/>
        <w:spacing w:after="0"/>
        <w:tabs>
          <w:tab w:leader="none" w:pos="294"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3" w:lineRule="exact"/>
        <w:rPr>
          <w:rFonts w:ascii="Arial" w:cs="Arial" w:eastAsia="Arial" w:hAnsi="Arial"/>
          <w:sz w:val="18"/>
          <w:szCs w:val="18"/>
          <w:color w:val="auto"/>
        </w:rPr>
      </w:pPr>
    </w:p>
    <w:p>
      <w:pPr>
        <w:ind w:left="-426" w:right="20" w:firstLine="426"/>
        <w:spacing w:after="0" w:line="273" w:lineRule="auto"/>
        <w:tabs>
          <w:tab w:leader="none" w:pos="243"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The Shares. </w:t>
      </w:r>
      <w:r>
        <w:rPr>
          <w:rFonts w:ascii="Arial" w:cs="Arial" w:eastAsia="Arial" w:hAnsi="Arial"/>
          <w:sz w:val="17"/>
          <w:szCs w:val="17"/>
          <w:color w:val="auto"/>
        </w:rPr>
        <w:t>The Shares to be issued and sold by the Company hereunder have been duly authorized by the Company and, when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 that have not been duly waived or satisfied.</w:t>
      </w:r>
    </w:p>
    <w:p>
      <w:pPr>
        <w:sectPr>
          <w:pgSz w:w="11900" w:h="16838" w:orient="portrait"/>
          <w:cols w:equalWidth="0" w:num="1">
            <w:col w:w="10014"/>
          </w:cols>
          <w:pgMar w:left="1366" w:top="274" w:right="519" w:bottom="1440" w:gutter="0" w:footer="0" w:header="0"/>
        </w:sectPr>
      </w:pPr>
    </w:p>
    <w:bookmarkStart w:id="230" w:name="page231"/>
    <w:bookmarkEnd w:id="230"/>
    <w:p>
      <w:pPr>
        <w:ind w:right="60" w:firstLine="426"/>
        <w:spacing w:after="0" w:line="267" w:lineRule="auto"/>
        <w:tabs>
          <w:tab w:leader="none" w:pos="669"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Description of the Underwriting Agreement. </w:t>
      </w:r>
      <w:r>
        <w:rPr>
          <w:rFonts w:ascii="Arial" w:cs="Arial" w:eastAsia="Arial" w:hAnsi="Arial"/>
          <w:sz w:val="18"/>
          <w:szCs w:val="18"/>
          <w:color w:val="auto"/>
        </w:rPr>
        <w:t>This Agreement conforms in all material respects to the description thereof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w:t>
      </w:r>
    </w:p>
    <w:p>
      <w:pPr>
        <w:spacing w:after="0" w:line="72" w:lineRule="exact"/>
        <w:rPr>
          <w:rFonts w:ascii="Arial" w:cs="Arial" w:eastAsia="Arial" w:hAnsi="Arial"/>
          <w:sz w:val="18"/>
          <w:szCs w:val="18"/>
          <w:color w:val="auto"/>
        </w:rPr>
      </w:pPr>
    </w:p>
    <w:p>
      <w:pPr>
        <w:ind w:left="680" w:hanging="254"/>
        <w:spacing w:after="0"/>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w:t>
      </w:r>
    </w:p>
    <w:p>
      <w:pPr>
        <w:spacing w:after="0" w:line="17" w:lineRule="exact"/>
        <w:rPr>
          <w:rFonts w:ascii="Arial" w:cs="Arial" w:eastAsia="Arial" w:hAnsi="Arial"/>
          <w:sz w:val="18"/>
          <w:szCs w:val="18"/>
          <w:color w:val="auto"/>
        </w:rPr>
      </w:pPr>
    </w:p>
    <w:p>
      <w:pPr>
        <w:spacing w:after="0" w:line="285" w:lineRule="auto"/>
        <w:rPr>
          <w:rFonts w:ascii="Arial" w:cs="Arial" w:eastAsia="Arial" w:hAnsi="Arial"/>
          <w:sz w:val="18"/>
          <w:szCs w:val="18"/>
          <w:color w:val="auto"/>
        </w:rPr>
      </w:pPr>
      <w:r>
        <w:rPr>
          <w:rFonts w:ascii="Arial" w:cs="Arial" w:eastAsia="Arial" w:hAnsi="Arial"/>
          <w:sz w:val="16"/>
          <w:szCs w:val="16"/>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w:t>
      </w:r>
    </w:p>
    <w:p>
      <w:pPr>
        <w:spacing w:after="0" w:line="64" w:lineRule="exact"/>
        <w:rPr>
          <w:rFonts w:ascii="Arial" w:cs="Arial" w:eastAsia="Arial" w:hAnsi="Arial"/>
          <w:sz w:val="18"/>
          <w:szCs w:val="18"/>
          <w:color w:val="auto"/>
        </w:rPr>
      </w:pPr>
    </w:p>
    <w:p>
      <w:pPr>
        <w:ind w:right="80" w:firstLine="426"/>
        <w:spacing w:after="0" w:line="284" w:lineRule="auto"/>
        <w:tabs>
          <w:tab w:leader="none" w:pos="669"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the issuance and sale of the Shares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63" w:lineRule="exact"/>
        <w:rPr>
          <w:rFonts w:ascii="Arial" w:cs="Arial" w:eastAsia="Arial" w:hAnsi="Arial"/>
          <w:sz w:val="16"/>
          <w:szCs w:val="16"/>
          <w:color w:val="auto"/>
        </w:rPr>
      </w:pPr>
    </w:p>
    <w:p>
      <w:pPr>
        <w:ind w:right="20" w:firstLine="426"/>
        <w:spacing w:after="0" w:line="336" w:lineRule="auto"/>
        <w:tabs>
          <w:tab w:leader="none" w:pos="640" w:val="left"/>
        </w:tabs>
        <w:numPr>
          <w:ilvl w:val="0"/>
          <w:numId w:val="131"/>
        </w:numPr>
        <w:rPr>
          <w:rFonts w:ascii="Arial" w:cs="Arial" w:eastAsia="Arial" w:hAnsi="Arial"/>
          <w:sz w:val="14"/>
          <w:szCs w:val="14"/>
          <w:color w:val="auto"/>
        </w:rPr>
      </w:pPr>
      <w:r>
        <w:rPr>
          <w:rFonts w:ascii="Arial" w:cs="Arial" w:eastAsia="Arial" w:hAnsi="Arial"/>
          <w:sz w:val="14"/>
          <w:szCs w:val="14"/>
          <w:i w:val="1"/>
          <w:iCs w:val="1"/>
          <w:color w:val="auto"/>
        </w:rPr>
        <w:t xml:space="preserve">No Consents Required. </w:t>
      </w:r>
      <w:r>
        <w:rPr>
          <w:rFonts w:ascii="Arial" w:cs="Arial" w:eastAsia="Arial" w:hAnsi="Arial"/>
          <w:sz w:val="14"/>
          <w:szCs w:val="14"/>
          <w:color w:val="auto"/>
        </w:rPr>
        <w:t>No consent, approval, authorization, order, registration or qualification of or with any court or arbitrator or</w:t>
      </w:r>
      <w:r>
        <w:rPr>
          <w:rFonts w:ascii="Arial" w:cs="Arial" w:eastAsia="Arial" w:hAnsi="Arial"/>
          <w:sz w:val="14"/>
          <w:szCs w:val="14"/>
          <w:i w:val="1"/>
          <w:iCs w:val="1"/>
          <w:color w:val="auto"/>
        </w:rPr>
        <w:t xml:space="preserve"> </w:t>
      </w:r>
      <w:r>
        <w:rPr>
          <w:rFonts w:ascii="Arial" w:cs="Arial" w:eastAsia="Arial" w:hAnsi="Arial"/>
          <w:sz w:val="14"/>
          <w:szCs w:val="14"/>
          <w:color w:val="auto"/>
        </w:rPr>
        <w:t>governmental or regulatory authority is required for the execution, delivery and performance by the Company of this Agreement, the issuance and sale of the Shares and the consummation of the transactions contemplated by this Agreement, except for (i) the registration of the Shares under the Securities Act, (ii) such consents, approvals, authorizations, orders and registrations or qualifications as may be required by the Financial Industry Regulatory Authority, Inc. (“</w:t>
      </w:r>
      <w:r>
        <w:rPr>
          <w:rFonts w:ascii="Arial" w:cs="Arial" w:eastAsia="Arial" w:hAnsi="Arial"/>
          <w:sz w:val="14"/>
          <w:szCs w:val="14"/>
          <w:b w:val="1"/>
          <w:bCs w:val="1"/>
          <w:color w:val="auto"/>
        </w:rPr>
        <w:t>FINRA</w:t>
      </w:r>
      <w:r>
        <w:rPr>
          <w:rFonts w:ascii="Arial" w:cs="Arial" w:eastAsia="Arial" w:hAnsi="Arial"/>
          <w:sz w:val="14"/>
          <w:szCs w:val="14"/>
          <w:color w:val="auto"/>
        </w:rPr>
        <w:t>”) and under applicable state securities laws in connection with the purchase and distribution of the Shares by the Underwriters and (iii) the filing of a restated certificate of incorporation of the Company with the Secretary of State of the State of Delaware.</w:t>
      </w:r>
    </w:p>
    <w:p>
      <w:pPr>
        <w:spacing w:after="0" w:line="34" w:lineRule="exact"/>
        <w:rPr>
          <w:rFonts w:ascii="Arial" w:cs="Arial" w:eastAsia="Arial" w:hAnsi="Arial"/>
          <w:sz w:val="14"/>
          <w:szCs w:val="14"/>
          <w:color w:val="auto"/>
        </w:rPr>
      </w:pPr>
    </w:p>
    <w:p>
      <w:pPr>
        <w:ind w:right="200" w:firstLine="426"/>
        <w:spacing w:after="0" w:line="251" w:lineRule="auto"/>
        <w:tabs>
          <w:tab w:leader="none" w:pos="65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Except as described in the Registration Statement, the Pricing Disclosure Package and the Prospectus,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legal, governmental or regulatory investigations, actions, demands, claims, suits, arbitrations, inquiries or proceedings (“</w:t>
      </w:r>
      <w:r>
        <w:rPr>
          <w:rFonts w:ascii="Arial" w:cs="Arial" w:eastAsia="Arial" w:hAnsi="Arial"/>
          <w:sz w:val="18"/>
          <w:szCs w:val="18"/>
          <w:b w:val="1"/>
          <w:bCs w:val="1"/>
          <w:color w:val="auto"/>
        </w:rPr>
        <w:t>Actions</w:t>
      </w:r>
      <w:r>
        <w:rPr>
          <w:rFonts w:ascii="Arial" w:cs="Arial" w:eastAsia="Arial" w:hAnsi="Arial"/>
          <w:sz w:val="18"/>
          <w:szCs w:val="18"/>
          <w:color w:val="auto"/>
        </w:rPr>
        <w:t>”) pending to which the Company or any of its subsidiaries is a party or to which any property of the Company or any of its subsidiaries is the subject that, individually or in the aggregate, if determined adversely to the Company or any of its subsidiaries, would reasonably be expected to have a Material Adverse Effect; no such Actions are, to the knowledge of the Company, threatened or contemplated by any governmental or regulatory authority or threatened by others;</w:t>
      </w:r>
    </w:p>
    <w:p>
      <w:pPr>
        <w:sectPr>
          <w:pgSz w:w="11900" w:h="16838" w:orient="portrait"/>
          <w:cols w:equalWidth="0" w:num="1">
            <w:col w:w="10440"/>
          </w:cols>
          <w:pgMar w:left="940" w:top="274" w:right="519" w:bottom="1440" w:gutter="0" w:footer="0" w:header="0"/>
        </w:sectPr>
      </w:pPr>
    </w:p>
    <w:bookmarkStart w:id="231" w:name="page232"/>
    <w:bookmarkEnd w:id="23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58" w:lineRule="exact"/>
        <w:rPr>
          <w:sz w:val="20"/>
          <w:szCs w:val="20"/>
          <w:color w:val="auto"/>
        </w:rPr>
      </w:pPr>
    </w:p>
    <w:p>
      <w:pPr>
        <w:ind w:left="640" w:hanging="214"/>
        <w:spacing w:after="0"/>
        <w:tabs>
          <w:tab w:leader="none" w:pos="64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w:t>
      </w:r>
    </w:p>
    <w:p>
      <w:pPr>
        <w:spacing w:after="0" w:line="28" w:lineRule="exact"/>
        <w:rPr>
          <w:rFonts w:ascii="Arial" w:cs="Arial" w:eastAsia="Arial" w:hAnsi="Arial"/>
          <w:sz w:val="17"/>
          <w:szCs w:val="17"/>
          <w:color w:val="auto"/>
        </w:rPr>
      </w:pPr>
    </w:p>
    <w:p>
      <w:pPr>
        <w:ind w:right="20"/>
        <w:spacing w:after="0" w:line="283" w:lineRule="auto"/>
        <w:rPr>
          <w:rFonts w:ascii="Arial" w:cs="Arial" w:eastAsia="Arial" w:hAnsi="Arial"/>
          <w:sz w:val="17"/>
          <w:szCs w:val="17"/>
          <w:color w:val="auto"/>
        </w:rPr>
      </w:pPr>
      <w:r>
        <w:rPr>
          <w:rFonts w:ascii="Arial" w:cs="Arial" w:eastAsia="Arial" w:hAnsi="Arial"/>
          <w:sz w:val="17"/>
          <w:szCs w:val="17"/>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61" w:lineRule="exact"/>
        <w:rPr>
          <w:rFonts w:ascii="Arial" w:cs="Arial" w:eastAsia="Arial" w:hAnsi="Arial"/>
          <w:sz w:val="17"/>
          <w:szCs w:val="17"/>
          <w:color w:val="auto"/>
        </w:rPr>
      </w:pPr>
    </w:p>
    <w:p>
      <w:pPr>
        <w:ind w:right="80" w:firstLine="426"/>
        <w:spacing w:after="0" w:line="252" w:lineRule="auto"/>
        <w:tabs>
          <w:tab w:leader="none" w:pos="669"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Title to Real and Personal Property</w:t>
      </w:r>
      <w:r>
        <w:rPr>
          <w:rFonts w:ascii="Arial" w:cs="Arial" w:eastAsia="Arial" w:hAnsi="Arial"/>
          <w:sz w:val="18"/>
          <w:szCs w:val="18"/>
          <w:color w:val="auto"/>
        </w:rPr>
        <w:t>. The Company and its subsidiaries have good and marketable title in fee simple to, or have valid</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86" w:lineRule="exact"/>
        <w:rPr>
          <w:rFonts w:ascii="Arial" w:cs="Arial" w:eastAsia="Arial" w:hAnsi="Arial"/>
          <w:sz w:val="18"/>
          <w:szCs w:val="18"/>
          <w:color w:val="auto"/>
        </w:rPr>
      </w:pPr>
    </w:p>
    <w:p>
      <w:pPr>
        <w:ind w:right="40" w:firstLine="426"/>
        <w:spacing w:after="0" w:line="281" w:lineRule="auto"/>
        <w:tabs>
          <w:tab w:leader="none" w:pos="669"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Except as described in the Registration Statement, the Pricing Disclosure Package and the Prospectus and as would</w:t>
      </w:r>
      <w:r>
        <w:rPr>
          <w:rFonts w:ascii="Arial" w:cs="Arial" w:eastAsia="Arial" w:hAnsi="Arial"/>
          <w:sz w:val="16"/>
          <w:szCs w:val="16"/>
          <w:i w:val="1"/>
          <w:iCs w:val="1"/>
          <w:color w:val="auto"/>
        </w:rPr>
        <w:t xml:space="preserve"> </w:t>
      </w:r>
      <w:r>
        <w:rPr>
          <w:rFonts w:ascii="Arial" w:cs="Arial" w:eastAsia="Arial" w:hAnsi="Arial"/>
          <w:sz w:val="16"/>
          <w:szCs w:val="16"/>
          <w:color w:val="auto"/>
        </w:rPr>
        <w:t>not, individually or in the aggregate, have a Material Adverse Effect: (i) the Company and its subsidiaries own, have adequate rights to use, or can acquire on reasonable terms all patents, trademarks, service marks, trade names, domain names and other source indicators, copyrights and copyrightable works, know-how, trade secrets, systems, procedures, proprietary or confidential information and all other worldwide intellectual property (including all registrations and applications for registration of, and all goodwill associated with, any of the foregoing)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used in or necessary for the conduct of their respective businesses as now conducted or as contemplated in the Registration Statement, Pricing Disclosure Package and Prospectus to be conducted by them; (ii) the Company is unaware of any facts which would form a reasonable basis for an action, suit, proceeding or claim asserting that the Company has infringed, misappropriated or otherwise violated, or would upon the commercialization of any product described in the Registration Statement, the Pricing Disclosure Package or the Prospectus as under development infringe, misappropriate or otherwise violate, any Intellectual Property of any person or entity; (iii) to the knowledge of the Company, all Intellectual Property owned by or exclusively licensed to the Company and its subsidiaries is valid and enforceable; (iv) to the knowledge of the Company, the Intellectual Property of the Company and its subsidiaries is not being infringed, misappropriated or otherwise violated, and has not been infringed, misappropriated or otherwise violated, by any person or entity; (v) the Company and its subsidiaries have taken reasonable steps in accordance with normal industry practice to maintain the confidentiality of all Intellectual Property the value of which to the Company or any of its subsidiaries is contingent upon maintaining the confidentiality thereof, and to the knowledge of the Company, no such Intellectual Property has been disclosed other than to employees, representatives and agents of the Company or any of its subsidiaries, all of whom are bound by written confidentiality agreements, (vi) there is no pending or, to the knowledge of the Company, threatened action, suit, proceeding or claim by any third party (A) challenging the Company’s or any of its subsidiaries’ rights in or to any Intellectual Property, (B) challenging the validity, enforceability or scope of any Intellectual Property owned</w:t>
      </w:r>
    </w:p>
    <w:p>
      <w:pPr>
        <w:sectPr>
          <w:pgSz w:w="11900" w:h="16838" w:orient="portrait"/>
          <w:cols w:equalWidth="0" w:num="1">
            <w:col w:w="10460"/>
          </w:cols>
          <w:pgMar w:left="940" w:top="274" w:right="499" w:bottom="1440" w:gutter="0" w:footer="0" w:header="0"/>
        </w:sectPr>
      </w:pPr>
    </w:p>
    <w:bookmarkStart w:id="232" w:name="page233"/>
    <w:bookmarkEnd w:id="23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by the Company or any of its subsidiaries, or (C) alleging that the Company or any of its subsidiaries has infringed, misappropriated or otherwise violated any Intellectual Property of any third party, (vii) to the knowledge of the Company, there is no pending or threatened action, suit proceeding or claim by any third party challenging the validity, enforceability or scope of any Intellectual Property exclusively licensed to the Company or any of its subsidiaries and (viii) each agreement pursuant to which the Company or any of its subsidiaries obtains any license or other rights to any Intellectual Property is a valid and binding agreement of the Company and its subsidiaries and is in full force and effect, and none of the Company or any of its subsidiaries or, to the knowledge of the Company, any other party to any such agreement, is in default or breach under any terms of any such agreement and, to the knowledge of the Company, no event or circumstance has occurred that, with notice or lapse of time or both, would constitute any event of default thereunder.</w:t>
      </w:r>
    </w:p>
    <w:p>
      <w:pPr>
        <w:spacing w:after="0" w:line="74" w:lineRule="exact"/>
        <w:rPr>
          <w:sz w:val="20"/>
          <w:szCs w:val="20"/>
          <w:color w:val="auto"/>
        </w:rPr>
      </w:pPr>
    </w:p>
    <w:p>
      <w:pPr>
        <w:ind w:right="20" w:firstLine="426"/>
        <w:spacing w:after="0" w:line="280" w:lineRule="auto"/>
        <w:tabs>
          <w:tab w:leader="none" w:pos="709"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Preclinical Studies. </w:t>
      </w:r>
      <w:r>
        <w:rPr>
          <w:rFonts w:ascii="Arial" w:cs="Arial" w:eastAsia="Arial" w:hAnsi="Arial"/>
          <w:sz w:val="16"/>
          <w:szCs w:val="16"/>
          <w:color w:val="auto"/>
        </w:rPr>
        <w:t>(i) Except as described in the Registration Statement, the Pricing Disclosure Package and the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preclinical studies conducted by or, to the knowledge of the Company, on behalf of or sponsored by the Company or its subsidiaries, or in which the Company or its subsidiaries have participated, that are described in the Registration Statement, the Pricing Disclosure Package and the Prospectus, or the results of which are referred to in the Registration Statement, the Pricing Disclosure Package and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rules and regulations of the U.S. Food and Drug Administration and comparable regulatory agencies outside of the United States to which they are subject, including the European Medicines Agency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and all applicable statutes, rules and regulations of the Regulatory Authorities and Good Clinical Practice and Good Laboratory Practice requirements; (ii) the descriptions in the Registration Statement, the Pricing Disclosure Package and the Prospectus of the results of such studies are accurate and complete descriptions in all material respects and fairly present the data derived therefrom; (iii) the Company has no knowledge of any other studies not described in the Registration Statement, the Pricing Disclosure Package and the Prospectus, the results of which are inconsistent with or call into question the results described or referred to in the Registration Statement, the Pricing Disclosure Package and the Prospectus; (iv) the Company and its subsidiaries have operated at all times and are currently in compliance in all respects with all applicable statutes, rules and regulations of the Regulatory Authorities, except that where such non-compliance would not, individually or in the aggregate, have a Material Adverse Effect; (v) the Company has provided the Underwriters with all substantive written notices, correspondence and summaries of all other communications from the Regulatory Authorities; and (vi) neither the Company nor any of its subsidiaries have received any written notices, correspondence or other communications from the Regulatory Authorities or any other governmental agency requiring or threatening the termination, material modification or suspension of any preclinical studies that are described in the Registration Statement, the Pricing Disclosure Package and the Prospectus or the results of which are referred to in the Registration Statement, the Pricing Disclosure Package and the Prospectus, other than ordinary course communications with respect to modifications in connection with the design and implementation of such studies or planned clinical trials, and, to the Company’s knowledge, there are no reasonable grounds for the same.</w:t>
      </w:r>
    </w:p>
    <w:p>
      <w:pPr>
        <w:spacing w:after="0" w:line="78" w:lineRule="exact"/>
        <w:rPr>
          <w:rFonts w:ascii="Arial" w:cs="Arial" w:eastAsia="Arial" w:hAnsi="Arial"/>
          <w:sz w:val="16"/>
          <w:szCs w:val="16"/>
          <w:color w:val="auto"/>
        </w:rPr>
      </w:pPr>
    </w:p>
    <w:p>
      <w:pPr>
        <w:ind w:left="680" w:hanging="254"/>
        <w:spacing w:after="0"/>
        <w:tabs>
          <w:tab w:leader="none" w:pos="680"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Regulatory Filings</w:t>
      </w:r>
      <w:r>
        <w:rPr>
          <w:rFonts w:ascii="Arial" w:cs="Arial" w:eastAsia="Arial" w:hAnsi="Arial"/>
          <w:sz w:val="17"/>
          <w:szCs w:val="17"/>
          <w:color w:val="auto"/>
        </w:rPr>
        <w:t>. The Company has not failed to file with the Regulatory Authorities any required filing, declaration, listing,</w:t>
      </w:r>
    </w:p>
    <w:p>
      <w:pPr>
        <w:spacing w:after="0" w:line="28" w:lineRule="exact"/>
        <w:rPr>
          <w:rFonts w:ascii="Arial" w:cs="Arial" w:eastAsia="Arial" w:hAnsi="Arial"/>
          <w:sz w:val="17"/>
          <w:szCs w:val="17"/>
          <w:color w:val="auto"/>
        </w:rPr>
      </w:pPr>
    </w:p>
    <w:p>
      <w:pPr>
        <w:jc w:val="both"/>
        <w:spacing w:after="0" w:line="291" w:lineRule="auto"/>
        <w:rPr>
          <w:rFonts w:ascii="Arial" w:cs="Arial" w:eastAsia="Arial" w:hAnsi="Arial"/>
          <w:sz w:val="17"/>
          <w:szCs w:val="17"/>
          <w:color w:val="auto"/>
        </w:rPr>
      </w:pPr>
      <w:r>
        <w:rPr>
          <w:rFonts w:ascii="Arial" w:cs="Arial" w:eastAsia="Arial" w:hAnsi="Arial"/>
          <w:sz w:val="16"/>
          <w:szCs w:val="16"/>
          <w:color w:val="auto"/>
        </w:rPr>
        <w:t>registration, report or submission with respect to the Company’s product candidates that are described or referred to in the Registration Statement, the Pricing Disclosure Package and the Prospectus. All such filings, declarations, listings, registrations, reports or submissions, as applicable, were in material compliance with applicable laws when filed; and no material deficiencies regarding compliance with applicable law have been asserted by any applicable Regulatory Authority with respect to any such filings, declarations, listings, registrations, reports or submissions.</w:t>
      </w:r>
    </w:p>
    <w:p>
      <w:pPr>
        <w:sectPr>
          <w:pgSz w:w="11900" w:h="16838" w:orient="portrait"/>
          <w:cols w:equalWidth="0" w:num="1">
            <w:col w:w="10440"/>
          </w:cols>
          <w:pgMar w:left="940" w:top="274" w:right="519" w:bottom="1440" w:gutter="0" w:footer="0" w:header="0"/>
        </w:sectPr>
      </w:pPr>
    </w:p>
    <w:bookmarkStart w:id="233" w:name="page234"/>
    <w:bookmarkEnd w:id="233"/>
    <w:p>
      <w:pPr>
        <w:ind w:left="-426" w:firstLine="426"/>
        <w:spacing w:after="0" w:line="254" w:lineRule="auto"/>
        <w:tabs>
          <w:tab w:leader="none" w:pos="243"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No Undisclosed Relationships</w:t>
      </w:r>
      <w:r>
        <w:rPr>
          <w:rFonts w:ascii="Arial" w:cs="Arial" w:eastAsia="Arial" w:hAnsi="Arial"/>
          <w:sz w:val="18"/>
          <w:szCs w:val="18"/>
          <w:color w:val="auto"/>
        </w:rPr>
        <w:t>. No relationship, direct or indirect, exists between or among the Company or any of its subsidiaries,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83" w:lineRule="exact"/>
        <w:rPr>
          <w:rFonts w:ascii="Arial" w:cs="Arial" w:eastAsia="Arial" w:hAnsi="Arial"/>
          <w:sz w:val="18"/>
          <w:szCs w:val="18"/>
          <w:color w:val="auto"/>
        </w:rPr>
      </w:pPr>
    </w:p>
    <w:p>
      <w:pPr>
        <w:ind w:left="-426" w:right="100" w:firstLine="426"/>
        <w:spacing w:after="0" w:line="295" w:lineRule="auto"/>
        <w:tabs>
          <w:tab w:leader="none" w:pos="233"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is not and, after giving effect to the offering and sale of the Shares and the application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56" w:lineRule="exact"/>
        <w:rPr>
          <w:sz w:val="20"/>
          <w:szCs w:val="20"/>
          <w:color w:val="auto"/>
        </w:rPr>
      </w:pPr>
    </w:p>
    <w:p>
      <w:pPr>
        <w:ind w:left="-426" w:right="60" w:firstLine="426"/>
        <w:spacing w:after="0" w:line="270" w:lineRule="auto"/>
        <w:tabs>
          <w:tab w:leader="none" w:pos="312"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The Company and its subsidiaries have paid all income and other material federal, state, local and foreign taxes and filed all tax</w:t>
      </w:r>
      <w:r>
        <w:rPr>
          <w:rFonts w:ascii="Arial" w:cs="Arial" w:eastAsia="Arial" w:hAnsi="Arial"/>
          <w:sz w:val="17"/>
          <w:szCs w:val="17"/>
          <w:i w:val="1"/>
          <w:iCs w:val="1"/>
          <w:color w:val="auto"/>
        </w:rPr>
        <w:t xml:space="preserve"> </w:t>
      </w:r>
      <w:r>
        <w:rPr>
          <w:rFonts w:ascii="Arial" w:cs="Arial" w:eastAsia="Arial" w:hAnsi="Arial"/>
          <w:sz w:val="17"/>
          <w:szCs w:val="17"/>
          <w:color w:val="auto"/>
        </w:rPr>
        <w:t>returns required to be paid or filed through the date hereof; and except as otherwise disclosed in each of the Registration Statement, the Pricing Disclosure Package and the Prospectus, there is no tax deficiency that has been, or would reasonably be expected to be, asserted against the Company or any of its subsidiaries or any of their respective properties or assets and which would reasonably be expected to have, individually or in the aggregate, a Material Adverse Effect.</w:t>
      </w:r>
    </w:p>
    <w:p>
      <w:pPr>
        <w:spacing w:after="0" w:line="73" w:lineRule="exact"/>
        <w:rPr>
          <w:rFonts w:ascii="Arial" w:cs="Arial" w:eastAsia="Arial" w:hAnsi="Arial"/>
          <w:sz w:val="17"/>
          <w:szCs w:val="17"/>
          <w:color w:val="auto"/>
        </w:rPr>
      </w:pPr>
    </w:p>
    <w:p>
      <w:pPr>
        <w:ind w:left="-426" w:right="40" w:firstLine="426"/>
        <w:spacing w:after="0" w:line="285" w:lineRule="auto"/>
        <w:tabs>
          <w:tab w:leader="none" w:pos="332"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Company and its subsidiaries possess all licenses, sub-licenses, certificates, permits and other authorizations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have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65" w:lineRule="exact"/>
        <w:rPr>
          <w:rFonts w:ascii="Arial" w:cs="Arial" w:eastAsia="Arial" w:hAnsi="Arial"/>
          <w:sz w:val="16"/>
          <w:szCs w:val="16"/>
          <w:color w:val="auto"/>
        </w:rPr>
      </w:pPr>
    </w:p>
    <w:p>
      <w:pPr>
        <w:ind w:left="-426" w:right="300" w:firstLine="426"/>
        <w:spacing w:after="0" w:line="252" w:lineRule="auto"/>
        <w:tabs>
          <w:tab w:leader="none" w:pos="312"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Company or any of its subsidiaries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Neither the Company nor any of its subsidiaries has received any notice of cancellation or termination with respect to any collective bargaining agreement to which it is a party.</w:t>
      </w:r>
    </w:p>
    <w:p>
      <w:pPr>
        <w:spacing w:after="0" w:line="86" w:lineRule="exact"/>
        <w:rPr>
          <w:rFonts w:ascii="Arial" w:cs="Arial" w:eastAsia="Arial" w:hAnsi="Arial"/>
          <w:sz w:val="18"/>
          <w:szCs w:val="18"/>
          <w:color w:val="auto"/>
        </w:rPr>
      </w:pPr>
    </w:p>
    <w:p>
      <w:pPr>
        <w:ind w:left="-426" w:right="220" w:firstLine="426"/>
        <w:spacing w:after="0" w:line="254" w:lineRule="auto"/>
        <w:tabs>
          <w:tab w:leader="none" w:pos="332"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Certain Environmental Matters</w:t>
      </w:r>
      <w:r>
        <w:rPr>
          <w:rFonts w:ascii="Arial" w:cs="Arial" w:eastAsia="Arial" w:hAnsi="Arial"/>
          <w:sz w:val="18"/>
          <w:szCs w:val="18"/>
          <w:color w:val="auto"/>
        </w:rPr>
        <w:t>. (i) The Company and its subsidiaries (x) are in compliance with all, and have not violated any,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w:t>
      </w:r>
    </w:p>
    <w:p>
      <w:pPr>
        <w:sectPr>
          <w:pgSz w:w="11900" w:h="16838" w:orient="portrait"/>
          <w:cols w:equalWidth="0" w:num="1">
            <w:col w:w="10014"/>
          </w:cols>
          <w:pgMar w:left="1366" w:top="274" w:right="519" w:bottom="1440" w:gutter="0" w:footer="0" w:header="0"/>
        </w:sectPr>
      </w:pPr>
    </w:p>
    <w:bookmarkStart w:id="234" w:name="page235"/>
    <w:bookmarkEnd w:id="234"/>
    <w:p>
      <w:pPr>
        <w:ind w:right="16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or contaminants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w:t>
      </w:r>
    </w:p>
    <w:p>
      <w:pPr>
        <w:spacing w:after="0" w:line="3" w:lineRule="exact"/>
        <w:rPr>
          <w:sz w:val="20"/>
          <w:szCs w:val="20"/>
          <w:color w:val="auto"/>
        </w:rPr>
      </w:pPr>
    </w:p>
    <w:p>
      <w:pPr>
        <w:ind w:right="40" w:firstLine="8"/>
        <w:spacing w:after="0" w:line="278" w:lineRule="auto"/>
        <w:tabs>
          <w:tab w:leader="none" w:pos="2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none of the Company or its subsidiaries anticipates material capital expenditures relating to any Environmental Laws.</w:t>
      </w:r>
    </w:p>
    <w:p>
      <w:pPr>
        <w:spacing w:after="0" w:line="102" w:lineRule="exact"/>
        <w:rPr>
          <w:rFonts w:ascii="Arial" w:cs="Arial" w:eastAsia="Arial" w:hAnsi="Arial"/>
          <w:sz w:val="18"/>
          <w:szCs w:val="18"/>
          <w:color w:val="auto"/>
        </w:rPr>
      </w:pPr>
    </w:p>
    <w:p>
      <w:pPr>
        <w:ind w:firstLine="426"/>
        <w:spacing w:after="0" w:line="279" w:lineRule="auto"/>
        <w:tabs>
          <w:tab w:leader="none" w:pos="738" w:val="left"/>
        </w:tabs>
        <w:numPr>
          <w:ilvl w:val="1"/>
          <w:numId w:val="137"/>
        </w:numPr>
        <w:rPr>
          <w:rFonts w:ascii="Arial" w:cs="Arial" w:eastAsia="Arial" w:hAnsi="Arial"/>
          <w:sz w:val="16"/>
          <w:szCs w:val="16"/>
          <w:color w:val="auto"/>
        </w:rPr>
      </w:pPr>
      <w:r>
        <w:rPr>
          <w:rFonts w:ascii="Arial" w:cs="Arial" w:eastAsia="Arial" w:hAnsi="Arial"/>
          <w:sz w:val="16"/>
          <w:szCs w:val="16"/>
          <w:i w:val="1"/>
          <w:iCs w:val="1"/>
          <w:color w:val="auto"/>
        </w:rPr>
        <w:t>Compliance with ERISA</w:t>
      </w:r>
      <w:r>
        <w:rPr>
          <w:rFonts w:ascii="Arial" w:cs="Arial" w:eastAsia="Arial" w:hAnsi="Arial"/>
          <w:sz w:val="16"/>
          <w:szCs w:val="16"/>
          <w:color w:val="auto"/>
        </w:rPr>
        <w:t>. (i) Each employee benefit plan, within the meaning of Section 3(3) of the Employee Retirement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(ix) none of the following events has occurred or is reasonably likely</w:t>
      </w:r>
    </w:p>
    <w:p>
      <w:pPr>
        <w:sectPr>
          <w:pgSz w:w="11900" w:h="16838" w:orient="portrait"/>
          <w:cols w:equalWidth="0" w:num="1">
            <w:col w:w="10460"/>
          </w:cols>
          <w:pgMar w:left="940" w:top="268" w:right="499" w:bottom="1440" w:gutter="0" w:footer="0" w:header="0"/>
        </w:sectPr>
      </w:pPr>
    </w:p>
    <w:bookmarkStart w:id="235" w:name="page236"/>
    <w:bookmarkEnd w:id="235"/>
    <w:p>
      <w:pPr>
        <w:ind w:right="14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91" w:lineRule="exact"/>
        <w:rPr>
          <w:sz w:val="20"/>
          <w:szCs w:val="20"/>
          <w:color w:val="auto"/>
        </w:rPr>
      </w:pPr>
    </w:p>
    <w:p>
      <w:pPr>
        <w:ind w:right="60" w:firstLine="426"/>
        <w:spacing w:after="0" w:line="269" w:lineRule="auto"/>
        <w:tabs>
          <w:tab w:leader="none" w:pos="696"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Company (on a consolidated basis with its subsidiary) maintains an effective system of “disclosure controls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procedures” (as defined 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72" w:lineRule="exact"/>
        <w:rPr>
          <w:rFonts w:ascii="Arial" w:cs="Arial" w:eastAsia="Arial" w:hAnsi="Arial"/>
          <w:sz w:val="17"/>
          <w:szCs w:val="17"/>
          <w:color w:val="auto"/>
        </w:rPr>
      </w:pPr>
    </w:p>
    <w:p>
      <w:pPr>
        <w:ind w:right="40" w:firstLine="426"/>
        <w:spacing w:after="0" w:line="282" w:lineRule="auto"/>
        <w:tabs>
          <w:tab w:leader="none" w:pos="758"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(on a consolidated basis with its subsidiary) maintains systems of “internal control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(as defined in 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There are no material weaknesses in the Company’s internal controls. The Company’s auditors and the Audit Committee of the Board of Directors of the Company have been advised of: (i) all significant deficiencies and material weaknesses, if any,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7" w:lineRule="exact"/>
        <w:rPr>
          <w:rFonts w:ascii="Arial" w:cs="Arial" w:eastAsia="Arial" w:hAnsi="Arial"/>
          <w:sz w:val="16"/>
          <w:szCs w:val="16"/>
          <w:color w:val="auto"/>
        </w:rPr>
      </w:pPr>
    </w:p>
    <w:p>
      <w:pPr>
        <w:ind w:firstLine="426"/>
        <w:spacing w:after="0" w:line="287" w:lineRule="auto"/>
        <w:tabs>
          <w:tab w:leader="none" w:pos="758"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are generally maintained by companies engaged in the same or similar businesses and at the same or a similar stage of development, and which the Company reasonably believes are adequate to protect the Company and its business;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ectPr>
          <w:pgSz w:w="11900" w:h="16838" w:orient="portrait"/>
          <w:cols w:equalWidth="0" w:num="1">
            <w:col w:w="10440"/>
          </w:cols>
          <w:pgMar w:left="940" w:top="274" w:right="519" w:bottom="1440" w:gutter="0" w:footer="0" w:header="0"/>
        </w:sectPr>
      </w:pPr>
    </w:p>
    <w:bookmarkStart w:id="236" w:name="page237"/>
    <w:bookmarkEnd w:id="236"/>
    <w:p>
      <w:pPr>
        <w:ind w:left="-426" w:firstLine="426"/>
        <w:spacing w:after="0" w:line="282" w:lineRule="auto"/>
        <w:tabs>
          <w:tab w:leader="none" w:pos="253"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Cybersecurity; Data Protection. </w:t>
      </w:r>
      <w:r>
        <w:rPr>
          <w:rFonts w:ascii="Arial" w:cs="Arial" w:eastAsia="Arial" w:hAnsi="Arial"/>
          <w:sz w:val="16"/>
          <w:szCs w:val="16"/>
          <w:color w:val="auto"/>
        </w:rPr>
        <w:t>The Company and its subsidiaries’ information technology assets and equipment, computers,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procedures and safeguards to maintain and protect their material confidential information and Personal Data (defined below) and the integrity and security of all material IT Systems. As used herein, “</w:t>
      </w:r>
      <w:r>
        <w:rPr>
          <w:rFonts w:ascii="Arial" w:cs="Arial" w:eastAsia="Arial" w:hAnsi="Arial"/>
          <w:sz w:val="16"/>
          <w:szCs w:val="16"/>
          <w:b w:val="1"/>
          <w:bCs w:val="1"/>
          <w:color w:val="auto"/>
        </w:rPr>
        <w:t>Personal Data</w:t>
      </w:r>
      <w:r>
        <w:rPr>
          <w:rFonts w:ascii="Arial" w:cs="Arial" w:eastAsia="Arial" w:hAnsi="Arial"/>
          <w:sz w:val="16"/>
          <w:szCs w:val="16"/>
          <w:color w:val="auto"/>
        </w:rPr>
        <w:t>” shall refer to all personal or regulated data that relates to an identified or identifiable natural person according to applicable law that is maintained by the Company or any of its subsidiaries and used in connection with the Company or its subsidiaries’ respective businesses. To the knowledge of the Company, there have been no material breaches, violations, outages or unauthorized uses of or access to Personal Data, except for those that have been remedied without material cost or liability, nor any related incidents under investigation by a governmental or regulatory authority. To the knowledge of the Company, the Company and its subsidiaries are presently in material compliance with all applicable laws, internal policies and contractual obligations relating to the privacy and security of IT Systems and Personal Data and to the protection of IT Systems and Personal Data from unauthorized use, access, misappropriation or modification.</w:t>
      </w:r>
    </w:p>
    <w:p>
      <w:pPr>
        <w:spacing w:after="0" w:line="69" w:lineRule="exact"/>
        <w:rPr>
          <w:rFonts w:ascii="Arial" w:cs="Arial" w:eastAsia="Arial" w:hAnsi="Arial"/>
          <w:sz w:val="16"/>
          <w:szCs w:val="16"/>
          <w:color w:val="auto"/>
        </w:rPr>
      </w:pPr>
    </w:p>
    <w:p>
      <w:pPr>
        <w:ind w:left="-426" w:firstLine="426"/>
        <w:spacing w:after="0" w:line="264" w:lineRule="auto"/>
        <w:tabs>
          <w:tab w:leader="none" w:pos="253"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to the knowledge of the Company, any director,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of the Company or any of its subsidiaries, or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85" w:lineRule="exact"/>
        <w:rPr>
          <w:rFonts w:ascii="Arial" w:cs="Arial" w:eastAsia="Arial" w:hAnsi="Arial"/>
          <w:sz w:val="17"/>
          <w:szCs w:val="17"/>
          <w:color w:val="auto"/>
        </w:rPr>
      </w:pPr>
    </w:p>
    <w:p>
      <w:pPr>
        <w:ind w:left="-426" w:right="40" w:firstLine="426"/>
        <w:spacing w:after="0" w:line="270" w:lineRule="auto"/>
        <w:tabs>
          <w:tab w:leader="none" w:pos="332"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subsidiaries are and have been conducted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w:t>
      </w:r>
    </w:p>
    <w:p>
      <w:pPr>
        <w:sectPr>
          <w:pgSz w:w="11900" w:h="16838" w:orient="portrait"/>
          <w:cols w:equalWidth="0" w:num="1">
            <w:col w:w="10014"/>
          </w:cols>
          <w:pgMar w:left="1366" w:top="274" w:right="519" w:bottom="1440" w:gutter="0" w:footer="0" w:header="0"/>
        </w:sectPr>
      </w:pPr>
    </w:p>
    <w:bookmarkStart w:id="237" w:name="page238"/>
    <w:bookmarkEnd w:id="237"/>
    <w:p>
      <w:pPr>
        <w:jc w:val="both"/>
        <w:ind w:right="640"/>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Laundering Law</w:t>
      </w:r>
      <w:r>
        <w:rPr>
          <w:rFonts w:ascii="Arial" w:cs="Arial" w:eastAsia="Arial" w:hAnsi="Arial"/>
          <w:sz w:val="18"/>
          <w:szCs w:val="18"/>
          <w:color w:val="auto"/>
        </w:rPr>
        <w:t>s”) and no action, suit or proceeding by or before any court or governmental agency, authority or body or any arbitrator</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Company or any of its subsidiaries with respect to the Anti-Money Laundering Laws is pending or, to the knowledge of the Company, threatened.</w:t>
      </w:r>
    </w:p>
    <w:p>
      <w:pPr>
        <w:spacing w:after="0" w:line="80" w:lineRule="exact"/>
        <w:rPr>
          <w:sz w:val="20"/>
          <w:szCs w:val="20"/>
          <w:color w:val="auto"/>
        </w:rPr>
      </w:pPr>
    </w:p>
    <w:p>
      <w:pPr>
        <w:ind w:right="40" w:firstLine="426"/>
        <w:spacing w:after="0" w:line="279" w:lineRule="auto"/>
        <w:tabs>
          <w:tab w:leader="none" w:pos="679" w:val="left"/>
        </w:tabs>
        <w:numPr>
          <w:ilvl w:val="1"/>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its subsidiaries, nor, to the knowledge of the Company, any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employee,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and including, without limitation, the designation as a “specially designated national” or “blocked person”), the United Nations Security Council (“</w:t>
      </w:r>
      <w:r>
        <w:rPr>
          <w:rFonts w:ascii="Arial" w:cs="Arial" w:eastAsia="Arial" w:hAnsi="Arial"/>
          <w:sz w:val="16"/>
          <w:szCs w:val="16"/>
          <w:b w:val="1"/>
          <w:bCs w:val="1"/>
          <w:color w:val="auto"/>
        </w:rPr>
        <w:t>UNSC</w:t>
      </w:r>
      <w:r>
        <w:rPr>
          <w:rFonts w:ascii="Arial" w:cs="Arial" w:eastAsia="Arial" w:hAnsi="Arial"/>
          <w:sz w:val="16"/>
          <w:szCs w:val="16"/>
          <w:color w:val="auto"/>
        </w:rPr>
        <w:t>”), the European Union, Her Majesty’s Treasury (“</w:t>
      </w:r>
      <w:r>
        <w:rPr>
          <w:rFonts w:ascii="Arial" w:cs="Arial" w:eastAsia="Arial" w:hAnsi="Arial"/>
          <w:sz w:val="16"/>
          <w:szCs w:val="16"/>
          <w:b w:val="1"/>
          <w:bCs w:val="1"/>
          <w:color w:val="auto"/>
        </w:rPr>
        <w:t>HMT</w:t>
      </w:r>
      <w:r>
        <w:rPr>
          <w:rFonts w:ascii="Arial" w:cs="Arial" w:eastAsia="Arial" w:hAnsi="Arial"/>
          <w:sz w:val="16"/>
          <w:szCs w:val="16"/>
          <w:color w:val="auto"/>
        </w:rPr>
        <w:t>”)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target of Sanctions, including, without limitation, Crimea, Cuba, Iran, North Korea and Syria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and the Company will not directly or indirectly use the proceeds of the offering of the Shares hereunder, or lend, contribute or otherwise make available such proceeds to any subsidiary, joint venture partner or other person or entity</w:t>
      </w:r>
    </w:p>
    <w:p>
      <w:pPr>
        <w:spacing w:after="0" w:line="6" w:lineRule="exact"/>
        <w:rPr>
          <w:rFonts w:ascii="Arial" w:cs="Arial" w:eastAsia="Arial" w:hAnsi="Arial"/>
          <w:sz w:val="16"/>
          <w:szCs w:val="16"/>
          <w:color w:val="auto"/>
        </w:rPr>
      </w:pPr>
    </w:p>
    <w:p>
      <w:pPr>
        <w:ind w:firstLine="8"/>
        <w:spacing w:after="0" w:line="248" w:lineRule="auto"/>
        <w:tabs>
          <w:tab w:leader="none" w:pos="21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92" w:lineRule="exact"/>
        <w:rPr>
          <w:rFonts w:ascii="Arial" w:cs="Arial" w:eastAsia="Arial" w:hAnsi="Arial"/>
          <w:sz w:val="18"/>
          <w:szCs w:val="18"/>
          <w:color w:val="auto"/>
        </w:rPr>
      </w:pPr>
    </w:p>
    <w:p>
      <w:pPr>
        <w:ind w:right="40" w:firstLine="426"/>
        <w:spacing w:after="0" w:line="252" w:lineRule="auto"/>
        <w:tabs>
          <w:tab w:leader="none" w:pos="857"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Subject to any restrictions under any applicable, laws, no subsidiary of the Company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86" w:lineRule="exact"/>
        <w:rPr>
          <w:rFonts w:ascii="Arial" w:cs="Arial" w:eastAsia="Arial" w:hAnsi="Arial"/>
          <w:sz w:val="18"/>
          <w:szCs w:val="18"/>
          <w:color w:val="auto"/>
        </w:rPr>
      </w:pPr>
    </w:p>
    <w:p>
      <w:pPr>
        <w:jc w:val="both"/>
        <w:ind w:right="380" w:firstLine="426"/>
        <w:spacing w:after="0" w:line="257" w:lineRule="auto"/>
        <w:tabs>
          <w:tab w:leader="none" w:pos="758"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would give rise to a valid claim against any of them or any Underwriter for a brokerage commission, finder’s fee or like payment in connection with the offering and sale of the Shares.</w:t>
      </w:r>
    </w:p>
    <w:p>
      <w:pPr>
        <w:spacing w:after="0" w:line="81" w:lineRule="exact"/>
        <w:rPr>
          <w:rFonts w:ascii="Arial" w:cs="Arial" w:eastAsia="Arial" w:hAnsi="Arial"/>
          <w:sz w:val="18"/>
          <w:szCs w:val="18"/>
          <w:color w:val="auto"/>
        </w:rPr>
      </w:pPr>
    </w:p>
    <w:p>
      <w:pPr>
        <w:ind w:right="40" w:firstLine="426"/>
        <w:spacing w:after="0" w:line="295" w:lineRule="auto"/>
        <w:tabs>
          <w:tab w:leader="none" w:pos="758" w:val="left"/>
        </w:tabs>
        <w:numPr>
          <w:ilvl w:val="1"/>
          <w:numId w:val="141"/>
        </w:numPr>
        <w:rPr>
          <w:rFonts w:ascii="Arial" w:cs="Arial" w:eastAsia="Arial" w:hAnsi="Arial"/>
          <w:sz w:val="16"/>
          <w:szCs w:val="16"/>
          <w:color w:val="auto"/>
        </w:rPr>
      </w:pPr>
      <w:r>
        <w:rPr>
          <w:rFonts w:ascii="Arial" w:cs="Arial" w:eastAsia="Arial" w:hAnsi="Arial"/>
          <w:sz w:val="16"/>
          <w:szCs w:val="16"/>
          <w:i w:val="1"/>
          <w:iCs w:val="1"/>
          <w:color w:val="auto"/>
        </w:rPr>
        <w:t>No Registration Rights</w:t>
      </w:r>
      <w:r>
        <w:rPr>
          <w:rFonts w:ascii="Arial" w:cs="Arial" w:eastAsia="Arial" w:hAnsi="Arial"/>
          <w:sz w:val="16"/>
          <w:szCs w:val="16"/>
          <w:color w:val="auto"/>
        </w:rPr>
        <w:t>. Except as described in the Registration Statement, the Pricing Disclosure Package and the Prospectus,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that any person has the right to require the Company or any of its subsidiaries to register any securities for sale under the Securities Act by reason of the filing of the Registration Statement with the Commission or the issuance and sale of the Shares, those rights have been waived as of the date of this Agreement with respect to such filing or issuance and sale of Shares pursuant to this Agreement.</w:t>
      </w:r>
    </w:p>
    <w:p>
      <w:pPr>
        <w:spacing w:after="0" w:line="55" w:lineRule="exact"/>
        <w:rPr>
          <w:rFonts w:ascii="Arial" w:cs="Arial" w:eastAsia="Arial" w:hAnsi="Arial"/>
          <w:sz w:val="16"/>
          <w:szCs w:val="16"/>
          <w:color w:val="auto"/>
        </w:rPr>
      </w:pPr>
    </w:p>
    <w:p>
      <w:pPr>
        <w:ind w:right="20" w:firstLine="426"/>
        <w:spacing w:after="0" w:line="267" w:lineRule="auto"/>
        <w:tabs>
          <w:tab w:leader="none" w:pos="758"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any of its subsidiaries or affiliates has taken, directly or indirectly, any action designed to or</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reasonably be expected to cause or result in any stabilization or manipulation of the price of the Shares.</w:t>
      </w:r>
    </w:p>
    <w:p>
      <w:pPr>
        <w:sectPr>
          <w:pgSz w:w="11900" w:h="16838" w:orient="portrait"/>
          <w:cols w:equalWidth="0" w:num="1">
            <w:col w:w="10400"/>
          </w:cols>
          <w:pgMar w:left="940" w:top="268" w:right="559" w:bottom="1440" w:gutter="0" w:footer="0" w:header="0"/>
        </w:sectPr>
      </w:pPr>
    </w:p>
    <w:bookmarkStart w:id="238" w:name="page239"/>
    <w:bookmarkEnd w:id="238"/>
    <w:p>
      <w:pPr>
        <w:ind w:left="-8" w:right="60" w:firstLine="426"/>
        <w:spacing w:after="0" w:line="279" w:lineRule="auto"/>
        <w:tabs>
          <w:tab w:leader="none" w:pos="750" w:val="left"/>
        </w:tabs>
        <w:numPr>
          <w:ilvl w:val="1"/>
          <w:numId w:val="14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Margin Rules</w:t>
      </w:r>
      <w:r>
        <w:rPr>
          <w:rFonts w:ascii="Arial" w:cs="Arial" w:eastAsia="Arial" w:hAnsi="Arial"/>
          <w:sz w:val="17"/>
          <w:szCs w:val="17"/>
          <w:color w:val="auto"/>
        </w:rPr>
        <w:t>. Neither the issuance, sale and delivery of the Shares nor the application of the proceeds thereof by the Company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65" w:lineRule="exact"/>
        <w:rPr>
          <w:rFonts w:ascii="Arial" w:cs="Arial" w:eastAsia="Arial" w:hAnsi="Arial"/>
          <w:sz w:val="17"/>
          <w:szCs w:val="17"/>
          <w:color w:val="auto"/>
        </w:rPr>
      </w:pPr>
    </w:p>
    <w:p>
      <w:pPr>
        <w:ind w:left="-8" w:firstLine="426"/>
        <w:spacing w:after="0" w:line="257" w:lineRule="auto"/>
        <w:tabs>
          <w:tab w:leader="none" w:pos="69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included in any of the Registration Statement, the Pricing Disclosure Package or the Prospectus has been made or reaffirmed without a reasonable basis or has been disclosed other than in good faith.</w:t>
      </w:r>
    </w:p>
    <w:p>
      <w:pPr>
        <w:spacing w:after="0" w:line="81" w:lineRule="exact"/>
        <w:rPr>
          <w:rFonts w:ascii="Arial" w:cs="Arial" w:eastAsia="Arial" w:hAnsi="Arial"/>
          <w:sz w:val="18"/>
          <w:szCs w:val="18"/>
          <w:color w:val="auto"/>
        </w:rPr>
      </w:pPr>
    </w:p>
    <w:p>
      <w:pPr>
        <w:ind w:left="-8" w:right="140" w:firstLine="426"/>
        <w:spacing w:after="0" w:line="279" w:lineRule="auto"/>
        <w:tabs>
          <w:tab w:leader="none" w:pos="710" w:val="left"/>
        </w:tabs>
        <w:numPr>
          <w:ilvl w:val="1"/>
          <w:numId w:val="142"/>
        </w:numPr>
        <w:rPr>
          <w:rFonts w:ascii="Arial" w:cs="Arial" w:eastAsia="Arial" w:hAnsi="Arial"/>
          <w:sz w:val="17"/>
          <w:szCs w:val="17"/>
          <w:color w:val="auto"/>
        </w:rPr>
      </w:pPr>
      <w:r>
        <w:rPr>
          <w:rFonts w:ascii="Arial" w:cs="Arial" w:eastAsia="Arial" w:hAnsi="Arial"/>
          <w:sz w:val="17"/>
          <w:szCs w:val="17"/>
          <w:i w:val="1"/>
          <w:iCs w:val="1"/>
          <w:color w:val="auto"/>
        </w:rPr>
        <w:t xml:space="preserve">Statistical and Market Data. </w:t>
      </w:r>
      <w:r>
        <w:rPr>
          <w:rFonts w:ascii="Arial" w:cs="Arial" w:eastAsia="Arial" w:hAnsi="Arial"/>
          <w:sz w:val="17"/>
          <w:szCs w:val="17"/>
          <w:color w:val="auto"/>
        </w:rPr>
        <w:t>Nothing has come to the attention of the Company that has caused the Company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in each of the Registration Statement, the Pricing Disclosure Package and the Prospectus is not based on or derived from sources that are reliable and accurate in all material respects.</w:t>
      </w:r>
    </w:p>
    <w:p>
      <w:pPr>
        <w:spacing w:after="0" w:line="65" w:lineRule="exact"/>
        <w:rPr>
          <w:rFonts w:ascii="Arial" w:cs="Arial" w:eastAsia="Arial" w:hAnsi="Arial"/>
          <w:sz w:val="17"/>
          <w:szCs w:val="17"/>
          <w:color w:val="auto"/>
        </w:rPr>
      </w:pPr>
    </w:p>
    <w:p>
      <w:pPr>
        <w:ind w:left="-8" w:right="140" w:firstLine="426"/>
        <w:spacing w:after="0" w:line="304" w:lineRule="auto"/>
        <w:tabs>
          <w:tab w:leader="none" w:pos="671" w:val="left"/>
        </w:tabs>
        <w:numPr>
          <w:ilvl w:val="1"/>
          <w:numId w:val="142"/>
        </w:numPr>
        <w:rPr>
          <w:rFonts w:ascii="Arial" w:cs="Arial" w:eastAsia="Arial" w:hAnsi="Arial"/>
          <w:sz w:val="16"/>
          <w:szCs w:val="16"/>
          <w:color w:val="auto"/>
        </w:rPr>
      </w:pPr>
      <w:r>
        <w:rPr>
          <w:rFonts w:ascii="Arial" w:cs="Arial" w:eastAsia="Arial" w:hAnsi="Arial"/>
          <w:sz w:val="16"/>
          <w:szCs w:val="16"/>
          <w:i w:val="1"/>
          <w:iCs w:val="1"/>
          <w:color w:val="auto"/>
        </w:rPr>
        <w:t>Sarbanes-Oxley Act</w:t>
      </w:r>
      <w:r>
        <w:rPr>
          <w:rFonts w:ascii="Arial" w:cs="Arial" w:eastAsia="Arial" w:hAnsi="Arial"/>
          <w:sz w:val="16"/>
          <w:szCs w:val="16"/>
          <w:color w:val="auto"/>
        </w:rPr>
        <w:t>. There is and has been no failure on the part of the Company or any of the Company’s directors or officers,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as such, to comply with any provision of the Sarbanes-Oxley Act of 2002, as amended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with which the Company is required to comply, including Section 402 related to loans.</w:t>
      </w:r>
    </w:p>
    <w:p>
      <w:pPr>
        <w:spacing w:after="0" w:line="47" w:lineRule="exact"/>
        <w:rPr>
          <w:rFonts w:ascii="Arial" w:cs="Arial" w:eastAsia="Arial" w:hAnsi="Arial"/>
          <w:sz w:val="16"/>
          <w:szCs w:val="16"/>
          <w:color w:val="auto"/>
        </w:rPr>
      </w:pPr>
    </w:p>
    <w:p>
      <w:pPr>
        <w:ind w:left="-8" w:firstLine="426"/>
        <w:spacing w:after="0" w:line="291" w:lineRule="auto"/>
        <w:tabs>
          <w:tab w:leader="none" w:pos="750" w:val="left"/>
        </w:tabs>
        <w:numPr>
          <w:ilvl w:val="1"/>
          <w:numId w:val="142"/>
        </w:numPr>
        <w:rPr>
          <w:rFonts w:ascii="Arial" w:cs="Arial" w:eastAsia="Arial" w:hAnsi="Arial"/>
          <w:sz w:val="16"/>
          <w:szCs w:val="16"/>
          <w:color w:val="auto"/>
        </w:rPr>
      </w:pPr>
      <w:r>
        <w:rPr>
          <w:rFonts w:ascii="Arial" w:cs="Arial" w:eastAsia="Arial" w:hAnsi="Arial"/>
          <w:sz w:val="16"/>
          <w:szCs w:val="16"/>
          <w:i w:val="1"/>
          <w:iCs w:val="1"/>
          <w:color w:val="auto"/>
        </w:rPr>
        <w:t>Status under the Securities Act</w:t>
      </w:r>
      <w:r>
        <w:rPr>
          <w:rFonts w:ascii="Arial" w:cs="Arial" w:eastAsia="Arial" w:hAnsi="Arial"/>
          <w:sz w:val="16"/>
          <w:szCs w:val="16"/>
          <w:color w:val="auto"/>
        </w:rPr>
        <w:t>. At the time of filing the Registration Statement and any post-effective amendment thereto, 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earliest time thereafter that the Company or any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58" w:lineRule="exact"/>
        <w:rPr>
          <w:rFonts w:ascii="Arial" w:cs="Arial" w:eastAsia="Arial" w:hAnsi="Arial"/>
          <w:sz w:val="16"/>
          <w:szCs w:val="16"/>
          <w:color w:val="auto"/>
        </w:rPr>
      </w:pPr>
    </w:p>
    <w:p>
      <w:pPr>
        <w:ind w:left="-8" w:right="360" w:firstLine="426"/>
        <w:spacing w:after="0" w:line="257" w:lineRule="auto"/>
        <w:tabs>
          <w:tab w:leader="none" w:pos="75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 There are (and prior to the Closing Date, will be) no debt securities, convertible securities or preferred stock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the Company or any of its subsidiaries that are rated by a “nationally recognized statistical rating organization”, as such term is defined in Section 3(a)(62) under the Exchange Act.</w:t>
      </w:r>
    </w:p>
    <w:p>
      <w:pPr>
        <w:spacing w:after="0" w:line="188" w:lineRule="exact"/>
        <w:rPr>
          <w:rFonts w:ascii="Arial" w:cs="Arial" w:eastAsia="Arial" w:hAnsi="Arial"/>
          <w:sz w:val="18"/>
          <w:szCs w:val="18"/>
          <w:color w:val="auto"/>
        </w:rPr>
      </w:pPr>
    </w:p>
    <w:p>
      <w:pPr>
        <w:ind w:left="172" w:hanging="172"/>
        <w:spacing w:after="0"/>
        <w:tabs>
          <w:tab w:leader="none" w:pos="17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3" w:lineRule="exact"/>
        <w:rPr>
          <w:rFonts w:ascii="Arial" w:cs="Arial" w:eastAsia="Arial" w:hAnsi="Arial"/>
          <w:sz w:val="18"/>
          <w:szCs w:val="18"/>
          <w:color w:val="auto"/>
        </w:rPr>
      </w:pPr>
    </w:p>
    <w:p>
      <w:pPr>
        <w:ind w:left="-8" w:right="60" w:firstLine="426"/>
        <w:spacing w:after="0" w:line="270" w:lineRule="auto"/>
        <w:tabs>
          <w:tab w:leader="none" w:pos="651" w:val="left"/>
        </w:tabs>
        <w:numPr>
          <w:ilvl w:val="1"/>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424(b) and</w:t>
      </w:r>
      <w:r>
        <w:rPr>
          <w:rFonts w:ascii="Arial" w:cs="Arial" w:eastAsia="Arial" w:hAnsi="Arial"/>
          <w:sz w:val="17"/>
          <w:szCs w:val="17"/>
          <w:i w:val="1"/>
          <w:iCs w:val="1"/>
          <w:color w:val="auto"/>
        </w:rPr>
        <w:t xml:space="preserve"> </w:t>
      </w:r>
      <w:r>
        <w:rPr>
          <w:rFonts w:ascii="Arial" w:cs="Arial" w:eastAsia="Arial" w:hAnsi="Arial"/>
          <w:sz w:val="17"/>
          <w:szCs w:val="17"/>
          <w:color w:val="auto"/>
        </w:rPr>
        <w:t>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73" w:lineRule="exact"/>
        <w:rPr>
          <w:rFonts w:ascii="Arial" w:cs="Arial" w:eastAsia="Arial" w:hAnsi="Arial"/>
          <w:sz w:val="17"/>
          <w:szCs w:val="17"/>
          <w:color w:val="auto"/>
        </w:rPr>
      </w:pPr>
    </w:p>
    <w:p>
      <w:pPr>
        <w:ind w:left="-8" w:right="140" w:firstLine="426"/>
        <w:spacing w:after="0" w:line="257" w:lineRule="auto"/>
        <w:tabs>
          <w:tab w:leader="none" w:pos="661" w:val="left"/>
        </w:tabs>
        <w:numPr>
          <w:ilvl w:val="1"/>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Copies. </w:t>
      </w:r>
      <w:r>
        <w:rPr>
          <w:rFonts w:ascii="Arial" w:cs="Arial" w:eastAsia="Arial" w:hAnsi="Arial"/>
          <w:sz w:val="18"/>
          <w:szCs w:val="18"/>
          <w:color w:val="auto"/>
        </w:rPr>
        <w:t>The Company will deliver, upon request and without charge, (i) to the Representatives, three, signed copies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as originally filed and each amendment thereto, in each case including all exhibits and consents filed therewith and (ii) to each Underwriter (A) a conformed copy of the Registration Statement as originally filed</w:t>
      </w:r>
    </w:p>
    <w:p>
      <w:pPr>
        <w:sectPr>
          <w:pgSz w:w="11900" w:h="16838" w:orient="portrait"/>
          <w:cols w:equalWidth="0" w:num="1">
            <w:col w:w="10432"/>
          </w:cols>
          <w:pgMar w:left="948" w:top="274" w:right="519" w:bottom="1440" w:gutter="0" w:footer="0" w:header="0"/>
        </w:sectPr>
      </w:pPr>
    </w:p>
    <w:bookmarkStart w:id="239" w:name="page240"/>
    <w:bookmarkEnd w:id="239"/>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58" w:lineRule="exact"/>
        <w:rPr>
          <w:sz w:val="20"/>
          <w:szCs w:val="20"/>
          <w:color w:val="auto"/>
        </w:rPr>
      </w:pPr>
    </w:p>
    <w:p>
      <w:pPr>
        <w:ind w:right="80" w:firstLine="426"/>
        <w:spacing w:after="0" w:line="291" w:lineRule="auto"/>
        <w:tabs>
          <w:tab w:leader="none" w:pos="659"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in a timely manner.</w:t>
      </w:r>
    </w:p>
    <w:p>
      <w:pPr>
        <w:spacing w:after="0" w:line="58" w:lineRule="exact"/>
        <w:rPr>
          <w:rFonts w:ascii="Arial" w:cs="Arial" w:eastAsia="Arial" w:hAnsi="Arial"/>
          <w:sz w:val="16"/>
          <w:szCs w:val="16"/>
          <w:color w:val="auto"/>
        </w:rPr>
      </w:pPr>
    </w:p>
    <w:p>
      <w:pPr>
        <w:ind w:firstLine="426"/>
        <w:spacing w:after="0" w:line="281" w:lineRule="auto"/>
        <w:tabs>
          <w:tab w:leader="none" w:pos="669"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(which may</w:t>
      </w:r>
      <w:r>
        <w:rPr>
          <w:rFonts w:ascii="Arial" w:cs="Arial" w:eastAsia="Arial" w:hAnsi="Arial"/>
          <w:sz w:val="16"/>
          <w:szCs w:val="16"/>
          <w:i w:val="1"/>
          <w:iCs w:val="1"/>
          <w:color w:val="auto"/>
        </w:rPr>
        <w:t xml:space="preserve"> </w:t>
      </w:r>
      <w:r>
        <w:rPr>
          <w:rFonts w:ascii="Arial" w:cs="Arial" w:eastAsia="Arial" w:hAnsi="Arial"/>
          <w:sz w:val="16"/>
          <w:szCs w:val="16"/>
          <w:color w:val="auto"/>
        </w:rPr>
        <w:t>be by 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ectPr>
          <w:pgSz w:w="11900" w:h="16838" w:orient="portrait"/>
          <w:cols w:equalWidth="0" w:num="1">
            <w:col w:w="10460"/>
          </w:cols>
          <w:pgMar w:left="940" w:top="274" w:right="499" w:bottom="1440" w:gutter="0" w:footer="0" w:header="0"/>
        </w:sectPr>
      </w:pPr>
    </w:p>
    <w:bookmarkStart w:id="240" w:name="page241"/>
    <w:bookmarkEnd w:id="240"/>
    <w:p>
      <w:pPr>
        <w:ind w:left="-8" w:firstLine="426"/>
        <w:spacing w:after="0" w:line="281" w:lineRule="auto"/>
        <w:tabs>
          <w:tab w:leader="none" w:pos="651"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Ongoing Compliance. </w:t>
      </w:r>
      <w:r>
        <w:rPr>
          <w:rFonts w:ascii="Arial" w:cs="Arial" w:eastAsia="Arial" w:hAnsi="Arial"/>
          <w:sz w:val="16"/>
          <w:szCs w:val="16"/>
          <w:color w:val="auto"/>
        </w:rPr>
        <w:t>(1) If during the Prospectus Delivery Period (i)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73" w:lineRule="exact"/>
        <w:rPr>
          <w:rFonts w:ascii="Arial" w:cs="Arial" w:eastAsia="Arial" w:hAnsi="Arial"/>
          <w:sz w:val="16"/>
          <w:szCs w:val="16"/>
          <w:color w:val="auto"/>
        </w:rPr>
      </w:pPr>
    </w:p>
    <w:p>
      <w:pPr>
        <w:ind w:left="-8" w:right="40" w:firstLine="426"/>
        <w:spacing w:after="0" w:line="281" w:lineRule="auto"/>
        <w:tabs>
          <w:tab w:leader="none" w:pos="631"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will qualify the Shares for offer and sale under the securities or Blue Sky laws of such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Representatives shall reasonably request and will continue such qualifications in effect so long as required for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otherwise so subject.</w:t>
      </w:r>
    </w:p>
    <w:p>
      <w:pPr>
        <w:spacing w:after="0" w:line="102" w:lineRule="exact"/>
        <w:rPr>
          <w:rFonts w:ascii="Arial" w:cs="Arial" w:eastAsia="Arial" w:hAnsi="Arial"/>
          <w:sz w:val="18"/>
          <w:szCs w:val="18"/>
          <w:color w:val="auto"/>
        </w:rPr>
      </w:pPr>
    </w:p>
    <w:p>
      <w:pPr>
        <w:ind w:left="-8" w:right="40" w:firstLine="426"/>
        <w:spacing w:after="0" w:line="291" w:lineRule="auto"/>
        <w:tabs>
          <w:tab w:leader="none" w:pos="661"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t xml:space="preserve">Earning Statement. </w:t>
      </w:r>
      <w:r>
        <w:rPr>
          <w:rFonts w:ascii="Arial" w:cs="Arial" w:eastAsia="Arial" w:hAnsi="Arial"/>
          <w:sz w:val="16"/>
          <w:szCs w:val="16"/>
          <w:color w:val="auto"/>
        </w:rPr>
        <w:t>The Company will make generally available to its security holders and the Representatives as soon as practicable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will be deemed to have satisfied such requirement to the extent such information is filed on the Commission’s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or any successor thereto.</w:t>
      </w:r>
    </w:p>
    <w:p>
      <w:pPr>
        <w:spacing w:after="0" w:line="58" w:lineRule="exact"/>
        <w:rPr>
          <w:rFonts w:ascii="Arial" w:cs="Arial" w:eastAsia="Arial" w:hAnsi="Arial"/>
          <w:sz w:val="16"/>
          <w:szCs w:val="16"/>
          <w:color w:val="auto"/>
        </w:rPr>
      </w:pPr>
    </w:p>
    <w:p>
      <w:pPr>
        <w:ind w:left="-8" w:firstLine="426"/>
        <w:spacing w:after="0" w:line="267" w:lineRule="auto"/>
        <w:tabs>
          <w:tab w:leader="none" w:pos="661" w:val="left"/>
        </w:tabs>
        <w:numPr>
          <w:ilvl w:val="1"/>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Clear Market. </w:t>
      </w:r>
      <w:r>
        <w:rPr>
          <w:rFonts w:ascii="Arial" w:cs="Arial" w:eastAsia="Arial" w:hAnsi="Arial"/>
          <w:sz w:val="17"/>
          <w:szCs w:val="17"/>
          <w:color w:val="auto"/>
        </w:rPr>
        <w:t>For a period of 180 days after the date of the Prospectus, the Company will not (i) offer, pledge, announce the intention to</w:t>
      </w:r>
      <w:r>
        <w:rPr>
          <w:rFonts w:ascii="Arial" w:cs="Arial" w:eastAsia="Arial" w:hAnsi="Arial"/>
          <w:sz w:val="17"/>
          <w:szCs w:val="17"/>
          <w:i w:val="1"/>
          <w:iCs w:val="1"/>
          <w:color w:val="auto"/>
        </w:rPr>
        <w:t xml:space="preserve"> </w:t>
      </w:r>
      <w:r>
        <w:rPr>
          <w:rFonts w:ascii="Arial" w:cs="Arial" w:eastAsia="Arial" w:hAnsi="Arial"/>
          <w:sz w:val="17"/>
          <w:szCs w:val="17"/>
          <w:color w:val="auto"/>
        </w:rPr>
        <w:t>sell, sell, contract to sell, sell any option or contract to purchase, purchase any option or contract to sell, grant any option, right or warrant to purchase or otherwise transfer or dispose of, directly or indirectly, or file with, or submit to, the Commission a registration statement under the Securities Act relating to, any shares of Stock or any securities convertible into or exchangeable or exercisable for any Stock, or publicly disclose the intention to make any offer, sale, pledge, disposition, submission or filing, or (ii) enter into any swap or other agreement that transfers all or a portion of the economic consequences associated with the ownership of any Stock or any such other securities, whether any such transaction described in clause (i) or (ii) above is to be settled by delivery of Stock or</w:t>
      </w:r>
    </w:p>
    <w:p>
      <w:pPr>
        <w:sectPr>
          <w:pgSz w:w="11900" w:h="16838" w:orient="portrait"/>
          <w:cols w:equalWidth="0" w:num="1">
            <w:col w:w="10392"/>
          </w:cols>
          <w:pgMar w:left="948" w:top="274" w:right="559" w:bottom="1440" w:gutter="0" w:footer="0" w:header="0"/>
        </w:sectPr>
      </w:pPr>
    </w:p>
    <w:bookmarkStart w:id="241" w:name="page242"/>
    <w:bookmarkEnd w:id="241"/>
    <w:p>
      <w:pPr>
        <w:ind w:right="160"/>
        <w:spacing w:after="0" w:line="32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such other securities, in cash or otherwise, without the prior written consent of J.P. Morgan Securities LLC, other than (a) the Shares to be sold hereunder, (b) any shares of Stock of the Company issued upon the exercise of options granted under Company Stock Plans, (c) the grant or issuance by the Company of employee, consultant, or director stock options or restricted stock in the ordinary course of business under the Company Stock Plans described in the Registration Statement, the Pricing Disclosure Package and the Prospectus, (d) shares registered on Form S-8 relating to the Company Stock Plans described in the Registration Statement, the Pricing Disclosure Package and the Prospectus, (e) the issuance of securities in connection with the acquisition by the Company or any of its subsidiaries of the securities, businesses, property or other assets of another person or entity or pursuant to any employee benefit plan assumed by the Company in connection with any such acquisition, or</w:t>
      </w:r>
    </w:p>
    <w:p>
      <w:pPr>
        <w:spacing w:after="0" w:line="2" w:lineRule="exact"/>
        <w:rPr>
          <w:sz w:val="20"/>
          <w:szCs w:val="20"/>
          <w:color w:val="auto"/>
        </w:rPr>
      </w:pPr>
    </w:p>
    <w:p>
      <w:pPr>
        <w:ind w:firstLine="8"/>
        <w:spacing w:after="0" w:line="283" w:lineRule="auto"/>
        <w:tabs>
          <w:tab w:leader="none" w:pos="22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the issuance of securities in connection with joint ventures, commercial relationships, or other strategic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the case of clauses (e) and (f), the aggregate number of shares issued in all such acquisitions and transactions taken together does not exceed 5% of the Company’s outstanding common stock following the offering of Common Stock contemplated by this Agreement and (y) each person to whom such shares or securities are issued or granted pursuant to clauses (b), (c), (d), (e) and (f) during the 180-day restriction period described above executes or has executed a “lock-up” agreement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If J.P. Morgan Securities LLC , in its sole discretion, agrees to release or waive the restrictions set forth in a lock-up letter described in Section 6(n) hereof for an officer or director of the Company and provides the Company with notice of the impending release or waiver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at least three business days before the effective date of the release or waiver, the Company agrees to announce the impending release or waiver by a press release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through a major news service at least two business days before the effective date of the release or waiver.</w:t>
      </w:r>
    </w:p>
    <w:p>
      <w:pPr>
        <w:spacing w:after="0" w:line="63" w:lineRule="exact"/>
        <w:rPr>
          <w:rFonts w:ascii="Arial" w:cs="Arial" w:eastAsia="Arial" w:hAnsi="Arial"/>
          <w:sz w:val="16"/>
          <w:szCs w:val="16"/>
          <w:color w:val="auto"/>
        </w:rPr>
      </w:pPr>
    </w:p>
    <w:p>
      <w:pPr>
        <w:ind w:firstLine="426"/>
        <w:spacing w:after="0" w:line="267" w:lineRule="auto"/>
        <w:tabs>
          <w:tab w:leader="none" w:pos="630"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as described in each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Disclosure Package and the Prospectus under the heading “Use of Proceeds”.</w:t>
      </w:r>
    </w:p>
    <w:p>
      <w:pPr>
        <w:spacing w:after="0" w:line="72" w:lineRule="exact"/>
        <w:rPr>
          <w:rFonts w:ascii="Arial" w:cs="Arial" w:eastAsia="Arial" w:hAnsi="Arial"/>
          <w:sz w:val="18"/>
          <w:szCs w:val="18"/>
          <w:color w:val="auto"/>
        </w:rPr>
      </w:pPr>
    </w:p>
    <w:p>
      <w:pPr>
        <w:ind w:right="780" w:firstLine="426"/>
        <w:spacing w:after="0" w:line="267" w:lineRule="auto"/>
        <w:tabs>
          <w:tab w:leader="none" w:pos="630"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its subsidiaries will take, directly or indirectly, any action designed to or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 any stabilization or manipulation of the price of the Stock.</w:t>
      </w:r>
    </w:p>
    <w:p>
      <w:pPr>
        <w:spacing w:after="0" w:line="72" w:lineRule="exact"/>
        <w:rPr>
          <w:rFonts w:ascii="Arial" w:cs="Arial" w:eastAsia="Arial" w:hAnsi="Arial"/>
          <w:sz w:val="18"/>
          <w:szCs w:val="18"/>
          <w:color w:val="auto"/>
        </w:rPr>
      </w:pPr>
    </w:p>
    <w:p>
      <w:pPr>
        <w:ind w:right="20" w:firstLine="426"/>
        <w:spacing w:after="0" w:line="267" w:lineRule="auto"/>
        <w:tabs>
          <w:tab w:leader="none" w:pos="669"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Company will use its reasonable best efforts to list, subject to notice of issuance, the Shares on the Nasdaq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(the “</w:t>
      </w:r>
      <w:r>
        <w:rPr>
          <w:rFonts w:ascii="Arial" w:cs="Arial" w:eastAsia="Arial" w:hAnsi="Arial"/>
          <w:sz w:val="18"/>
          <w:szCs w:val="18"/>
          <w:b w:val="1"/>
          <w:bCs w:val="1"/>
          <w:color w:val="auto"/>
        </w:rPr>
        <w:t>Exchange</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right="80" w:firstLine="426"/>
        <w:spacing w:after="0" w:line="252" w:lineRule="auto"/>
        <w:tabs>
          <w:tab w:leader="none" w:pos="630"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two years from the date of this Agreement, the Company will furnish to the Representatives, as soon as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 or any successor to such system.</w:t>
      </w:r>
    </w:p>
    <w:p>
      <w:pPr>
        <w:spacing w:after="0" w:line="86" w:lineRule="exact"/>
        <w:rPr>
          <w:rFonts w:ascii="Arial" w:cs="Arial" w:eastAsia="Arial" w:hAnsi="Arial"/>
          <w:sz w:val="18"/>
          <w:szCs w:val="18"/>
          <w:color w:val="auto"/>
        </w:rPr>
      </w:pPr>
    </w:p>
    <w:p>
      <w:pPr>
        <w:ind w:right="440" w:firstLine="426"/>
        <w:spacing w:after="0" w:line="297" w:lineRule="auto"/>
        <w:tabs>
          <w:tab w:leader="none" w:pos="719" w:val="left"/>
        </w:tabs>
        <w:numPr>
          <w:ilvl w:val="1"/>
          <w:numId w:val="147"/>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that is not filed with the Commission in accordance with Rule 433 under the Securities Act.</w:t>
      </w:r>
    </w:p>
    <w:p>
      <w:pPr>
        <w:spacing w:after="0" w:line="49" w:lineRule="exact"/>
        <w:rPr>
          <w:rFonts w:ascii="Arial" w:cs="Arial" w:eastAsia="Arial" w:hAnsi="Arial"/>
          <w:sz w:val="17"/>
          <w:szCs w:val="17"/>
          <w:color w:val="auto"/>
        </w:rPr>
      </w:pPr>
    </w:p>
    <w:p>
      <w:pPr>
        <w:ind w:left="680" w:hanging="254"/>
        <w:spacing w:after="0"/>
        <w:tabs>
          <w:tab w:leader="none" w:pos="680" w:val="left"/>
        </w:tabs>
        <w:numPr>
          <w:ilvl w:val="1"/>
          <w:numId w:val="147"/>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ectPr>
          <w:pgSz w:w="11900" w:h="16838" w:orient="portrait"/>
          <w:cols w:equalWidth="0" w:num="1">
            <w:col w:w="10440"/>
          </w:cols>
          <w:pgMar w:left="940" w:top="274" w:right="519" w:bottom="1440" w:gutter="0" w:footer="0" w:header="0"/>
        </w:sectPr>
      </w:pPr>
    </w:p>
    <w:bookmarkStart w:id="242" w:name="page243"/>
    <w:bookmarkEnd w:id="242"/>
    <w:p>
      <w:pPr>
        <w:jc w:val="both"/>
        <w:ind w:left="-8" w:right="140" w:firstLine="426"/>
        <w:spacing w:after="0" w:line="257" w:lineRule="auto"/>
        <w:tabs>
          <w:tab w:leader="none" w:pos="661" w:val="left"/>
        </w:tabs>
        <w:numPr>
          <w:ilvl w:val="1"/>
          <w:numId w:val="14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Shares within the meaning of the Securities Act and (ii) completion of the 180-day restricted period referred to in Section 4(h) hereof.</w:t>
      </w:r>
    </w:p>
    <w:p>
      <w:pPr>
        <w:spacing w:after="0" w:line="81" w:lineRule="exact"/>
        <w:rPr>
          <w:rFonts w:ascii="Arial" w:cs="Arial" w:eastAsia="Arial" w:hAnsi="Arial"/>
          <w:sz w:val="18"/>
          <w:szCs w:val="18"/>
          <w:color w:val="auto"/>
        </w:rPr>
      </w:pPr>
    </w:p>
    <w:p>
      <w:pPr>
        <w:jc w:val="both"/>
        <w:ind w:left="-8" w:right="40" w:firstLine="426"/>
        <w:spacing w:after="0" w:line="257" w:lineRule="auto"/>
        <w:tabs>
          <w:tab w:leader="none" w:pos="661" w:val="left"/>
        </w:tabs>
        <w:numPr>
          <w:ilvl w:val="1"/>
          <w:numId w:val="148"/>
        </w:numPr>
        <w:rPr>
          <w:rFonts w:ascii="Arial" w:cs="Arial" w:eastAsia="Arial" w:hAnsi="Arial"/>
          <w:sz w:val="18"/>
          <w:szCs w:val="18"/>
          <w:color w:val="auto"/>
        </w:rPr>
      </w:pPr>
      <w:r>
        <w:rPr>
          <w:rFonts w:ascii="Arial" w:cs="Arial" w:eastAsia="Arial" w:hAnsi="Arial"/>
          <w:sz w:val="18"/>
          <w:szCs w:val="18"/>
          <w:i w:val="1"/>
          <w:iCs w:val="1"/>
          <w:color w:val="auto"/>
        </w:rPr>
        <w:t>Tax Indemnity</w:t>
      </w:r>
      <w:r>
        <w:rPr>
          <w:rFonts w:ascii="Arial" w:cs="Arial" w:eastAsia="Arial" w:hAnsi="Arial"/>
          <w:sz w:val="18"/>
          <w:szCs w:val="18"/>
          <w:color w:val="auto"/>
        </w:rPr>
        <w:t>. The Company will indemnify and hold harmless the Underwriters against any documentary, stamp, registration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tax, including any interest and penalties, on the sale of the Shares by the Company to the Underwriters and on the execution and delivery of this Agreement.</w:t>
      </w:r>
    </w:p>
    <w:p>
      <w:pPr>
        <w:spacing w:after="0" w:line="188" w:lineRule="exact"/>
        <w:rPr>
          <w:rFonts w:ascii="Arial" w:cs="Arial" w:eastAsia="Arial" w:hAnsi="Arial"/>
          <w:sz w:val="18"/>
          <w:szCs w:val="18"/>
          <w:color w:val="auto"/>
        </w:rPr>
      </w:pPr>
    </w:p>
    <w:p>
      <w:pPr>
        <w:ind w:left="172" w:hanging="172"/>
        <w:spacing w:after="0"/>
        <w:tabs>
          <w:tab w:leader="none" w:pos="172"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3" w:lineRule="exact"/>
        <w:rPr>
          <w:rFonts w:ascii="Arial" w:cs="Arial" w:eastAsia="Arial" w:hAnsi="Arial"/>
          <w:sz w:val="18"/>
          <w:szCs w:val="18"/>
          <w:color w:val="auto"/>
        </w:rPr>
      </w:pPr>
    </w:p>
    <w:p>
      <w:pPr>
        <w:ind w:left="-8" w:firstLine="426"/>
        <w:spacing w:after="0" w:line="267" w:lineRule="auto"/>
        <w:tabs>
          <w:tab w:leader="none" w:pos="65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in Part II of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17"/>
          <w:szCs w:val="17"/>
          <w:b w:val="1"/>
          <w:bCs w:val="1"/>
          <w:color w:val="auto"/>
        </w:rPr>
        <w:t>Underwriter Free Writing Prospectus</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8" w:right="100" w:firstLine="426"/>
        <w:spacing w:after="0" w:line="252" w:lineRule="auto"/>
        <w:tabs>
          <w:tab w:leader="none" w:pos="66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Underwriters may use a term sheet substantially in the form of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hereto without the consent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86" w:lineRule="exact"/>
        <w:rPr>
          <w:rFonts w:ascii="Arial" w:cs="Arial" w:eastAsia="Arial" w:hAnsi="Arial"/>
          <w:sz w:val="18"/>
          <w:szCs w:val="18"/>
          <w:color w:val="auto"/>
        </w:rPr>
      </w:pPr>
    </w:p>
    <w:p>
      <w:pPr>
        <w:ind w:left="-8" w:right="160" w:firstLine="426"/>
        <w:spacing w:after="0" w:line="267" w:lineRule="auto"/>
        <w:tabs>
          <w:tab w:leader="none" w:pos="65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9" w:lineRule="exact"/>
        <w:rPr>
          <w:rFonts w:ascii="Arial" w:cs="Arial" w:eastAsia="Arial" w:hAnsi="Arial"/>
          <w:sz w:val="18"/>
          <w:szCs w:val="18"/>
          <w:color w:val="auto"/>
        </w:rPr>
      </w:pPr>
    </w:p>
    <w:p>
      <w:pPr>
        <w:ind w:left="-428" w:right="20" w:firstLine="428"/>
        <w:spacing w:after="0" w:line="257" w:lineRule="auto"/>
        <w:tabs>
          <w:tab w:leader="none" w:pos="18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81" w:lineRule="exact"/>
        <w:rPr>
          <w:rFonts w:ascii="Arial" w:cs="Arial" w:eastAsia="Arial" w:hAnsi="Arial"/>
          <w:sz w:val="18"/>
          <w:szCs w:val="18"/>
          <w:color w:val="auto"/>
        </w:rPr>
      </w:pPr>
    </w:p>
    <w:p>
      <w:pPr>
        <w:ind w:left="-8" w:right="180" w:firstLine="426"/>
        <w:spacing w:after="0" w:line="291" w:lineRule="auto"/>
        <w:tabs>
          <w:tab w:leader="none" w:pos="651" w:val="left"/>
        </w:tabs>
        <w:numPr>
          <w:ilvl w:val="1"/>
          <w:numId w:val="149"/>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ectPr>
          <w:pgSz w:w="11900" w:h="16838" w:orient="portrait"/>
          <w:cols w:equalWidth="0" w:num="1">
            <w:col w:w="10452"/>
          </w:cols>
          <w:pgMar w:left="948" w:top="274" w:right="499" w:bottom="1440" w:gutter="0" w:footer="0" w:header="0"/>
        </w:sectPr>
      </w:pPr>
    </w:p>
    <w:bookmarkStart w:id="243" w:name="page244"/>
    <w:bookmarkEnd w:id="243"/>
    <w:p>
      <w:pPr>
        <w:ind w:left="-8" w:right="260" w:firstLine="426"/>
        <w:spacing w:after="0" w:line="254" w:lineRule="auto"/>
        <w:tabs>
          <w:tab w:leader="none" w:pos="661" w:val="left"/>
        </w:tabs>
        <w:numPr>
          <w:ilvl w:val="1"/>
          <w:numId w:val="1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Representations and Warranties. </w:t>
      </w:r>
      <w:r>
        <w:rPr>
          <w:rFonts w:ascii="Arial" w:cs="Arial" w:eastAsia="Arial" w:hAnsi="Arial"/>
          <w:sz w:val="18"/>
          <w:szCs w:val="18"/>
          <w:color w:val="auto"/>
        </w:rPr>
        <w:t>The representations and warranties of the Company contained herein shall be true and correct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83" w:lineRule="exact"/>
        <w:rPr>
          <w:rFonts w:ascii="Arial" w:cs="Arial" w:eastAsia="Arial" w:hAnsi="Arial"/>
          <w:sz w:val="18"/>
          <w:szCs w:val="18"/>
          <w:color w:val="auto"/>
        </w:rPr>
      </w:pPr>
    </w:p>
    <w:p>
      <w:pPr>
        <w:ind w:left="-8" w:right="60" w:firstLine="426"/>
        <w:spacing w:after="0" w:line="291" w:lineRule="auto"/>
        <w:tabs>
          <w:tab w:leader="none" w:pos="651" w:val="left"/>
        </w:tabs>
        <w:numPr>
          <w:ilvl w:val="1"/>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No event or condition of a type described in Section 3(h) hereof shall have occurred or shall exist, which</w:t>
      </w:r>
      <w:r>
        <w:rPr>
          <w:rFonts w:ascii="Arial" w:cs="Arial" w:eastAsia="Arial" w:hAnsi="Arial"/>
          <w:sz w:val="16"/>
          <w:szCs w:val="16"/>
          <w:i w:val="1"/>
          <w:iCs w:val="1"/>
          <w:color w:val="auto"/>
        </w:rPr>
        <w:t xml:space="preserve"> </w:t>
      </w:r>
      <w:r>
        <w:rPr>
          <w:rFonts w:ascii="Arial" w:cs="Arial" w:eastAsia="Arial" w:hAnsi="Arial"/>
          <w:sz w:val="16"/>
          <w:szCs w:val="16"/>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58" w:lineRule="exact"/>
        <w:rPr>
          <w:rFonts w:ascii="Arial" w:cs="Arial" w:eastAsia="Arial" w:hAnsi="Arial"/>
          <w:sz w:val="16"/>
          <w:szCs w:val="16"/>
          <w:color w:val="auto"/>
        </w:rPr>
      </w:pPr>
    </w:p>
    <w:p>
      <w:pPr>
        <w:ind w:left="-8" w:firstLine="426"/>
        <w:spacing w:after="0" w:line="280" w:lineRule="auto"/>
        <w:tabs>
          <w:tab w:leader="none" w:pos="661" w:val="left"/>
        </w:tabs>
        <w:numPr>
          <w:ilvl w:val="1"/>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the Additional Closing Date,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or the Additional Closing Date, as the case may be, and (iii) to the effect set forth in paragraphs (a) and</w:t>
      </w:r>
    </w:p>
    <w:p>
      <w:pPr>
        <w:spacing w:after="0" w:line="1" w:lineRule="exact"/>
        <w:rPr>
          <w:rFonts w:ascii="Arial" w:cs="Arial" w:eastAsia="Arial" w:hAnsi="Arial"/>
          <w:sz w:val="16"/>
          <w:szCs w:val="16"/>
          <w:color w:val="auto"/>
        </w:rPr>
      </w:pPr>
    </w:p>
    <w:p>
      <w:pPr>
        <w:ind w:left="252" w:hanging="252"/>
        <w:spacing w:after="0"/>
        <w:tabs>
          <w:tab w:leader="none" w:pos="2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above.</w:t>
      </w:r>
    </w:p>
    <w:p>
      <w:pPr>
        <w:spacing w:after="0" w:line="102" w:lineRule="exact"/>
        <w:rPr>
          <w:rFonts w:ascii="Arial" w:cs="Arial" w:eastAsia="Arial" w:hAnsi="Arial"/>
          <w:sz w:val="18"/>
          <w:szCs w:val="18"/>
          <w:color w:val="auto"/>
        </w:rPr>
      </w:pPr>
    </w:p>
    <w:p>
      <w:pPr>
        <w:ind w:left="-8" w:right="180" w:firstLine="426"/>
        <w:spacing w:after="0" w:line="252" w:lineRule="auto"/>
        <w:tabs>
          <w:tab w:leader="none" w:pos="651" w:val="left"/>
        </w:tabs>
        <w:numPr>
          <w:ilvl w:val="1"/>
          <w:numId w:val="151"/>
        </w:numPr>
        <w:rPr>
          <w:rFonts w:ascii="Arial" w:cs="Arial" w:eastAsia="Arial" w:hAnsi="Arial"/>
          <w:sz w:val="18"/>
          <w:szCs w:val="18"/>
          <w:color w:val="auto"/>
        </w:rPr>
      </w:pPr>
      <w:r>
        <w:rPr>
          <w:rFonts w:ascii="Arial" w:cs="Arial" w:eastAsia="Arial" w:hAnsi="Arial"/>
          <w:sz w:val="18"/>
          <w:szCs w:val="18"/>
          <w:i w:val="1"/>
          <w:iCs w:val="1"/>
          <w:color w:val="auto"/>
        </w:rPr>
        <w:t>Chief Financial Officer’s Certificate</w:t>
      </w:r>
      <w:r>
        <w:rPr>
          <w:rFonts w:ascii="Arial" w:cs="Arial" w:eastAsia="Arial" w:hAnsi="Arial"/>
          <w:sz w:val="18"/>
          <w:szCs w:val="18"/>
          <w:color w:val="auto"/>
        </w:rPr>
        <w:t>. If requested by the Representatives, on the date of this Agreement and on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the Company shall have furnished to the Representatives a certificate, dated the respective dates of delivery thereof and addressed to the Representatives,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86" w:lineRule="exact"/>
        <w:rPr>
          <w:rFonts w:ascii="Arial" w:cs="Arial" w:eastAsia="Arial" w:hAnsi="Arial"/>
          <w:sz w:val="18"/>
          <w:szCs w:val="18"/>
          <w:color w:val="auto"/>
        </w:rPr>
      </w:pPr>
    </w:p>
    <w:p>
      <w:pPr>
        <w:ind w:left="-8" w:right="60" w:firstLine="426"/>
        <w:spacing w:after="0" w:line="267" w:lineRule="auto"/>
        <w:tabs>
          <w:tab w:leader="none" w:pos="631" w:val="left"/>
        </w:tabs>
        <w:numPr>
          <w:ilvl w:val="1"/>
          <w:numId w:val="151"/>
        </w:numPr>
        <w:rPr>
          <w:rFonts w:ascii="Arial" w:cs="Arial" w:eastAsia="Arial" w:hAnsi="Arial"/>
          <w:sz w:val="17"/>
          <w:szCs w:val="17"/>
          <w:color w:val="auto"/>
        </w:rPr>
      </w:pPr>
      <w:r>
        <w:rPr>
          <w:rFonts w:ascii="Arial" w:cs="Arial" w:eastAsia="Arial" w:hAnsi="Arial"/>
          <w:sz w:val="17"/>
          <w:szCs w:val="17"/>
          <w:i w:val="1"/>
          <w:iCs w:val="1"/>
          <w:color w:val="auto"/>
        </w:rPr>
        <w:t xml:space="preserve">Comfort Letters. </w:t>
      </w:r>
      <w:r>
        <w:rPr>
          <w:rFonts w:ascii="Arial" w:cs="Arial" w:eastAsia="Arial" w:hAnsi="Arial"/>
          <w:sz w:val="17"/>
          <w:szCs w:val="17"/>
          <w:color w:val="auto"/>
        </w:rPr>
        <w:t>On the date of this Agreement and on the Closing Date or the Additional Closing Date, as the case may be, KPMG LLP</w:t>
      </w:r>
      <w:r>
        <w:rPr>
          <w:rFonts w:ascii="Arial" w:cs="Arial" w:eastAsia="Arial" w:hAnsi="Arial"/>
          <w:sz w:val="17"/>
          <w:szCs w:val="17"/>
          <w:i w:val="1"/>
          <w:iCs w:val="1"/>
          <w:color w:val="auto"/>
        </w:rPr>
        <w:t xml:space="preserve"> </w:t>
      </w:r>
      <w:r>
        <w:rPr>
          <w:rFonts w:ascii="Arial" w:cs="Arial" w:eastAsia="Arial" w:hAnsi="Arial"/>
          <w:sz w:val="17"/>
          <w:szCs w:val="17"/>
          <w:color w:val="auto"/>
        </w:rPr>
        <w:t>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77" w:lineRule="exact"/>
        <w:rPr>
          <w:rFonts w:ascii="Arial" w:cs="Arial" w:eastAsia="Arial" w:hAnsi="Arial"/>
          <w:sz w:val="17"/>
          <w:szCs w:val="17"/>
          <w:color w:val="auto"/>
        </w:rPr>
      </w:pPr>
    </w:p>
    <w:p>
      <w:pPr>
        <w:ind w:left="-8" w:right="60" w:firstLine="426"/>
        <w:spacing w:after="0" w:line="304" w:lineRule="auto"/>
        <w:tabs>
          <w:tab w:leader="none" w:pos="661" w:val="left"/>
        </w:tabs>
        <w:numPr>
          <w:ilvl w:val="1"/>
          <w:numId w:val="151"/>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Company. </w:t>
      </w:r>
      <w:r>
        <w:rPr>
          <w:rFonts w:ascii="Arial" w:cs="Arial" w:eastAsia="Arial" w:hAnsi="Arial"/>
          <w:sz w:val="16"/>
          <w:szCs w:val="16"/>
          <w:color w:val="auto"/>
        </w:rPr>
        <w:t>Fenwick &amp; West, LLP, counsel for the Company, shall have furnished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at the request of the Company, their written opinion and 10b-5 statement, dated the Closing Date or the Additional Closing Date, as the case may be, and addressed to the Representatives, in form and substance reasonably satisfactory to the Representatives.</w:t>
      </w:r>
    </w:p>
    <w:p>
      <w:pPr>
        <w:sectPr>
          <w:pgSz w:w="11900" w:h="16838" w:orient="portrait"/>
          <w:cols w:equalWidth="0" w:num="1">
            <w:col w:w="10432"/>
          </w:cols>
          <w:pgMar w:left="948" w:top="274" w:right="519" w:bottom="1440" w:gutter="0" w:footer="0" w:header="0"/>
        </w:sectPr>
      </w:pPr>
    </w:p>
    <w:bookmarkStart w:id="244" w:name="page245"/>
    <w:bookmarkEnd w:id="244"/>
    <w:p>
      <w:pPr>
        <w:ind w:left="-426" w:right="240" w:firstLine="426"/>
        <w:spacing w:after="0" w:line="254" w:lineRule="auto"/>
        <w:tabs>
          <w:tab w:leader="none" w:pos="243"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Intellectual Property Opinion of Counsel for the Company. </w:t>
      </w:r>
      <w:r>
        <w:rPr>
          <w:rFonts w:ascii="Arial" w:cs="Arial" w:eastAsia="Arial" w:hAnsi="Arial"/>
          <w:sz w:val="18"/>
          <w:szCs w:val="18"/>
          <w:color w:val="auto"/>
        </w:rPr>
        <w:t>Wilson, Sonsini, Goodrich &amp; Rosati, P.C., counsel for the Company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intellectual property matters, shall have furnished to the Representatives, at the request of the Company, their written intellectual property opinion, dated the Closing Date or the Additional Closing Date, as the case may be, and addressed to the Representatives, in form and substance reasonably satisfactory to the Representatives.</w:t>
      </w:r>
    </w:p>
    <w:p>
      <w:pPr>
        <w:spacing w:after="0" w:line="83" w:lineRule="exact"/>
        <w:rPr>
          <w:rFonts w:ascii="Arial" w:cs="Arial" w:eastAsia="Arial" w:hAnsi="Arial"/>
          <w:sz w:val="18"/>
          <w:szCs w:val="18"/>
          <w:color w:val="auto"/>
        </w:rPr>
      </w:pPr>
    </w:p>
    <w:p>
      <w:pPr>
        <w:jc w:val="both"/>
        <w:ind w:left="-426" w:firstLine="426"/>
        <w:spacing w:after="0" w:line="254" w:lineRule="auto"/>
        <w:tabs>
          <w:tab w:leader="none" w:pos="204"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Regulatory Opinion of Counsel for the Company. </w:t>
      </w:r>
      <w:r>
        <w:rPr>
          <w:rFonts w:ascii="Arial" w:cs="Arial" w:eastAsia="Arial" w:hAnsi="Arial"/>
          <w:sz w:val="18"/>
          <w:szCs w:val="18"/>
          <w:color w:val="auto"/>
        </w:rPr>
        <w:t>Hyman, Phelps &amp; McNamara, P.C., counsel for the Company with respect to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shall have furnished to the Representatives, at the request of the Company, their written regulatory opinion, dated the Closing Date or the Additional Closing Date, as the case may be, and addressed to the Representatives, in form and substance reasonably satisfactory to the Representatives.</w:t>
      </w:r>
    </w:p>
    <w:p>
      <w:pPr>
        <w:spacing w:after="0" w:line="83" w:lineRule="exact"/>
        <w:rPr>
          <w:rFonts w:ascii="Arial" w:cs="Arial" w:eastAsia="Arial" w:hAnsi="Arial"/>
          <w:sz w:val="18"/>
          <w:szCs w:val="18"/>
          <w:color w:val="auto"/>
        </w:rPr>
      </w:pPr>
    </w:p>
    <w:p>
      <w:pPr>
        <w:ind w:left="-426" w:right="80" w:firstLine="426"/>
        <w:spacing w:after="0" w:line="295" w:lineRule="auto"/>
        <w:tabs>
          <w:tab w:leader="none" w:pos="204"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w:t>
      </w:r>
      <w:r>
        <w:rPr>
          <w:rFonts w:ascii="Arial" w:cs="Arial" w:eastAsia="Arial" w:hAnsi="Arial"/>
          <w:sz w:val="16"/>
          <w:szCs w:val="16"/>
          <w:i w:val="1"/>
          <w:iCs w:val="1"/>
          <w:color w:val="auto"/>
        </w:rPr>
        <w:t xml:space="preserve"> </w:t>
      </w:r>
      <w:r>
        <w:rPr>
          <w:rFonts w:ascii="Arial" w:cs="Arial" w:eastAsia="Arial" w:hAnsi="Arial"/>
          <w:sz w:val="16"/>
          <w:szCs w:val="16"/>
          <w:color w:val="auto"/>
        </w:rPr>
        <w:t>the Additional Closing Date, as the case may be, an opinion and 10b-5 statement, addressed to the Representatives,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55" w:lineRule="exact"/>
        <w:rPr>
          <w:rFonts w:ascii="Arial" w:cs="Arial" w:eastAsia="Arial" w:hAnsi="Arial"/>
          <w:sz w:val="16"/>
          <w:szCs w:val="16"/>
          <w:color w:val="auto"/>
        </w:rPr>
      </w:pPr>
    </w:p>
    <w:p>
      <w:pPr>
        <w:ind w:left="-426" w:right="60" w:firstLine="426"/>
        <w:spacing w:after="0" w:line="252" w:lineRule="auto"/>
        <w:tabs>
          <w:tab w:leader="none" w:pos="243"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and Sale. </w:t>
      </w:r>
      <w:r>
        <w:rPr>
          <w:rFonts w:ascii="Arial" w:cs="Arial" w:eastAsia="Arial" w:hAnsi="Arial"/>
          <w:sz w:val="18"/>
          <w:szCs w:val="18"/>
          <w:color w:val="auto"/>
        </w:rPr>
        <w:t>No action shall have been taken and no statute, rule, regulation or order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86" w:lineRule="exact"/>
        <w:rPr>
          <w:rFonts w:ascii="Arial" w:cs="Arial" w:eastAsia="Arial" w:hAnsi="Arial"/>
          <w:sz w:val="18"/>
          <w:szCs w:val="18"/>
          <w:color w:val="auto"/>
        </w:rPr>
      </w:pPr>
    </w:p>
    <w:p>
      <w:pPr>
        <w:jc w:val="both"/>
        <w:ind w:left="-426" w:right="140" w:firstLine="426"/>
        <w:spacing w:after="0" w:line="273" w:lineRule="auto"/>
        <w:tabs>
          <w:tab w:leader="none" w:pos="204"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w:t>
      </w:r>
      <w:r>
        <w:rPr>
          <w:rFonts w:ascii="Arial" w:cs="Arial" w:eastAsia="Arial" w:hAnsi="Arial"/>
          <w:sz w:val="17"/>
          <w:szCs w:val="17"/>
          <w:i w:val="1"/>
          <w:iCs w:val="1"/>
          <w:color w:val="auto"/>
        </w:rPr>
        <w:t xml:space="preserve"> </w:t>
      </w:r>
      <w:r>
        <w:rPr>
          <w:rFonts w:ascii="Arial" w:cs="Arial" w:eastAsia="Arial" w:hAnsi="Arial"/>
          <w:sz w:val="17"/>
          <w:szCs w:val="17"/>
          <w:color w:val="auto"/>
        </w:rPr>
        <w:t>be, satisfactory evidence of the good standing of the Company and 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0" w:lineRule="exact"/>
        <w:rPr>
          <w:rFonts w:ascii="Arial" w:cs="Arial" w:eastAsia="Arial" w:hAnsi="Arial"/>
          <w:sz w:val="17"/>
          <w:szCs w:val="17"/>
          <w:color w:val="auto"/>
        </w:rPr>
      </w:pPr>
    </w:p>
    <w:p>
      <w:pPr>
        <w:ind w:left="-426" w:right="380" w:firstLine="426"/>
        <w:spacing w:after="0" w:line="257" w:lineRule="auto"/>
        <w:tabs>
          <w:tab w:leader="none" w:pos="292"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Certificate Regarding Beneficial Ownership</w:t>
      </w:r>
      <w:r>
        <w:rPr>
          <w:rFonts w:ascii="Arial" w:cs="Arial" w:eastAsia="Arial" w:hAnsi="Arial"/>
          <w:sz w:val="18"/>
          <w:szCs w:val="18"/>
          <w:color w:val="auto"/>
        </w:rPr>
        <w:t>. The Representatives shall have received, prior to the date of this Agreement, properly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and executed Certifications Regarding Beneficial Ownership of Legal Entity Customers, together with copies of identifying documentation.</w:t>
      </w:r>
    </w:p>
    <w:p>
      <w:pPr>
        <w:spacing w:after="0" w:line="81" w:lineRule="exact"/>
        <w:rPr>
          <w:rFonts w:ascii="Arial" w:cs="Arial" w:eastAsia="Arial" w:hAnsi="Arial"/>
          <w:sz w:val="18"/>
          <w:szCs w:val="18"/>
          <w:color w:val="auto"/>
        </w:rPr>
      </w:pPr>
    </w:p>
    <w:p>
      <w:pPr>
        <w:ind w:left="-426" w:right="220" w:firstLine="426"/>
        <w:spacing w:after="0" w:line="267" w:lineRule="auto"/>
        <w:tabs>
          <w:tab w:leader="none" w:pos="243"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Exchange, subject to official notice of issuance.</w:t>
      </w:r>
    </w:p>
    <w:p>
      <w:pPr>
        <w:spacing w:after="0" w:line="72" w:lineRule="exact"/>
        <w:rPr>
          <w:rFonts w:ascii="Arial" w:cs="Arial" w:eastAsia="Arial" w:hAnsi="Arial"/>
          <w:sz w:val="18"/>
          <w:szCs w:val="18"/>
          <w:color w:val="auto"/>
        </w:rPr>
      </w:pPr>
    </w:p>
    <w:p>
      <w:pPr>
        <w:ind w:left="-426" w:right="120" w:firstLine="426"/>
        <w:spacing w:after="0" w:line="254" w:lineRule="auto"/>
        <w:tabs>
          <w:tab w:leader="none" w:pos="243"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between the Representatives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officers and directors of the Company relating to sales and certain other dispositions of shares of Stock or certain other securities, delivered to the Representatives on or before the date hereof, shall be in full force and effect on the Closing Date or the Additional Closing Date, as the case may be.</w:t>
      </w:r>
    </w:p>
    <w:p>
      <w:pPr>
        <w:sectPr>
          <w:pgSz w:w="11900" w:h="16838" w:orient="portrait"/>
          <w:cols w:equalWidth="0" w:num="1">
            <w:col w:w="9994"/>
          </w:cols>
          <w:pgMar w:left="1366" w:top="274" w:right="539" w:bottom="1440" w:gutter="0" w:footer="0" w:header="0"/>
        </w:sectPr>
      </w:pPr>
    </w:p>
    <w:bookmarkStart w:id="245" w:name="page246"/>
    <w:bookmarkEnd w:id="245"/>
    <w:p>
      <w:pPr>
        <w:ind w:left="427" w:right="380" w:firstLine="426"/>
        <w:spacing w:after="0" w:line="297" w:lineRule="auto"/>
        <w:tabs>
          <w:tab w:leader="none" w:pos="1096"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Additional Documents. </w:t>
      </w:r>
      <w:r>
        <w:rPr>
          <w:rFonts w:ascii="Arial" w:cs="Arial" w:eastAsia="Arial" w:hAnsi="Arial"/>
          <w:sz w:val="17"/>
          <w:szCs w:val="17"/>
          <w:color w:val="auto"/>
        </w:rPr>
        <w:t>On or prior to the Closing Date or the Additional Closing Date, as the case may be,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to the Representatives such further certificates and documents as the Representatives may reasonably request.</w:t>
      </w:r>
    </w:p>
    <w:p>
      <w:pPr>
        <w:spacing w:after="0" w:line="156" w:lineRule="exact"/>
        <w:rPr>
          <w:sz w:val="20"/>
          <w:szCs w:val="20"/>
          <w:color w:val="auto"/>
        </w:rPr>
      </w:pPr>
    </w:p>
    <w:p>
      <w:pPr>
        <w:ind w:left="7" w:right="360" w:firstLine="435"/>
        <w:spacing w:after="0" w:line="297" w:lineRule="auto"/>
        <w:rPr>
          <w:sz w:val="20"/>
          <w:szCs w:val="20"/>
          <w:color w:val="auto"/>
        </w:rPr>
      </w:pPr>
      <w:r>
        <w:rPr>
          <w:rFonts w:ascii="Arial" w:cs="Arial" w:eastAsia="Arial" w:hAnsi="Arial"/>
          <w:sz w:val="17"/>
          <w:szCs w:val="17"/>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56" w:lineRule="exact"/>
        <w:rPr>
          <w:sz w:val="20"/>
          <w:szCs w:val="20"/>
          <w:color w:val="auto"/>
        </w:rPr>
      </w:pPr>
    </w:p>
    <w:p>
      <w:pPr>
        <w:ind w:left="607" w:hanging="172"/>
        <w:spacing w:after="0"/>
        <w:tabs>
          <w:tab w:leader="none" w:pos="607"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0" w:lineRule="exact"/>
        <w:rPr>
          <w:sz w:val="20"/>
          <w:szCs w:val="20"/>
          <w:color w:val="auto"/>
        </w:rPr>
      </w:pPr>
    </w:p>
    <w:p>
      <w:pPr>
        <w:ind w:left="7" w:right="40" w:firstLine="428"/>
        <w:spacing w:after="0" w:line="279" w:lineRule="auto"/>
        <w:tabs>
          <w:tab w:leader="none" w:pos="683" w:val="left"/>
        </w:tabs>
        <w:numPr>
          <w:ilvl w:val="1"/>
          <w:numId w:val="15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w:t>
      </w:r>
    </w:p>
    <w:p>
      <w:pPr>
        <w:spacing w:after="0" w:line="3" w:lineRule="exact"/>
        <w:rPr>
          <w:rFonts w:ascii="Arial" w:cs="Arial" w:eastAsia="Arial" w:hAnsi="Arial"/>
          <w:sz w:val="16"/>
          <w:szCs w:val="16"/>
          <w:color w:val="auto"/>
        </w:rPr>
      </w:pPr>
    </w:p>
    <w:p>
      <w:pPr>
        <w:ind w:left="247" w:hanging="247"/>
        <w:spacing w:after="0"/>
        <w:tabs>
          <w:tab w:leader="none" w:pos="2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below.</w:t>
      </w:r>
    </w:p>
    <w:p>
      <w:pPr>
        <w:spacing w:after="0" w:line="208" w:lineRule="exact"/>
        <w:rPr>
          <w:rFonts w:ascii="Arial" w:cs="Arial" w:eastAsia="Arial" w:hAnsi="Arial"/>
          <w:sz w:val="18"/>
          <w:szCs w:val="18"/>
          <w:color w:val="auto"/>
        </w:rPr>
      </w:pPr>
    </w:p>
    <w:p>
      <w:pPr>
        <w:ind w:left="7" w:firstLine="428"/>
        <w:spacing w:after="0" w:line="283" w:lineRule="auto"/>
        <w:tabs>
          <w:tab w:leader="none" w:pos="693" w:val="left"/>
        </w:tabs>
        <w:numPr>
          <w:ilvl w:val="1"/>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under the heading “Underwriting” furnished on behalf of each Underwriter: the first, second and third sentences appearing in the third paragraph relating to concessions and reallowances and the information contained in the thirteenth, fourteenth and fifteenth paragraphs describing passive market making activities and stabilization.</w:t>
      </w:r>
    </w:p>
    <w:p>
      <w:pPr>
        <w:sectPr>
          <w:pgSz w:w="11900" w:h="16838" w:orient="portrait"/>
          <w:cols w:equalWidth="0" w:num="1">
            <w:col w:w="10827"/>
          </w:cols>
          <w:pgMar w:left="513" w:top="274" w:right="559" w:bottom="1440" w:gutter="0" w:footer="0" w:header="0"/>
        </w:sectPr>
      </w:pPr>
    </w:p>
    <w:bookmarkStart w:id="246" w:name="page247"/>
    <w:bookmarkEnd w:id="246"/>
    <w:p>
      <w:pPr>
        <w:ind w:left="7" w:firstLine="428"/>
        <w:spacing w:after="0" w:line="278" w:lineRule="auto"/>
        <w:tabs>
          <w:tab w:leader="none" w:pos="683" w:val="left"/>
        </w:tabs>
        <w:numPr>
          <w:ilvl w:val="1"/>
          <w:numId w:val="1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or asserted against any person in respect of which indemnification may be sought pursuant to the preceding paragraphs of this Section 7, such person (the “</w:t>
      </w:r>
      <w:r>
        <w:rPr>
          <w:rFonts w:ascii="Arial" w:cs="Arial" w:eastAsia="Arial" w:hAnsi="Arial"/>
          <w:sz w:val="16"/>
          <w:szCs w:val="16"/>
          <w:b w:val="1"/>
          <w:bCs w:val="1"/>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b w:val="1"/>
          <w:bCs w:val="1"/>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J.P. Morgan Securities LLC, Cowen and Company, LLC and Credit Suisse Securities (USA) LLC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w:t>
      </w:r>
    </w:p>
    <w:p>
      <w:pPr>
        <w:spacing w:after="0" w:line="17" w:lineRule="exact"/>
        <w:rPr>
          <w:rFonts w:ascii="Arial" w:cs="Arial" w:eastAsia="Arial" w:hAnsi="Arial"/>
          <w:sz w:val="16"/>
          <w:szCs w:val="16"/>
          <w:color w:val="auto"/>
        </w:rPr>
      </w:pPr>
    </w:p>
    <w:p>
      <w:pPr>
        <w:ind w:left="7" w:right="40" w:hanging="7"/>
        <w:spacing w:after="0" w:line="265" w:lineRule="auto"/>
        <w:tabs>
          <w:tab w:leader="none" w:pos="21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ectPr>
          <w:pgSz w:w="11900" w:h="16838" w:orient="portrait"/>
          <w:cols w:equalWidth="0" w:num="1">
            <w:col w:w="10867"/>
          </w:cols>
          <w:pgMar w:left="513" w:top="274" w:right="519" w:bottom="1440" w:gutter="0" w:footer="0" w:header="0"/>
        </w:sectPr>
      </w:pPr>
    </w:p>
    <w:bookmarkStart w:id="247" w:name="page248"/>
    <w:bookmarkEnd w:id="247"/>
    <w:p>
      <w:pPr>
        <w:ind w:left="7" w:right="40" w:firstLine="428"/>
        <w:spacing w:after="0" w:line="282" w:lineRule="auto"/>
        <w:tabs>
          <w:tab w:leader="none" w:pos="693" w:val="left"/>
        </w:tabs>
        <w:numPr>
          <w:ilvl w:val="1"/>
          <w:numId w:val="15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Contribution. </w:t>
      </w:r>
      <w:r>
        <w:rPr>
          <w:rFonts w:ascii="Arial" w:cs="Arial" w:eastAsia="Arial" w:hAnsi="Arial"/>
          <w:sz w:val="16"/>
          <w:szCs w:val="16"/>
          <w:color w:val="auto"/>
        </w:rPr>
        <w:t>If the indemnification provided for in paragraphs (a) and (b) above is unavailable to an Indemnified Person or insufficient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3" w:lineRule="exact"/>
        <w:rPr>
          <w:rFonts w:ascii="Arial" w:cs="Arial" w:eastAsia="Arial" w:hAnsi="Arial"/>
          <w:sz w:val="16"/>
          <w:szCs w:val="16"/>
          <w:color w:val="auto"/>
        </w:rPr>
      </w:pPr>
    </w:p>
    <w:p>
      <w:pPr>
        <w:ind w:left="687" w:hanging="252"/>
        <w:spacing w:after="0"/>
        <w:tabs>
          <w:tab w:leader="none" w:pos="687" w:val="left"/>
        </w:tabs>
        <w:numPr>
          <w:ilvl w:val="1"/>
          <w:numId w:val="159"/>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and the Underwriters agree that it would not be just and equitable if contribution pursuant to paragraph</w:t>
      </w:r>
    </w:p>
    <w:p>
      <w:pPr>
        <w:spacing w:after="0" w:line="40" w:lineRule="exact"/>
        <w:rPr>
          <w:rFonts w:ascii="Arial" w:cs="Arial" w:eastAsia="Arial" w:hAnsi="Arial"/>
          <w:sz w:val="16"/>
          <w:szCs w:val="16"/>
          <w:color w:val="auto"/>
        </w:rPr>
      </w:pPr>
    </w:p>
    <w:p>
      <w:pPr>
        <w:ind w:left="7" w:right="60" w:hanging="7"/>
        <w:spacing w:after="0" w:line="282" w:lineRule="auto"/>
        <w:tabs>
          <w:tab w:leader="none" w:pos="25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74" w:lineRule="exact"/>
        <w:rPr>
          <w:rFonts w:ascii="Arial" w:cs="Arial" w:eastAsia="Arial" w:hAnsi="Arial"/>
          <w:sz w:val="16"/>
          <w:szCs w:val="16"/>
          <w:color w:val="auto"/>
        </w:rPr>
      </w:pPr>
    </w:p>
    <w:p>
      <w:pPr>
        <w:ind w:left="7" w:firstLine="428"/>
        <w:spacing w:after="0" w:line="267" w:lineRule="auto"/>
        <w:tabs>
          <w:tab w:leader="none" w:pos="664" w:val="left"/>
        </w:tabs>
        <w:numPr>
          <w:ilvl w:val="1"/>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paragraphs (a) through (e) are not exclusive and shall not limit any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remedies which may otherwise be available to any Indemnified Person at law or in equity.</w:t>
      </w:r>
    </w:p>
    <w:p>
      <w:pPr>
        <w:spacing w:after="0" w:line="180" w:lineRule="exact"/>
        <w:rPr>
          <w:sz w:val="20"/>
          <w:szCs w:val="20"/>
          <w:color w:val="auto"/>
        </w:rPr>
      </w:pPr>
    </w:p>
    <w:p>
      <w:pPr>
        <w:ind w:left="607" w:hanging="172"/>
        <w:spacing w:after="0"/>
        <w:tabs>
          <w:tab w:leader="none" w:pos="607"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19" w:lineRule="exact"/>
        <w:rPr>
          <w:rFonts w:ascii="Arial" w:cs="Arial" w:eastAsia="Arial" w:hAnsi="Arial"/>
          <w:sz w:val="18"/>
          <w:szCs w:val="18"/>
          <w:color w:val="auto"/>
        </w:rPr>
      </w:pPr>
    </w:p>
    <w:p>
      <w:pPr>
        <w:ind w:left="7" w:right="160" w:firstLine="428"/>
        <w:spacing w:after="0" w:line="285" w:lineRule="auto"/>
        <w:tabs>
          <w:tab w:leader="none" w:pos="619"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207" w:hanging="207"/>
        <w:spacing w:after="0"/>
        <w:tabs>
          <w:tab w:leader="none" w:pos="20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trading generally shall have been suspended or materially limited on or by any of the New York Stock Exchange or the Nasdaq Stock Market;</w:t>
      </w:r>
    </w:p>
    <w:p>
      <w:pPr>
        <w:spacing w:after="0" w:line="17" w:lineRule="exact"/>
        <w:rPr>
          <w:rFonts w:ascii="Arial" w:cs="Arial" w:eastAsia="Arial" w:hAnsi="Arial"/>
          <w:sz w:val="17"/>
          <w:szCs w:val="17"/>
          <w:color w:val="auto"/>
        </w:rPr>
      </w:pPr>
    </w:p>
    <w:p>
      <w:pPr>
        <w:ind w:left="7" w:right="40" w:hanging="7"/>
        <w:spacing w:after="0" w:line="254" w:lineRule="auto"/>
        <w:tabs>
          <w:tab w:leader="none" w:pos="2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trading of any securities issued or guaranteed by the Company shall have been suspended on any exchange or in any over-the-counter market; (iii) a general moratorium</w:t>
      </w:r>
    </w:p>
    <w:p>
      <w:pPr>
        <w:sectPr>
          <w:pgSz w:w="11900" w:h="16838" w:orient="portrait"/>
          <w:cols w:equalWidth="0" w:num="1">
            <w:col w:w="10827"/>
          </w:cols>
          <w:pgMar w:left="513" w:top="274" w:right="559" w:bottom="1440" w:gutter="0" w:footer="0" w:header="0"/>
        </w:sectPr>
      </w:pPr>
    </w:p>
    <w:bookmarkStart w:id="248" w:name="page249"/>
    <w:bookmarkEnd w:id="248"/>
    <w:p>
      <w:pPr>
        <w:ind w:right="10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93" w:lineRule="exact"/>
        <w:rPr>
          <w:sz w:val="20"/>
          <w:szCs w:val="20"/>
          <w:color w:val="auto"/>
        </w:rPr>
      </w:pPr>
    </w:p>
    <w:p>
      <w:pPr>
        <w:ind w:left="700" w:hanging="272"/>
        <w:spacing w:after="0"/>
        <w:tabs>
          <w:tab w:leader="none" w:pos="70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0" w:lineRule="exact"/>
        <w:rPr>
          <w:sz w:val="20"/>
          <w:szCs w:val="20"/>
          <w:color w:val="auto"/>
        </w:rPr>
      </w:pPr>
    </w:p>
    <w:p>
      <w:pPr>
        <w:ind w:firstLine="428"/>
        <w:spacing w:after="0" w:line="328" w:lineRule="auto"/>
        <w:tabs>
          <w:tab w:leader="none" w:pos="677" w:val="left"/>
        </w:tabs>
        <w:numPr>
          <w:ilvl w:val="0"/>
          <w:numId w:val="164"/>
        </w:numPr>
        <w:rPr>
          <w:rFonts w:ascii="Arial" w:cs="Arial" w:eastAsia="Arial" w:hAnsi="Arial"/>
          <w:sz w:val="14"/>
          <w:szCs w:val="14"/>
          <w:color w:val="auto"/>
        </w:rPr>
      </w:pPr>
      <w:r>
        <w:rPr>
          <w:rFonts w:ascii="Arial" w:cs="Arial" w:eastAsia="Arial" w:hAnsi="Arial"/>
          <w:sz w:val="14"/>
          <w:szCs w:val="14"/>
          <w:color w:val="auto"/>
        </w:rPr>
        <w:t xml:space="preserve">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hereto that, pursuant to this Section 10, purchases Shares that a defaulting Underwriter agreed but failed to purchase.</w:t>
      </w:r>
    </w:p>
    <w:p>
      <w:pPr>
        <w:spacing w:after="0" w:line="360" w:lineRule="exact"/>
        <w:rPr>
          <w:rFonts w:ascii="Arial" w:cs="Arial" w:eastAsia="Arial" w:hAnsi="Arial"/>
          <w:sz w:val="14"/>
          <w:szCs w:val="14"/>
          <w:color w:val="auto"/>
        </w:rPr>
      </w:pPr>
    </w:p>
    <w:p>
      <w:pPr>
        <w:ind w:right="20" w:firstLine="428"/>
        <w:spacing w:after="0" w:line="288" w:lineRule="auto"/>
        <w:tabs>
          <w:tab w:leader="none" w:pos="68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68" w:lineRule="exact"/>
        <w:rPr>
          <w:rFonts w:ascii="Arial" w:cs="Arial" w:eastAsia="Arial" w:hAnsi="Arial"/>
          <w:sz w:val="16"/>
          <w:szCs w:val="16"/>
          <w:color w:val="auto"/>
        </w:rPr>
      </w:pPr>
    </w:p>
    <w:p>
      <w:pPr>
        <w:ind w:right="60" w:firstLine="428"/>
        <w:spacing w:after="0" w:line="267" w:lineRule="auto"/>
        <w:tabs>
          <w:tab w:leader="none" w:pos="67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ectPr>
          <w:pgSz w:w="11900" w:h="16838" w:orient="portrait"/>
          <w:cols w:equalWidth="0" w:num="1">
            <w:col w:w="10860"/>
          </w:cols>
          <w:pgMar w:left="520" w:top="274" w:right="519" w:bottom="1440" w:gutter="0" w:footer="0" w:header="0"/>
        </w:sectPr>
      </w:pPr>
    </w:p>
    <w:bookmarkStart w:id="249" w:name="page250"/>
    <w:bookmarkEnd w:id="249"/>
    <w:p>
      <w:pPr>
        <w:ind w:left="7" w:right="40" w:firstLine="428"/>
        <w:spacing w:after="0" w:line="267" w:lineRule="auto"/>
        <w:tabs>
          <w:tab w:leader="none" w:pos="693"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180" w:lineRule="exact"/>
        <w:rPr>
          <w:sz w:val="20"/>
          <w:szCs w:val="20"/>
          <w:color w:val="auto"/>
        </w:rPr>
      </w:pPr>
    </w:p>
    <w:p>
      <w:pPr>
        <w:ind w:left="687" w:hanging="252"/>
        <w:spacing w:after="0"/>
        <w:tabs>
          <w:tab w:leader="none" w:pos="68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0" w:lineRule="exact"/>
        <w:rPr>
          <w:sz w:val="20"/>
          <w:szCs w:val="20"/>
          <w:color w:val="auto"/>
        </w:rPr>
      </w:pPr>
    </w:p>
    <w:p>
      <w:pPr>
        <w:ind w:left="7" w:right="180" w:firstLine="428"/>
        <w:spacing w:after="0" w:line="285" w:lineRule="auto"/>
        <w:tabs>
          <w:tab w:leader="none" w:pos="683"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actually incurred and incident to the performance of its obligations hereunder, including without limitation,</w:t>
      </w:r>
    </w:p>
    <w:p>
      <w:pPr>
        <w:ind w:left="7" w:hanging="7"/>
        <w:spacing w:after="0" w:line="263" w:lineRule="auto"/>
        <w:tabs>
          <w:tab w:leader="none" w:pos="21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costs incident to the authorization, issuance, sale, preparation and delivery of the Shares and any taxes payable in that connection (other than, for the avoidance of doubt, taxes incident to the resale of the Shares by the Underwriters);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in an aggregate amount not to exceed $10,000); (v) the cost of preparing stock certificates; (vii) the costs and charges of any transfer agent and any registrar; (viii) all expenses and application fees incurred in connection with any filing with, and clearance of the offering by, FINRA (including the reasonable fees and expenses of counsel for the Underwriters related to such filings) in an aggregate amount not to exceed $35,000; (ix) all expenses incurred by the Company in connection with any road show presentation to potential investors, provided, however, that the Underwriters will pay all of the travel and lodging expenses of the Underwriters or any of their employees as incurred by them in connection with the road show, and provided, further that the Company and the Underwriters will each pay 50% of the cost of any aircraft chartered in connection with any road show and (x) all expenses and application fees related to the listing of the Shares on the Exchange.</w:t>
      </w:r>
    </w:p>
    <w:p>
      <w:pPr>
        <w:spacing w:after="0" w:line="190" w:lineRule="exact"/>
        <w:rPr>
          <w:rFonts w:ascii="Arial" w:cs="Arial" w:eastAsia="Arial" w:hAnsi="Arial"/>
          <w:sz w:val="17"/>
          <w:szCs w:val="17"/>
          <w:color w:val="auto"/>
        </w:rPr>
      </w:pPr>
    </w:p>
    <w:p>
      <w:pPr>
        <w:ind w:left="7" w:right="180" w:firstLine="428"/>
        <w:spacing w:after="0" w:line="295" w:lineRule="auto"/>
        <w:tabs>
          <w:tab w:leader="none" w:pos="69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9, (ii) the Company for any reason fails to tender the Shares for delivery to the Underwriters (other than by reason of a default by any Underwriter) or (iii) the Underwriters decline to purchase the Shares for any reason permitted under this Agreement, the Company agrees to reimburse the Underwriters for all documented and out-of-pocket costs and expenses (including the fees and expenses of their counsel) reasonably incurred by the Underwriters in connection with this Agreement and the offering contemplated hereby.</w:t>
      </w:r>
    </w:p>
    <w:p>
      <w:pPr>
        <w:spacing w:after="0" w:line="162" w:lineRule="exact"/>
        <w:rPr>
          <w:sz w:val="20"/>
          <w:szCs w:val="20"/>
          <w:color w:val="auto"/>
        </w:rPr>
      </w:pPr>
    </w:p>
    <w:p>
      <w:pPr>
        <w:ind w:left="7" w:firstLine="428"/>
        <w:spacing w:after="0" w:line="252" w:lineRule="auto"/>
        <w:tabs>
          <w:tab w:leader="none" w:pos="70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93" w:lineRule="exact"/>
        <w:rPr>
          <w:rFonts w:ascii="Arial" w:cs="Arial" w:eastAsia="Arial" w:hAnsi="Arial"/>
          <w:sz w:val="18"/>
          <w:szCs w:val="18"/>
          <w:color w:val="auto"/>
        </w:rPr>
      </w:pPr>
    </w:p>
    <w:p>
      <w:pPr>
        <w:ind w:left="7" w:right="100" w:firstLine="428"/>
        <w:spacing w:after="0" w:line="252" w:lineRule="auto"/>
        <w:tabs>
          <w:tab w:leader="none" w:pos="70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ectPr>
          <w:pgSz w:w="11900" w:h="16838" w:orient="portrait"/>
          <w:cols w:equalWidth="0" w:num="1">
            <w:col w:w="10887"/>
          </w:cols>
          <w:pgMar w:left="513" w:top="274" w:right="499" w:bottom="1440" w:gutter="0" w:footer="0" w:header="0"/>
        </w:sectPr>
      </w:pPr>
    </w:p>
    <w:bookmarkStart w:id="250" w:name="page251"/>
    <w:bookmarkEnd w:id="250"/>
    <w:p>
      <w:pPr>
        <w:jc w:val="both"/>
        <w:ind w:left="-420" w:right="160" w:firstLine="428"/>
        <w:spacing w:after="0" w:line="304" w:lineRule="auto"/>
        <w:tabs>
          <w:tab w:leader="none" w:pos="282"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Certain Defined Terms</w:t>
      </w:r>
      <w:r>
        <w:rPr>
          <w:rFonts w:ascii="Arial" w:cs="Arial" w:eastAsia="Arial" w:hAnsi="Arial"/>
          <w:sz w:val="16"/>
          <w:szCs w:val="16"/>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54" w:lineRule="exact"/>
        <w:rPr>
          <w:rFonts w:ascii="Arial" w:cs="Arial" w:eastAsia="Arial" w:hAnsi="Arial"/>
          <w:sz w:val="16"/>
          <w:szCs w:val="16"/>
          <w:color w:val="auto"/>
        </w:rPr>
      </w:pPr>
    </w:p>
    <w:p>
      <w:pPr>
        <w:ind w:left="-420" w:firstLine="428"/>
        <w:spacing w:after="0" w:line="254" w:lineRule="auto"/>
        <w:tabs>
          <w:tab w:leader="none" w:pos="282"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90" w:lineRule="exact"/>
        <w:rPr>
          <w:rFonts w:ascii="Arial" w:cs="Arial" w:eastAsia="Arial" w:hAnsi="Arial"/>
          <w:sz w:val="18"/>
          <w:szCs w:val="18"/>
          <w:color w:val="auto"/>
        </w:rPr>
      </w:pPr>
    </w:p>
    <w:p>
      <w:pPr>
        <w:ind w:left="280" w:hanging="272"/>
        <w:spacing w:after="0"/>
        <w:tabs>
          <w:tab w:leader="none" w:pos="28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0" w:lineRule="exact"/>
        <w:rPr>
          <w:sz w:val="20"/>
          <w:szCs w:val="20"/>
          <w:color w:val="auto"/>
        </w:rPr>
      </w:pPr>
    </w:p>
    <w:p>
      <w:pPr>
        <w:ind w:left="-420" w:right="660" w:firstLine="428"/>
        <w:spacing w:after="0" w:line="297" w:lineRule="auto"/>
        <w:tabs>
          <w:tab w:leader="none" w:pos="257"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at:</w:t>
      </w:r>
    </w:p>
    <w:p>
      <w:pPr>
        <w:spacing w:after="0" w:line="126" w:lineRule="exact"/>
        <w:rPr>
          <w:sz w:val="20"/>
          <w:szCs w:val="20"/>
          <w:color w:val="auto"/>
        </w:rPr>
      </w:pPr>
    </w:p>
    <w:p>
      <w:pPr>
        <w:ind w:left="980" w:right="100" w:hanging="433"/>
        <w:spacing w:after="0" w:line="267"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J.P. Morgan Securities LLC, 383 Madison Avenue, New York, New York 10179 (fax: (212) 622-8358); Attention: Equity Syndicate Desk.</w:t>
      </w:r>
    </w:p>
    <w:p>
      <w:pPr>
        <w:spacing w:after="0" w:line="86" w:lineRule="exact"/>
        <w:rPr>
          <w:rFonts w:ascii="Arial" w:cs="Arial" w:eastAsia="Arial" w:hAnsi="Arial"/>
          <w:sz w:val="18"/>
          <w:szCs w:val="18"/>
          <w:color w:val="auto"/>
        </w:rPr>
      </w:pPr>
    </w:p>
    <w:p>
      <w:pPr>
        <w:ind w:left="980" w:right="20" w:hanging="433"/>
        <w:spacing w:after="0" w:line="267"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Cowen and Company, LLC, 599 Lexington Avenue, 20th Floor, New York, New York 10022 (fax: (646) 562-1249); Attention: Head of Equity Capital Markets</w:t>
      </w:r>
    </w:p>
    <w:p>
      <w:pPr>
        <w:spacing w:after="0" w:line="86" w:lineRule="exact"/>
        <w:rPr>
          <w:rFonts w:ascii="Arial" w:cs="Arial" w:eastAsia="Arial" w:hAnsi="Arial"/>
          <w:sz w:val="18"/>
          <w:szCs w:val="18"/>
          <w:color w:val="auto"/>
        </w:rPr>
      </w:pPr>
    </w:p>
    <w:p>
      <w:pPr>
        <w:ind w:left="980" w:right="100" w:hanging="433"/>
        <w:spacing w:after="0" w:line="267"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Credit Suisse Securities (USA) LLC, Eleven Madison Avenue, New York, New York 10010-3629 (fax: (212) 325-4296); Attention: IBCM-Legal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at: Stoke Therapeutics, Inc., 45 Wiggins Avenue, Bedford, Massachusetts 01730, (fax: (781) 538-5731); Attention: Edward 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Kaye, M.D..</w:t>
      </w:r>
    </w:p>
    <w:p>
      <w:pPr>
        <w:spacing w:after="0" w:line="209" w:lineRule="exact"/>
        <w:rPr>
          <w:sz w:val="20"/>
          <w:szCs w:val="20"/>
          <w:color w:val="auto"/>
        </w:rPr>
      </w:pPr>
    </w:p>
    <w:p>
      <w:pPr>
        <w:ind w:left="-420" w:right="280" w:firstLine="428"/>
        <w:spacing w:after="0" w:line="267" w:lineRule="auto"/>
        <w:tabs>
          <w:tab w:leader="none" w:pos="267"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179" w:lineRule="exact"/>
        <w:rPr>
          <w:rFonts w:ascii="Arial" w:cs="Arial" w:eastAsia="Arial" w:hAnsi="Arial"/>
          <w:sz w:val="18"/>
          <w:szCs w:val="18"/>
          <w:color w:val="auto"/>
        </w:rPr>
      </w:pPr>
    </w:p>
    <w:p>
      <w:pPr>
        <w:ind w:left="-420" w:firstLine="428"/>
        <w:spacing w:after="0" w:line="291" w:lineRule="auto"/>
        <w:tabs>
          <w:tab w:leader="none" w:pos="25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w:t>
      </w:r>
      <w:r>
        <w:rPr>
          <w:rFonts w:ascii="Arial" w:cs="Arial" w:eastAsia="Arial" w:hAnsi="Arial"/>
          <w:sz w:val="16"/>
          <w:szCs w:val="16"/>
          <w:i w:val="1"/>
          <w:iCs w:val="1"/>
          <w:color w:val="auto"/>
        </w:rPr>
        <w:t>ubmission to Jurisdiction</w:t>
      </w:r>
      <w:r>
        <w:rPr>
          <w:rFonts w:ascii="Arial" w:cs="Arial" w:eastAsia="Arial" w:hAnsi="Arial"/>
          <w:sz w:val="16"/>
          <w:szCs w:val="16"/>
          <w:color w:val="auto"/>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64" w:lineRule="exact"/>
        <w:rPr>
          <w:rFonts w:ascii="Arial" w:cs="Arial" w:eastAsia="Arial" w:hAnsi="Arial"/>
          <w:sz w:val="16"/>
          <w:szCs w:val="16"/>
          <w:color w:val="auto"/>
        </w:rPr>
      </w:pPr>
    </w:p>
    <w:p>
      <w:pPr>
        <w:ind w:left="-420" w:right="260" w:firstLine="428"/>
        <w:spacing w:after="0" w:line="267" w:lineRule="auto"/>
        <w:tabs>
          <w:tab w:leader="none" w:pos="267"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9" w:lineRule="exact"/>
        <w:rPr>
          <w:rFonts w:ascii="Arial" w:cs="Arial" w:eastAsia="Arial" w:hAnsi="Arial"/>
          <w:sz w:val="18"/>
          <w:szCs w:val="18"/>
          <w:color w:val="auto"/>
        </w:rPr>
      </w:pPr>
    </w:p>
    <w:p>
      <w:pPr>
        <w:ind w:left="2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ectPr>
          <w:pgSz w:w="11900" w:h="16838" w:orient="portrait"/>
          <w:cols w:equalWidth="0" w:num="1">
            <w:col w:w="10440"/>
          </w:cols>
          <w:pgMar w:left="940" w:top="274" w:right="519" w:bottom="1440" w:gutter="0" w:footer="0" w:header="0"/>
        </w:sectPr>
      </w:pPr>
    </w:p>
    <w:bookmarkStart w:id="251" w:name="page252"/>
    <w:bookmarkEnd w:id="251"/>
    <w:p>
      <w:pPr>
        <w:ind w:right="100" w:firstLine="426"/>
        <w:spacing w:after="0" w:line="254" w:lineRule="auto"/>
        <w:tabs>
          <w:tab w:leader="none" w:pos="630"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83" w:lineRule="exact"/>
        <w:rPr>
          <w:rFonts w:ascii="Arial" w:cs="Arial" w:eastAsia="Arial" w:hAnsi="Arial"/>
          <w:sz w:val="18"/>
          <w:szCs w:val="18"/>
          <w:color w:val="auto"/>
        </w:rPr>
      </w:pPr>
    </w:p>
    <w:p>
      <w:pPr>
        <w:ind w:right="20" w:firstLine="426"/>
        <w:spacing w:after="0" w:line="254" w:lineRule="auto"/>
        <w:tabs>
          <w:tab w:leader="none" w:pos="6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the exercised to no greater extent than such Default Rights could be exercised under the U.S. Special Resolution Regime if this Agreement were governed by the laws of the United States or a state of the United States.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used in this Section 16(g):</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13" w:lineRule="exact"/>
        <w:rPr>
          <w:sz w:val="20"/>
          <w:szCs w:val="20"/>
          <w:color w:val="auto"/>
        </w:rPr>
      </w:pPr>
    </w:p>
    <w:p>
      <w:pPr>
        <w:ind w:left="1060" w:hanging="216"/>
        <w:spacing w:after="0"/>
        <w:tabs>
          <w:tab w:leader="none" w:pos="10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covered entity</w:t>
      </w:r>
      <w:r>
        <w:rPr>
          <w:rFonts w:ascii="Arial" w:cs="Arial" w:eastAsia="Arial" w:hAnsi="Arial"/>
          <w:sz w:val="18"/>
          <w:szCs w:val="18"/>
          <w:color w:val="auto"/>
        </w:rPr>
        <w:t>” as that term is defined in, and interpreted in accordance with, 12 C.F.R. § 252.82(b);</w:t>
      </w:r>
    </w:p>
    <w:p>
      <w:pPr>
        <w:spacing w:after="0" w:line="113" w:lineRule="exact"/>
        <w:rPr>
          <w:rFonts w:ascii="Arial" w:cs="Arial" w:eastAsia="Arial" w:hAnsi="Arial"/>
          <w:sz w:val="18"/>
          <w:szCs w:val="18"/>
          <w:color w:val="auto"/>
        </w:rPr>
      </w:pPr>
    </w:p>
    <w:p>
      <w:pPr>
        <w:ind w:left="1100" w:hanging="256"/>
        <w:spacing w:after="0"/>
        <w:tabs>
          <w:tab w:leader="none" w:pos="11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covered bank</w:t>
      </w:r>
      <w:r>
        <w:rPr>
          <w:rFonts w:ascii="Arial" w:cs="Arial" w:eastAsia="Arial" w:hAnsi="Arial"/>
          <w:sz w:val="18"/>
          <w:szCs w:val="18"/>
          <w:color w:val="auto"/>
        </w:rPr>
        <w:t>” as that term is defined in, and interpreted in accordance with, 12 C.F.R. § 47.3(b); or</w:t>
      </w:r>
    </w:p>
    <w:p>
      <w:pPr>
        <w:spacing w:after="0" w:line="113" w:lineRule="exact"/>
        <w:rPr>
          <w:rFonts w:ascii="Arial" w:cs="Arial" w:eastAsia="Arial" w:hAnsi="Arial"/>
          <w:sz w:val="18"/>
          <w:szCs w:val="18"/>
          <w:color w:val="auto"/>
        </w:rPr>
      </w:pPr>
    </w:p>
    <w:p>
      <w:pPr>
        <w:ind w:left="1160" w:hanging="316"/>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covered FSI</w:t>
      </w:r>
      <w:r>
        <w:rPr>
          <w:rFonts w:ascii="Arial" w:cs="Arial" w:eastAsia="Arial" w:hAnsi="Arial"/>
          <w:sz w:val="18"/>
          <w:szCs w:val="18"/>
          <w:color w:val="auto"/>
        </w:rPr>
        <w:t>” as that term is defined in, and interpreted in accordance with, 12 C.F.R. § 382.2(b).</w:t>
      </w:r>
    </w:p>
    <w:p>
      <w:pPr>
        <w:spacing w:after="0" w:line="113" w:lineRule="exact"/>
        <w:rPr>
          <w:sz w:val="20"/>
          <w:szCs w:val="20"/>
          <w:color w:val="auto"/>
        </w:rPr>
      </w:pPr>
    </w:p>
    <w:p>
      <w:pPr>
        <w:ind w:firstLine="41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61" w:lineRule="exact"/>
        <w:rPr>
          <w:sz w:val="20"/>
          <w:szCs w:val="20"/>
          <w:color w:val="auto"/>
        </w:rPr>
      </w:pPr>
    </w:p>
    <w:p>
      <w:pPr>
        <w:ind w:right="320" w:firstLine="418"/>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8" w:lineRule="exact"/>
        <w:rPr>
          <w:sz w:val="20"/>
          <w:szCs w:val="20"/>
          <w:color w:val="auto"/>
        </w:rPr>
      </w:pPr>
    </w:p>
    <w:p>
      <w:pPr>
        <w:ind w:left="-420" w:right="1020" w:firstLine="428"/>
        <w:spacing w:after="0" w:line="331" w:lineRule="auto"/>
        <w:tabs>
          <w:tab w:leader="none" w:pos="237"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w:t>
      </w:r>
    </w:p>
    <w:p>
      <w:pPr>
        <w:spacing w:after="0" w:line="132" w:lineRule="exact"/>
        <w:rPr>
          <w:rFonts w:ascii="Arial" w:cs="Arial" w:eastAsia="Arial" w:hAnsi="Arial"/>
          <w:sz w:val="16"/>
          <w:szCs w:val="16"/>
          <w:color w:val="auto"/>
        </w:rPr>
      </w:pPr>
    </w:p>
    <w:p>
      <w:pPr>
        <w:ind w:left="-420" w:right="760" w:firstLine="428"/>
        <w:spacing w:after="0" w:line="267" w:lineRule="auto"/>
        <w:tabs>
          <w:tab w:leader="none" w:pos="267"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179" w:lineRule="exact"/>
        <w:rPr>
          <w:rFonts w:ascii="Arial" w:cs="Arial" w:eastAsia="Arial" w:hAnsi="Arial"/>
          <w:sz w:val="18"/>
          <w:szCs w:val="18"/>
          <w:color w:val="auto"/>
        </w:rPr>
      </w:pPr>
    </w:p>
    <w:p>
      <w:pPr>
        <w:ind w:left="-420" w:right="260" w:firstLine="428"/>
        <w:spacing w:after="0" w:line="267" w:lineRule="auto"/>
        <w:tabs>
          <w:tab w:leader="none" w:pos="267"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ectPr>
          <w:pgSz w:w="11900" w:h="16838" w:orient="portrait"/>
          <w:cols w:equalWidth="0" w:num="1">
            <w:col w:w="10460"/>
          </w:cols>
          <w:pgMar w:left="940" w:top="274" w:right="499" w:bottom="1440" w:gutter="0" w:footer="0" w:header="0"/>
        </w:sectPr>
      </w:pPr>
    </w:p>
    <w:bookmarkStart w:id="252" w:name="page253"/>
    <w:bookmarkEnd w:id="252"/>
    <w:p>
      <w:pPr>
        <w:ind w:firstLine="435"/>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0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STOKE THERAPEUTICS, INC.</w:t>
      </w:r>
    </w:p>
    <w:p>
      <w:pPr>
        <w:spacing w:after="0" w:line="22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12065</wp:posOffset>
            </wp:positionV>
            <wp:extent cx="255714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the Underwriting Agreement]</w:t>
      </w:r>
    </w:p>
    <w:p>
      <w:pPr>
        <w:sectPr>
          <w:pgSz w:w="11900" w:h="16838" w:orient="portrait"/>
          <w:cols w:equalWidth="0" w:num="1">
            <w:col w:w="10520"/>
          </w:cols>
          <w:pgMar w:left="520" w:top="274" w:right="8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Accepted: As of the date first written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For themselves and on behalf of the</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several Underwriters listed</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Schedule 1 hereto.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12065</wp:posOffset>
            </wp:positionV>
            <wp:extent cx="25654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Authorized Signatory</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12065</wp:posOffset>
            </wp:positionV>
            <wp:extent cx="25654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Authorized Signatory</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12065</wp:posOffset>
            </wp:positionV>
            <wp:extent cx="25654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Authorized Signatory</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jc w:val="right"/>
        <w:ind w:right="2759"/>
        <w:spacing w:after="0"/>
        <w:rPr>
          <w:sz w:val="20"/>
          <w:szCs w:val="20"/>
          <w:color w:val="auto"/>
        </w:rPr>
      </w:pPr>
      <w:r>
        <w:rPr>
          <w:rFonts w:ascii="Arial" w:cs="Arial" w:eastAsia="Arial" w:hAnsi="Arial"/>
          <w:sz w:val="18"/>
          <w:szCs w:val="18"/>
          <w:i w:val="1"/>
          <w:iCs w:val="1"/>
          <w:color w:val="auto"/>
        </w:rPr>
        <w:t>[Signature Page to the Underwriting Agreement]</w:t>
      </w:r>
    </w:p>
    <w:p>
      <w:pPr>
        <w:sectPr>
          <w:pgSz w:w="11900" w:h="16838" w:orient="portrait"/>
          <w:cols w:equalWidth="0" w:num="1">
            <w:col w:w="9939"/>
          </w:cols>
          <w:pgMar w:left="520" w:top="274" w:right="1440"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Schedule 1</w:t>
      </w:r>
    </w:p>
    <w:p>
      <w:pPr>
        <w:spacing w:after="0" w:line="242" w:lineRule="exact"/>
        <w:rPr>
          <w:sz w:val="20"/>
          <w:szCs w:val="20"/>
          <w:color w:val="auto"/>
        </w:rPr>
      </w:pPr>
    </w:p>
    <w:p>
      <w:pPr>
        <w:spacing w:after="0"/>
        <w:tabs>
          <w:tab w:leader="none" w:pos="5300" w:val="left"/>
        </w:tabs>
        <w:rPr>
          <w:sz w:val="20"/>
          <w:szCs w:val="20"/>
          <w:color w:val="auto"/>
        </w:rPr>
      </w:pPr>
      <w:r>
        <w:rPr>
          <w:rFonts w:ascii="Arial" w:cs="Arial" w:eastAsia="Arial" w:hAnsi="Arial"/>
          <w:sz w:val="14"/>
          <w:szCs w:val="14"/>
          <w:b w:val="1"/>
          <w:bCs w:val="1"/>
          <w:u w:val="single" w:color="auto"/>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Inc.</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13335</wp:posOffset>
            </wp:positionV>
            <wp:extent cx="70294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30480</wp:posOffset>
            </wp:positionV>
            <wp:extent cx="70294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1">
            <w:col w:w="10880"/>
          </w:cols>
          <w:pgMar w:left="520" w:top="268" w:right="49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Annex 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Pricing Information Provided Orally by Underwriters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Underwritten Shares: [—]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Option Shares: [—]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Share: $[—]</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II. Issuer Free Writing Prospectus(es)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880"/>
          </w:cols>
          <w:pgMar w:left="520" w:top="268" w:right="49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Annex B</w:t>
      </w:r>
    </w:p>
    <w:p>
      <w:pPr>
        <w:spacing w:after="0" w:line="220"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Written Testing-the-Waters Communications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2019 Investor Presentations, dated as of April 2019 and May 2019</w:t>
      </w:r>
    </w:p>
    <w:p>
      <w:pPr>
        <w:sectPr>
          <w:pgSz w:w="11900" w:h="16838" w:orient="portrait"/>
          <w:cols w:equalWidth="0" w:num="1">
            <w:col w:w="10880"/>
          </w:cols>
          <w:pgMar w:left="520" w:top="268" w:right="49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Annex C</w:t>
      </w:r>
    </w:p>
    <w:p>
      <w:pPr>
        <w:spacing w:after="0" w:line="220"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u w:val="single" w:color="auto"/>
          <w:color w:val="auto"/>
        </w:rPr>
        <w:t>Pricing Term Sheet</w:t>
      </w:r>
    </w:p>
    <w:p>
      <w:pPr>
        <w:spacing w:after="0" w:line="24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939"/>
          </w:cols>
          <w:pgMar w:left="520" w:top="268"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EGC – Testing the Waters Authorization</w:t>
      </w:r>
    </w:p>
    <w:p>
      <w:pPr>
        <w:spacing w:after="0" w:line="22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reliance on Section 5(d) of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Stoke Therapeutics, Inc. (the “</w:t>
      </w:r>
      <w:r>
        <w:rPr>
          <w:rFonts w:ascii="Arial" w:cs="Arial" w:eastAsia="Arial" w:hAnsi="Arial"/>
          <w:sz w:val="17"/>
          <w:szCs w:val="17"/>
          <w:b w:val="1"/>
          <w:bCs w:val="1"/>
          <w:color w:val="auto"/>
        </w:rPr>
        <w:t>Issuer</w:t>
      </w:r>
      <w:r>
        <w:rPr>
          <w:rFonts w:ascii="Arial" w:cs="Arial" w:eastAsia="Arial" w:hAnsi="Arial"/>
          <w:sz w:val="17"/>
          <w:szCs w:val="17"/>
          <w:color w:val="auto"/>
        </w:rPr>
        <w:t>”) hereby authorizes J.P. Morgan Securities LLC (“</w:t>
      </w:r>
      <w:r>
        <w:rPr>
          <w:rFonts w:ascii="Arial" w:cs="Arial" w:eastAsia="Arial" w:hAnsi="Arial"/>
          <w:sz w:val="17"/>
          <w:szCs w:val="17"/>
          <w:b w:val="1"/>
          <w:bCs w:val="1"/>
          <w:color w:val="auto"/>
        </w:rPr>
        <w:t>J.P. Morgan</w:t>
      </w:r>
      <w:r>
        <w:rPr>
          <w:rFonts w:ascii="Arial" w:cs="Arial" w:eastAsia="Arial" w:hAnsi="Arial"/>
          <w:sz w:val="17"/>
          <w:szCs w:val="17"/>
          <w:color w:val="auto"/>
        </w:rPr>
        <w:t>”), Cowen and Company, LLC (“</w:t>
      </w:r>
      <w:r>
        <w:rPr>
          <w:rFonts w:ascii="Arial" w:cs="Arial" w:eastAsia="Arial" w:hAnsi="Arial"/>
          <w:sz w:val="17"/>
          <w:szCs w:val="17"/>
          <w:b w:val="1"/>
          <w:bCs w:val="1"/>
          <w:color w:val="auto"/>
        </w:rPr>
        <w:t>Cowen</w:t>
      </w:r>
      <w:r>
        <w:rPr>
          <w:rFonts w:ascii="Arial" w:cs="Arial" w:eastAsia="Arial" w:hAnsi="Arial"/>
          <w:sz w:val="17"/>
          <w:szCs w:val="17"/>
          <w:color w:val="auto"/>
        </w:rPr>
        <w:t>”) and Credit Suisse Securities (USA) LLC (“</w:t>
      </w:r>
      <w:r>
        <w:rPr>
          <w:rFonts w:ascii="Arial" w:cs="Arial" w:eastAsia="Arial" w:hAnsi="Arial"/>
          <w:sz w:val="17"/>
          <w:szCs w:val="17"/>
          <w:b w:val="1"/>
          <w:bCs w:val="1"/>
          <w:color w:val="auto"/>
        </w:rPr>
        <w:t>Credit Suisse</w:t>
      </w:r>
      <w:r>
        <w:rPr>
          <w:rFonts w:ascii="Arial" w:cs="Arial" w:eastAsia="Arial" w:hAnsi="Arial"/>
          <w:sz w:val="17"/>
          <w:szCs w:val="17"/>
          <w:color w:val="auto"/>
        </w:rPr>
        <w:t>”) and their affiliates and their respective employees, to engage on behalf of the Issuer in oral and written communications with potential investors that are “qualified institutional buyers”, as defined in Rule 144A under the Act, or institutions that are “accredited investors”, as defined in Regulation D under the Act, to determine whether such investors might have an interest in the Issuer’s contemplated initial public offering (“</w:t>
      </w:r>
      <w:r>
        <w:rPr>
          <w:rFonts w:ascii="Arial" w:cs="Arial" w:eastAsia="Arial" w:hAnsi="Arial"/>
          <w:sz w:val="17"/>
          <w:szCs w:val="17"/>
          <w:b w:val="1"/>
          <w:bCs w:val="1"/>
          <w:color w:val="auto"/>
        </w:rPr>
        <w:t>Testing-the-Waters Communications</w:t>
      </w:r>
      <w:r>
        <w:rPr>
          <w:rFonts w:ascii="Arial" w:cs="Arial" w:eastAsia="Arial" w:hAnsi="Arial"/>
          <w:sz w:val="17"/>
          <w:szCs w:val="17"/>
          <w:color w:val="auto"/>
        </w:rPr>
        <w:t>”). A “Written Testing-the Waters Communication” means any Testing-the-Waters Communication that is a written communication within the meaning of Rule 405 under the Act.</w:t>
      </w:r>
    </w:p>
    <w:p>
      <w:pPr>
        <w:spacing w:after="0" w:line="17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As previously discussed, it is our and your expectation that, unless otherwise approved by the Issuer and the Representatives, neither the Issuer nor any of the Representatives (nor any of the other underwriters for the proposed transaction) will send or give to any potential investor any Written Testing-the-Waters Communication, other than such Testing-the-Waters Communications that are limited to any one or more statements described in Rule 134 under the Act (whether or not reliance on Rule 134 would otherwise be permitted or available under the Act for such Testing-the-Waters Communications) and/or any customary legal or regulatory legends or disclaimers.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Issuer represents that it is an “emerging growth company” as defined in Section 2(a)(19) of the Act (“</w:t>
      </w:r>
      <w:r>
        <w:rPr>
          <w:rFonts w:ascii="Arial" w:cs="Arial" w:eastAsia="Arial" w:hAnsi="Arial"/>
          <w:sz w:val="17"/>
          <w:szCs w:val="17"/>
          <w:b w:val="1"/>
          <w:bCs w:val="1"/>
          <w:color w:val="auto"/>
        </w:rPr>
        <w:t>Emerging Growth Company</w:t>
      </w:r>
      <w:r>
        <w:rPr>
          <w:rFonts w:ascii="Arial" w:cs="Arial" w:eastAsia="Arial" w:hAnsi="Arial"/>
          <w:sz w:val="17"/>
          <w:szCs w:val="17"/>
          <w:color w:val="auto"/>
        </w:rPr>
        <w:t>”) and agrees to promptly notify J.P. Morgan, Cowen and Credit Suisse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Cowen and Credit Suisse and will promptly amend or supplement, at its own expense, such Written Testing-the-Waters Communication to eliminate or correct such untrue statement or omission.</w:t>
      </w:r>
    </w:p>
    <w:p>
      <w:pPr>
        <w:spacing w:after="0" w:line="17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Nothing in this authorization is intended to limit or otherwise affect the ability of J.P. Morgan, Cowen and Credit Suisse and their respective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Cowen and Credit Suisse a written notice revoking this authorization.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All notices as described herein shall be sent by email to the attention of:</w:t>
      </w:r>
    </w:p>
    <w:p>
      <w:pPr>
        <w:spacing w:after="0" w:line="126" w:lineRule="exact"/>
        <w:rPr>
          <w:sz w:val="20"/>
          <w:szCs w:val="20"/>
          <w:color w:val="auto"/>
        </w:rPr>
      </w:pPr>
    </w:p>
    <w:p>
      <w:pPr>
        <w:ind w:left="840" w:hanging="313"/>
        <w:spacing w:after="0"/>
        <w:tabs>
          <w:tab w:leader="none" w:pos="8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David Ke at David.Ke@jpmorgan.com</w:t>
      </w:r>
    </w:p>
    <w:p>
      <w:pPr>
        <w:spacing w:after="0" w:line="126" w:lineRule="exact"/>
        <w:rPr>
          <w:rFonts w:ascii="Arial" w:cs="Arial" w:eastAsia="Arial" w:hAnsi="Arial"/>
          <w:sz w:val="18"/>
          <w:szCs w:val="18"/>
          <w:color w:val="auto"/>
        </w:rPr>
      </w:pPr>
    </w:p>
    <w:p>
      <w:pPr>
        <w:ind w:left="840" w:hanging="313"/>
        <w:spacing w:after="0"/>
        <w:tabs>
          <w:tab w:leader="none" w:pos="8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Mariel Healy at Mariel.Healy@cowen.com</w:t>
      </w:r>
    </w:p>
    <w:p>
      <w:pPr>
        <w:spacing w:after="0" w:line="126" w:lineRule="exact"/>
        <w:rPr>
          <w:rFonts w:ascii="Arial" w:cs="Arial" w:eastAsia="Arial" w:hAnsi="Arial"/>
          <w:sz w:val="18"/>
          <w:szCs w:val="18"/>
          <w:color w:val="auto"/>
        </w:rPr>
      </w:pPr>
    </w:p>
    <w:p>
      <w:pPr>
        <w:ind w:left="840" w:hanging="313"/>
        <w:spacing w:after="0"/>
        <w:tabs>
          <w:tab w:leader="none" w:pos="8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John Kolz at John.Kolz@credit-suisse.com</w:t>
      </w:r>
    </w:p>
    <w:p>
      <w:pPr>
        <w:spacing w:after="0" w:line="126" w:lineRule="exact"/>
        <w:rPr>
          <w:rFonts w:ascii="Arial" w:cs="Arial" w:eastAsia="Arial" w:hAnsi="Arial"/>
          <w:sz w:val="18"/>
          <w:szCs w:val="18"/>
          <w:color w:val="auto"/>
        </w:rPr>
      </w:pPr>
    </w:p>
    <w:p>
      <w:pPr>
        <w:ind w:left="840" w:hanging="313"/>
        <w:spacing w:after="0"/>
        <w:tabs>
          <w:tab w:leader="none" w:pos="8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Deanna Kirkpatrick at Deanna.Kirkpatrick@davispolk.com</w:t>
      </w:r>
    </w:p>
    <w:p>
      <w:pPr>
        <w:spacing w:after="0" w:line="126" w:lineRule="exact"/>
        <w:rPr>
          <w:rFonts w:ascii="Arial" w:cs="Arial" w:eastAsia="Arial" w:hAnsi="Arial"/>
          <w:sz w:val="18"/>
          <w:szCs w:val="18"/>
          <w:color w:val="auto"/>
        </w:rPr>
      </w:pPr>
    </w:p>
    <w:p>
      <w:pPr>
        <w:ind w:left="840" w:hanging="313"/>
        <w:spacing w:after="0"/>
        <w:tabs>
          <w:tab w:leader="none" w:pos="8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Jennifer Ying Lan at Jennifer.Lan@davispolk.com</w:t>
      </w:r>
    </w:p>
    <w:p>
      <w:pPr>
        <w:sectPr>
          <w:pgSz w:w="11900" w:h="16838" w:orient="portrait"/>
          <w:cols w:equalWidth="0" w:num="1">
            <w:col w:w="10880"/>
          </w:cols>
          <w:pgMar w:left="520" w:top="268" w:right="49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Exhibit B</w:t>
      </w:r>
    </w:p>
    <w:p>
      <w:pPr>
        <w:spacing w:after="0" w:line="220"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Form of Waiver of Lock-up</w:t>
      </w:r>
    </w:p>
    <w:p>
      <w:pPr>
        <w:spacing w:after="0" w:line="11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J.P. Morgan Securities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Cowen and Company, LLC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Suisse Securities (USA) LLC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Stoke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Offering of Common Stock</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07" w:lineRule="exact"/>
        <w:rPr>
          <w:sz w:val="20"/>
          <w:szCs w:val="20"/>
          <w:color w:val="auto"/>
        </w:rPr>
      </w:pPr>
    </w:p>
    <w:p>
      <w:pPr>
        <w:ind w:right="40" w:firstLine="870"/>
        <w:spacing w:after="0" w:line="308" w:lineRule="auto"/>
        <w:rPr>
          <w:sz w:val="20"/>
          <w:szCs w:val="20"/>
          <w:color w:val="auto"/>
        </w:rPr>
      </w:pPr>
      <w:r>
        <w:rPr>
          <w:rFonts w:ascii="Arial" w:cs="Arial" w:eastAsia="Arial" w:hAnsi="Arial"/>
          <w:sz w:val="16"/>
          <w:szCs w:val="16"/>
          <w:color w:val="auto"/>
        </w:rPr>
        <w:t>This letter is being delivered to you in connection with the offering by Stoke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of [—] shares of common stock, $[—] par value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and the lock-up letter dated [—], 2019 (the “</w:t>
      </w:r>
      <w:r>
        <w:rPr>
          <w:rFonts w:ascii="Arial" w:cs="Arial" w:eastAsia="Arial" w:hAnsi="Arial"/>
          <w:sz w:val="16"/>
          <w:szCs w:val="16"/>
          <w:b w:val="1"/>
          <w:bCs w:val="1"/>
          <w:color w:val="auto"/>
        </w:rPr>
        <w:t>Lock-up Letter</w:t>
      </w:r>
      <w:r>
        <w:rPr>
          <w:rFonts w:ascii="Arial" w:cs="Arial" w:eastAsia="Arial" w:hAnsi="Arial"/>
          <w:sz w:val="16"/>
          <w:szCs w:val="16"/>
          <w:color w:val="auto"/>
        </w:rPr>
        <w:t>”), executed by you in connection with such offering, and your request for a [waiver] [release] dated [—], 20[—], with respect to [—]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51" w:lineRule="exact"/>
        <w:rPr>
          <w:sz w:val="20"/>
          <w:szCs w:val="20"/>
          <w:color w:val="auto"/>
        </w:rPr>
      </w:pPr>
    </w:p>
    <w:p>
      <w:pPr>
        <w:ind w:right="20" w:firstLine="435"/>
        <w:spacing w:after="0" w:line="254" w:lineRule="auto"/>
        <w:rPr>
          <w:sz w:val="20"/>
          <w:szCs w:val="20"/>
          <w:color w:val="auto"/>
        </w:rPr>
      </w:pPr>
      <w:r>
        <w:rPr>
          <w:rFonts w:ascii="Arial" w:cs="Arial" w:eastAsia="Arial" w:hAnsi="Arial"/>
          <w:sz w:val="18"/>
          <w:szCs w:val="18"/>
          <w:color w:val="auto"/>
        </w:rPr>
        <w:t xml:space="preserve">J.P. Morgan Securities LLC hereby agrees to [waive] [release] the transfer restrictions set forth in the Lock-up Letter, but only with respect to the Shares, effective [—], 20[—];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as Follows]</w:t>
      </w:r>
    </w:p>
    <w:p>
      <w:pPr>
        <w:sectPr>
          <w:pgSz w:w="11900" w:h="16838" w:orient="portrait"/>
          <w:cols w:equalWidth="0" w:num="1">
            <w:col w:w="10880"/>
          </w:cols>
          <w:pgMar w:left="520" w:top="268" w:right="499" w:bottom="1440" w:gutter="0" w:footer="0" w:header="0"/>
        </w:sectPr>
      </w:pPr>
    </w:p>
    <w:bookmarkStart w:id="260" w:name="page261"/>
    <w:bookmarkEnd w:id="260"/>
    <w:p>
      <w:pPr>
        <w:ind w:left="6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Yours very truly,</w:t>
      </w:r>
    </w:p>
    <w:p>
      <w:pPr>
        <w:spacing w:after="0" w:line="22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J.P. MORGAN SECURITIES LLC</w:t>
      </w:r>
    </w:p>
    <w:p>
      <w:pPr>
        <w:spacing w:after="0" w:line="22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12065</wp:posOffset>
            </wp:positionV>
            <wp:extent cx="22352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2235200" cy="8255"/>
                    </a:xfrm>
                    <a:prstGeom prst="rect">
                      <a:avLst/>
                    </a:prstGeom>
                    <a:noFill/>
                  </pic:spPr>
                </pic:pic>
              </a:graphicData>
            </a:graphic>
          </wp:anchor>
        </w:drawing>
      </w:r>
    </w:p>
    <w:p>
      <w:pPr>
        <w:jc w:val="right"/>
        <w:ind w:right="39"/>
        <w:spacing w:after="0"/>
        <w:rPr>
          <w:sz w:val="20"/>
          <w:szCs w:val="20"/>
          <w:color w:val="auto"/>
        </w:rPr>
      </w:pPr>
      <w:r>
        <w:rPr>
          <w:rFonts w:ascii="Arial" w:cs="Arial" w:eastAsia="Arial" w:hAnsi="Arial"/>
          <w:sz w:val="18"/>
          <w:szCs w:val="18"/>
          <w:color w:val="auto"/>
        </w:rPr>
        <w:t>Authorized Signatory</w:t>
      </w:r>
    </w:p>
    <w:p>
      <w:pPr>
        <w:spacing w:after="0" w:line="22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cc: Stoke Therapeutics, Inc.</w:t>
      </w:r>
    </w:p>
    <w:p>
      <w:pPr>
        <w:spacing w:after="0" w:line="220"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[Signature Page for Waiver of Lock-Up]</w:t>
      </w:r>
    </w:p>
    <w:p>
      <w:pPr>
        <w:sectPr>
          <w:pgSz w:w="11900" w:h="16838" w:orient="portrait"/>
          <w:cols w:equalWidth="0" w:num="1">
            <w:col w:w="9939"/>
          </w:cols>
          <w:pgMar w:left="520" w:top="274" w:right="1440"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Stoke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Stoke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announced today that J.P. Morgan Securities LLC, a joint book-running manager in the Company’s recent public sale of [—] shares of common stock, is [waiving] [releasing] a lock-up restriction with respect to [—] shares of the Company’s common stock held by [certain officers or directors] [an officer or director] of the Company. The [waiver] [release] will take effect on [—], 20[—], and the shares may be sold on or after such date.</w:t>
      </w:r>
    </w:p>
    <w:p>
      <w:pPr>
        <w:spacing w:after="0" w:line="184" w:lineRule="exact"/>
        <w:rPr>
          <w:sz w:val="20"/>
          <w:szCs w:val="20"/>
          <w:color w:val="auto"/>
        </w:rPr>
      </w:pPr>
    </w:p>
    <w:p>
      <w:pPr>
        <w:jc w:val="both"/>
        <w:ind w:right="300"/>
        <w:spacing w:after="0" w:line="260"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880"/>
          </w:cols>
          <w:pgMar w:left="520" w:top="268" w:right="49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Exhibit 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6284595</wp:posOffset>
            </wp:positionH>
            <wp:positionV relativeFrom="paragraph">
              <wp:posOffset>-12700</wp:posOffset>
            </wp:positionV>
            <wp:extent cx="3384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33845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Representatives of the</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several Underwriters listed</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Schedule 1 hereto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Stoke Therapeutics, Inc. — Public Offering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undersigned understands that you, as Representatives of the several Underwriters, propose to enter into an underwriting agreement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Stoke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w:t>
      </w:r>
      <w:r>
        <w:rPr>
          <w:rFonts w:ascii="Arial" w:cs="Arial" w:eastAsia="Arial" w:hAnsi="Arial"/>
          <w:sz w:val="17"/>
          <w:szCs w:val="17"/>
          <w:color w:val="auto"/>
        </w:rPr>
        <w:t>”) by the several Underwriters named in Schedule 1 to the Underwriting Agreement (the “</w:t>
      </w:r>
      <w:r>
        <w:rPr>
          <w:rFonts w:ascii="Arial" w:cs="Arial" w:eastAsia="Arial" w:hAnsi="Arial"/>
          <w:sz w:val="17"/>
          <w:szCs w:val="17"/>
          <w:b w:val="1"/>
          <w:bCs w:val="1"/>
          <w:color w:val="auto"/>
        </w:rPr>
        <w:t>Underwriters</w:t>
      </w:r>
      <w:r>
        <w:rPr>
          <w:rFonts w:ascii="Arial" w:cs="Arial" w:eastAsia="Arial" w:hAnsi="Arial"/>
          <w:sz w:val="17"/>
          <w:szCs w:val="17"/>
          <w:color w:val="auto"/>
        </w:rPr>
        <w:t>”), of common stock, $0.0001 per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share par value, of the Company (the “</w:t>
      </w:r>
      <w:r>
        <w:rPr>
          <w:rFonts w:ascii="Arial" w:cs="Arial" w:eastAsia="Arial" w:hAnsi="Arial"/>
          <w:sz w:val="16"/>
          <w:szCs w:val="16"/>
          <w:b w:val="1"/>
          <w:bCs w:val="1"/>
          <w:color w:val="auto"/>
        </w:rPr>
        <w:t>Securities</w:t>
      </w:r>
      <w:r>
        <w:rPr>
          <w:rFonts w:ascii="Arial" w:cs="Arial" w:eastAsia="Arial" w:hAnsi="Arial"/>
          <w:sz w:val="16"/>
          <w:szCs w:val="16"/>
          <w:color w:val="auto"/>
        </w:rPr>
        <w:t>”). Capitalized terms used herein and not otherwise defined shall have the meanings set forth in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w:t>
      </w:r>
    </w:p>
    <w:p>
      <w:pPr>
        <w:spacing w:after="0" w:line="209" w:lineRule="exact"/>
        <w:rPr>
          <w:sz w:val="20"/>
          <w:szCs w:val="20"/>
          <w:color w:val="auto"/>
        </w:rPr>
      </w:pPr>
    </w:p>
    <w:p>
      <w:pPr>
        <w:ind w:right="20" w:firstLine="435"/>
        <w:spacing w:after="0" w:line="284" w:lineRule="auto"/>
        <w:rPr>
          <w:sz w:val="20"/>
          <w:szCs w:val="20"/>
          <w:color w:val="auto"/>
        </w:rPr>
      </w:pPr>
      <w:r>
        <w:rPr>
          <w:rFonts w:ascii="Arial" w:cs="Arial" w:eastAsia="Arial" w:hAnsi="Arial"/>
          <w:sz w:val="16"/>
          <w:szCs w:val="16"/>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on behalf of the Underwriters, the undersigned will not, during the period beginning on the date of this letter agreement (this “</w:t>
      </w:r>
      <w:r>
        <w:rPr>
          <w:rFonts w:ascii="Arial" w:cs="Arial" w:eastAsia="Arial" w:hAnsi="Arial"/>
          <w:sz w:val="16"/>
          <w:szCs w:val="16"/>
          <w:b w:val="1"/>
          <w:bCs w:val="1"/>
          <w:color w:val="auto"/>
        </w:rPr>
        <w:t>Letter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ending 180 days after the date of the prospectus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(such period,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to purchase, or otherwise transfer or dispose of, directly or indirectly, any shares of common stock, $0.0001 per share par value,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the “</w:t>
      </w:r>
      <w:r>
        <w:rPr>
          <w:rFonts w:ascii="Arial" w:cs="Arial" w:eastAsia="Arial" w:hAnsi="Arial"/>
          <w:sz w:val="16"/>
          <w:szCs w:val="16"/>
          <w:b w:val="1"/>
          <w:bCs w:val="1"/>
          <w:color w:val="auto"/>
        </w:rPr>
        <w:t>Undersigned’s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or publicly disclose the intention to make any offer, sale, pledge or disposition, (2) enter into</w:t>
      </w:r>
    </w:p>
    <w:p>
      <w:pPr>
        <w:sectPr>
          <w:pgSz w:w="11900" w:h="16838" w:orient="portrait"/>
          <w:cols w:equalWidth="0" w:num="1">
            <w:col w:w="10880"/>
          </w:cols>
          <w:pgMar w:left="520" w:top="268" w:right="499" w:bottom="1440" w:gutter="0" w:footer="0" w:header="0"/>
        </w:sectPr>
      </w:pPr>
    </w:p>
    <w:bookmarkStart w:id="263" w:name="page264"/>
    <w:bookmarkEnd w:id="263"/>
    <w:p>
      <w:pPr>
        <w:ind w:left="7" w:right="220"/>
        <w:spacing w:after="0" w:line="32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any swap or other agreement that transfers, in whole or in part, any of the economic consequences of ownership of the Undersigned’s Shares, whether any such transaction described in clause (1) or (2) above is to be settled by delivery of Common Stock or such other securities, in cash or otherwise or</w:t>
      </w:r>
    </w:p>
    <w:p>
      <w:pPr>
        <w:ind w:left="7" w:hanging="7"/>
        <w:spacing w:after="0" w:line="279" w:lineRule="auto"/>
        <w:tabs>
          <w:tab w:leader="none" w:pos="25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make any demand for or exercise any right with respect to the registration of any shares of Common Stock or any security convertible into or exercisable or exchangeable for Common Stock, in each case other than (A) the Securities to be sold by the undersigned pursuant to the Underwriting Agreement, (B) transfers of the Undersigned’s Shares as a bona fide gift or gifts, including bona fide gifts to a charity or educational institution, or for bona fide estate planning purposes, (C) transfers or dispositions of the Undersigned’s Shares to any trust for the direct or indirect benefit of the undersigned or the immediate family of the undersigned, (D) transfers or dispositions of the Undersigned’s Shares to any corporation, partnership, limited liability company or other entity all of the beneficial ownership interests of which are held by the undersigned or the immediate family of the undersigned, (E) transfers or dispositions of the Undersigned’s Shares by will, other testamentary document or intestate succession to the legal representative, heir, beneficiary or a member of the immediate family of the undersigned, (F) distributions of the Undersigned’s Shares to partners, members or stockholders of the undersigned, (G) transfers to the undersigned’s affiliates or to any investment fund or other entity controlled or managed by, controlling or managing, or under common control with, the undersigned, and (H) transfers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third party tender offer, merger, consolidation or other similar transaction made to all holders of the Common Stock and involving a Change of Control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Stock owned by the undersigned shall remain subject to the restrictions contained in this Letter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transfer or distribution pursuant to clause (B), (C), (D), (E), (F) or (G), each transferee, donee or distributee shall execute and deliver to the Representatives a lock-up letter in the form of this Letter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any transfer, disposition or distribution pursuant to clause (B), (C), (D), (E), (F) or (G), no filing by any party (donor, donee, transferor or transferee)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other public announcement shall be required or shall be made voluntarily in connection with such transfer or distribution (other than a filing on a Form 5 made after the expiration of the Restricted Period referred to above and any such filing shall clearly indicate in the footnotes thereto that the filing relates to the circumstances described in (B), (C), (D), (E), (F) or (G), above, as the case may be, or the filing of a required Schedule 13F or 13G) and any such transfer or distribution shall not involve a disposition for value. If the undersigned is an officer or director of the Company, the undersigned further agrees that the foregoing provisions shall be equally applicable to any Company-directed Securities the undersigned may purchase in the Public Offering. For purposes of this Letter Agreement, “immediate family” shall mean a spouse or domestic partner, child, grandchild or other lineal descendant (including by adoption), father, mother, brother or sister of the undersigned; and “affiliate” shall have the meaning set forth in Rule 405 under the Securities Act of 1933, as amended. For the purposes of clause (H),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other than the Company or its subsidiaries, becomes the beneficial owner (as defined in Rules 13d-3 and 13d-5 of the Exchange Act) of 90% or more of the outstanding voting securities of the Company (or the surviving entity).</w:t>
      </w:r>
    </w:p>
    <w:p>
      <w:pPr>
        <w:spacing w:after="0" w:line="188" w:lineRule="exact"/>
        <w:rPr>
          <w:sz w:val="20"/>
          <w:szCs w:val="20"/>
          <w:color w:val="auto"/>
        </w:rPr>
      </w:pPr>
    </w:p>
    <w:p>
      <w:pPr>
        <w:ind w:left="7" w:right="20" w:firstLine="435"/>
        <w:spacing w:after="0" w:line="291" w:lineRule="auto"/>
        <w:rPr>
          <w:sz w:val="20"/>
          <w:szCs w:val="20"/>
          <w:color w:val="auto"/>
        </w:rPr>
      </w:pPr>
      <w:r>
        <w:rPr>
          <w:rFonts w:ascii="Arial" w:cs="Arial" w:eastAsia="Arial" w:hAnsi="Arial"/>
          <w:sz w:val="16"/>
          <w:szCs w:val="16"/>
          <w:color w:val="auto"/>
        </w:rPr>
        <w:t>Furthermore, notwithstanding the restrictions imposed by this Letter Agreement, the undersigned may, without the prior written consent of the Representatives (i) exercise any outstanding warrant, or any option to purchase shares of Common Stock granted under any stock incentive plan or stock purchase plan of the Company, with such plan as disclosed in the Prospectus, provided that the underlying shares of Common Stock shall continue to be subject to the restrictions on transfer set forth in this Letter Agreement, (ii) establish a trading plan pursuant to Rule 10b5-1 under the Exchange Act for the transfer of Common Stock, provided that such plan does not provide for any transfers of Common Stock during the</w:t>
      </w:r>
    </w:p>
    <w:p>
      <w:pPr>
        <w:sectPr>
          <w:pgSz w:w="11900" w:h="16838" w:orient="portrait"/>
          <w:cols w:equalWidth="0" w:num="1">
            <w:col w:w="10887"/>
          </w:cols>
          <w:pgMar w:left="513" w:top="274" w:right="499" w:bottom="1440" w:gutter="0" w:footer="0" w:header="0"/>
        </w:sectPr>
      </w:pPr>
    </w:p>
    <w:bookmarkStart w:id="264" w:name="page265"/>
    <w:bookmarkEnd w:id="264"/>
    <w:p>
      <w:pPr>
        <w:ind w:left="7"/>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Restricted Period, and provided, further, that no filing under the Exchange Act or other public announcement shall be required or shall be made voluntarily in connection therewith during the Restricted Period, (iii) transfer or dispose of shares of Common Stock acquired in the Public Offering or on the open market following the Public Offering, provided that no filing under the Exchange Act or other public announcement shall be required or shall be made voluntarily in connection with such transfer or disposition during the Restricted Period (other than a required filing on a Schedule 13F or 13G), (iv) transfer or surrender to the Company shares of Common Stock pursuant to any contractual arrangement that provides the Company with an option to repurchase such shares of Common Stock in connection with the termination of the undersigned’s employment or other service relationship with the Company, or pursuant to a right of first refusal with respect to transfers of such shares of Common Stock or other securities, or on a cashless or “net exercise” basis or to cover tax withholding obligations of the undersigned in connection with the vesting or exercise of such shares of Common Stock or other securities, provided that any filing under Section 16 of the Exchange Act shall clearly indicate in the footnotes thereto that the filing relates to the circumstances described in this clause (iv) above and no other public announcement shall be required or shall be made voluntarily in connection with such transfer or surrender, and (v) transfer or dispose of Common Stock by operation of law pursuant to a qualified domestic order or in connection with a divorce settlement or other court order, provided that the recipient of such shares of Common Stock shall execute and deliver to the Representatives a lock-up letter in the form of this Letter Agreement, provided, further that any filing under Section 16 of the Exchange Act shall clearly indicate in the footnotes thereto that the filing relates to the circumstances described in this clause (v) above and no other public announcement shall be required or shall be made voluntarily in connection with such transfer or disposition.</w:t>
      </w:r>
    </w:p>
    <w:p>
      <w:pPr>
        <w:spacing w:after="0" w:line="171" w:lineRule="exact"/>
        <w:rPr>
          <w:sz w:val="20"/>
          <w:szCs w:val="20"/>
          <w:color w:val="auto"/>
        </w:rPr>
      </w:pPr>
    </w:p>
    <w:p>
      <w:pPr>
        <w:ind w:left="7" w:right="200" w:firstLine="435"/>
        <w:spacing w:after="0" w:line="266" w:lineRule="auto"/>
        <w:rPr>
          <w:sz w:val="20"/>
          <w:szCs w:val="20"/>
          <w:color w:val="auto"/>
        </w:rPr>
      </w:pPr>
      <w:r>
        <w:rPr>
          <w:rFonts w:ascii="Arial" w:cs="Arial" w:eastAsia="Arial" w:hAnsi="Arial"/>
          <w:sz w:val="17"/>
          <w:szCs w:val="17"/>
          <w:color w:val="auto"/>
        </w:rPr>
        <w:t>If the undersigned is an officer or director of the Company, (i) J.P. Morgan Securities LLC, on behalf of the Underwriters, agrees that, at least three business days before the effective date of any release or waiver of the foregoing restrictions in connection with a transfer of shares of Common Stock, J.P. Morgan Securities LLC, on behalf of the Underwriters, will notify the Company of the impending release or waiver, and (ii) the Company will agree in the Underwriting Agreement to announce the impending release or waiver by press release through a major news service at least two business days before the effective date of the release or waiver. Any release or waiver granted by J.P. Morgan Securities LLC, on behalf of the Underwriters,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Agreement to the extent and for the duration that such terms remain in effect at the time of the transfer.</w:t>
      </w:r>
    </w:p>
    <w:p>
      <w:pPr>
        <w:spacing w:after="0" w:line="184" w:lineRule="exact"/>
        <w:rPr>
          <w:sz w:val="20"/>
          <w:szCs w:val="20"/>
          <w:color w:val="auto"/>
        </w:rPr>
      </w:pPr>
    </w:p>
    <w:p>
      <w:pPr>
        <w:ind w:left="7" w:right="400" w:firstLine="435"/>
        <w:spacing w:after="0" w:line="257"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88" w:lineRule="exact"/>
        <w:rPr>
          <w:sz w:val="20"/>
          <w:szCs w:val="20"/>
          <w:color w:val="auto"/>
        </w:rPr>
      </w:pPr>
    </w:p>
    <w:p>
      <w:pPr>
        <w:ind w:left="7" w:right="520" w:firstLine="435"/>
        <w:spacing w:after="0" w:line="257"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8" w:lineRule="exact"/>
        <w:rPr>
          <w:sz w:val="20"/>
          <w:szCs w:val="20"/>
          <w:color w:val="auto"/>
        </w:rPr>
      </w:pPr>
    </w:p>
    <w:p>
      <w:pPr>
        <w:ind w:left="7" w:right="40" w:firstLine="435"/>
        <w:spacing w:after="0" w:line="283" w:lineRule="auto"/>
        <w:rPr>
          <w:sz w:val="20"/>
          <w:szCs w:val="20"/>
          <w:color w:val="auto"/>
        </w:rPr>
      </w:pPr>
      <w:r>
        <w:rPr>
          <w:rFonts w:ascii="Arial" w:cs="Arial" w:eastAsia="Arial" w:hAnsi="Arial"/>
          <w:sz w:val="16"/>
          <w:szCs w:val="16"/>
          <w:color w:val="auto"/>
        </w:rPr>
        <w:t>The undersigned understands that, if (i) the Company notifies the Representatives in writing prior to the execution of the Underwriting Agreement that it does not intend to proceed with the Public Offering, (ii) the Company files an application with the Securities and Exchange Commission to withdraw the registration statement related to the Public Offering, (iii) the Underwriting Agreement does not become effective by October 31, 2019, or</w:t>
      </w:r>
    </w:p>
    <w:p>
      <w:pPr>
        <w:ind w:left="7" w:right="200" w:hanging="7"/>
        <w:spacing w:after="0" w:line="283" w:lineRule="auto"/>
        <w:tabs>
          <w:tab w:leader="none" w:pos="3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 Underwriting Agreement (other than the provisions thereof which survive termination) shall terminate or be terminated prior to payment for and delivery of the Common Stock to be sold thereunder, this Letter Agreement shall automatically, and without any action on the</w:t>
      </w:r>
    </w:p>
    <w:p>
      <w:pPr>
        <w:sectPr>
          <w:pgSz w:w="11900" w:h="16838" w:orient="portrait"/>
          <w:cols w:equalWidth="0" w:num="1">
            <w:col w:w="10867"/>
          </w:cols>
          <w:pgMar w:left="513" w:top="274" w:right="519" w:bottom="1440" w:gutter="0" w:footer="0" w:header="0"/>
        </w:sectPr>
      </w:pPr>
    </w:p>
    <w:bookmarkStart w:id="265" w:name="page266"/>
    <w:bookmarkEnd w:id="265"/>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part of any other party, terminate and be of no further force and effect, and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8" w:lineRule="exact"/>
        <w:rPr>
          <w:sz w:val="20"/>
          <w:szCs w:val="20"/>
          <w:color w:val="auto"/>
        </w:rPr>
      </w:pPr>
    </w:p>
    <w:p>
      <w:pPr>
        <w:ind w:firstLine="435"/>
        <w:spacing w:after="0" w:line="291" w:lineRule="auto"/>
        <w:rPr>
          <w:sz w:val="20"/>
          <w:szCs w:val="20"/>
          <w:color w:val="auto"/>
        </w:rPr>
      </w:pPr>
      <w:r>
        <w:rPr>
          <w:rFonts w:ascii="Arial" w:cs="Arial" w:eastAsia="Arial" w:hAnsi="Arial"/>
          <w:sz w:val="16"/>
          <w:szCs w:val="16"/>
          <w:color w:val="auto"/>
        </w:rPr>
        <w:t>The undersigned hereby consents to receipt of this Letter Agreement in electronic form and understands and agrees that this Letter Agreement may be signed electronically. In the event that any signature is delivered by facsimile transmission, electronic mail, or otherwise by electronic transmission evidencing an intent to sign this Letter Agreement, such facsimile transmission, electronic mail or other electronic transmission shall create a valid and binding obligation of the undersigned with the same force and effect as if such signature were an original. Execution and delivery of this Letter Agreement by facsimile transmission, electronic mail or other electronic transmission is legal, valid and binding for all purposes.</w:t>
      </w:r>
    </w:p>
    <w:p>
      <w:pPr>
        <w:spacing w:after="0" w:line="165" w:lineRule="exact"/>
        <w:rPr>
          <w:sz w:val="20"/>
          <w:szCs w:val="20"/>
          <w:color w:val="auto"/>
        </w:rPr>
      </w:pPr>
    </w:p>
    <w:p>
      <w:pPr>
        <w:ind w:right="40" w:firstLine="435"/>
        <w:spacing w:after="0" w:line="26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as Follows]</w:t>
      </w:r>
    </w:p>
    <w:p>
      <w:pPr>
        <w:sectPr>
          <w:pgSz w:w="11900" w:h="16838" w:orient="portrait"/>
          <w:cols w:equalWidth="0" w:num="1">
            <w:col w:w="10840"/>
          </w:cols>
          <w:pgMar w:left="520" w:top="274" w:right="539" w:bottom="1440" w:gutter="0" w:footer="0" w:header="0"/>
        </w:sectPr>
      </w:pPr>
    </w:p>
    <w:bookmarkStart w:id="266" w:name="page267"/>
    <w:bookmarkEnd w:id="266"/>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Very truly yours,</w:t>
      </w:r>
    </w:p>
    <w:p>
      <w:pPr>
        <w:spacing w:after="0" w:line="2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12065</wp:posOffset>
            </wp:positionV>
            <wp:extent cx="25825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Name:</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If signing on behalf of a fund, the name(s) of the fund(s):</w:t>
      </w:r>
    </w:p>
    <w:p>
      <w:pPr>
        <w:spacing w:after="0" w:line="24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[Signature Page to Lock-Up Agreement]</w:t>
      </w:r>
    </w:p>
    <w:p>
      <w:pPr>
        <w:sectPr>
          <w:pgSz w:w="11900" w:h="16838" w:orient="portrait"/>
          <w:cols w:equalWidth="0" w:num="1">
            <w:col w:w="9680"/>
          </w:cols>
          <w:pgMar w:left="1440" w:top="274" w:right="77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33"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AMENDED AND RESTATED</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CERTIFICATE OF INCORPORATION</w:t>
      </w:r>
    </w:p>
    <w:p>
      <w:pPr>
        <w:sectPr>
          <w:pgSz w:w="11900" w:h="16838" w:orient="portrait"/>
          <w:cols w:equalWidth="0" w:num="1">
            <w:col w:w="9960"/>
          </w:cols>
          <w:pgMar w:left="1440" w:top="121" w:right="49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AMENDED AND RESTATED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STOKE THERAPEUTICS,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9" w:lineRule="exact"/>
        <w:rPr>
          <w:sz w:val="20"/>
          <w:szCs w:val="20"/>
          <w:color w:val="auto"/>
        </w:rPr>
      </w:pPr>
    </w:p>
    <w:p>
      <w:pPr>
        <w:ind w:right="200" w:firstLine="435"/>
        <w:spacing w:after="0" w:line="267" w:lineRule="auto"/>
        <w:rPr>
          <w:sz w:val="20"/>
          <w:szCs w:val="20"/>
          <w:color w:val="auto"/>
        </w:rPr>
      </w:pPr>
      <w:r>
        <w:rPr>
          <w:rFonts w:ascii="Arial" w:cs="Arial" w:eastAsia="Arial" w:hAnsi="Arial"/>
          <w:sz w:val="18"/>
          <w:szCs w:val="18"/>
          <w:color w:val="auto"/>
        </w:rPr>
        <w:t>Stoke Therapeutics,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DOES HEREBY CERTIFY:</w:t>
      </w:r>
    </w:p>
    <w:p>
      <w:pPr>
        <w:spacing w:after="0" w:line="226" w:lineRule="exact"/>
        <w:rPr>
          <w:sz w:val="20"/>
          <w:szCs w:val="20"/>
          <w:color w:val="auto"/>
        </w:rPr>
      </w:pPr>
    </w:p>
    <w:p>
      <w:pPr>
        <w:ind w:firstLine="864"/>
        <w:spacing w:after="0" w:line="257" w:lineRule="auto"/>
        <w:tabs>
          <w:tab w:leader="none" w:pos="1048"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Stoke Therapeutics, Inc., and that this corporation was originally incorporated pursuant to the General Corporation Law upon the filing of its original Certificate of Incorporation with the Secretary of State of the State of Delaware on June 13, 2014 under the name ASOthera Pharmaceuticals, Inc.</w:t>
      </w:r>
    </w:p>
    <w:p>
      <w:pPr>
        <w:spacing w:after="0" w:line="188" w:lineRule="exact"/>
        <w:rPr>
          <w:rFonts w:ascii="Arial" w:cs="Arial" w:eastAsia="Arial" w:hAnsi="Arial"/>
          <w:sz w:val="18"/>
          <w:szCs w:val="18"/>
          <w:b w:val="1"/>
          <w:bCs w:val="1"/>
          <w:color w:val="auto"/>
        </w:rPr>
      </w:pPr>
    </w:p>
    <w:p>
      <w:pPr>
        <w:ind w:right="40" w:firstLine="864"/>
        <w:spacing w:after="0" w:line="254" w:lineRule="auto"/>
        <w:tabs>
          <w:tab w:leader="none" w:pos="1048"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Amended and Restated Certificate of Incorporation of this corporation be amended and restated in its entirety to read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Stoke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0" w:lineRule="exact"/>
        <w:rPr>
          <w:sz w:val="20"/>
          <w:szCs w:val="20"/>
          <w:color w:val="auto"/>
        </w:rPr>
      </w:pPr>
    </w:p>
    <w:p>
      <w:pPr>
        <w:ind w:right="220" w:firstLine="870"/>
        <w:spacing w:after="0" w:line="274"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is 3500 South Dupont Highway, in the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Dover, County of Kent 19901. The name of its registered agent at such address is Incorporating Services, Ltd.</w:t>
      </w:r>
    </w:p>
    <w:p>
      <w:pPr>
        <w:spacing w:after="0" w:line="167" w:lineRule="exact"/>
        <w:rPr>
          <w:sz w:val="20"/>
          <w:szCs w:val="20"/>
          <w:color w:val="auto"/>
        </w:rPr>
      </w:pPr>
    </w:p>
    <w:p>
      <w:pPr>
        <w:ind w:right="880" w:firstLine="870"/>
        <w:spacing w:after="0" w:line="274"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167" w:lineRule="exact"/>
        <w:rPr>
          <w:sz w:val="20"/>
          <w:szCs w:val="20"/>
          <w:color w:val="auto"/>
        </w:rPr>
      </w:pPr>
    </w:p>
    <w:p>
      <w:pPr>
        <w:ind w:right="20" w:firstLine="870"/>
        <w:spacing w:after="0" w:line="260"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278,527,249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225,584,874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7" w:lineRule="exact"/>
        <w:rPr>
          <w:sz w:val="20"/>
          <w:szCs w:val="20"/>
          <w:color w:val="auto"/>
        </w:rPr>
      </w:pPr>
    </w:p>
    <w:p>
      <w:pPr>
        <w:ind w:right="160" w:firstLine="435"/>
        <w:spacing w:after="0" w:line="26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COMMON STOCK</w:t>
      </w:r>
    </w:p>
    <w:p>
      <w:pPr>
        <w:spacing w:after="0" w:line="220" w:lineRule="exact"/>
        <w:rPr>
          <w:sz w:val="20"/>
          <w:szCs w:val="20"/>
          <w:color w:val="auto"/>
        </w:rPr>
      </w:pPr>
    </w:p>
    <w:p>
      <w:pPr>
        <w:ind w:right="560" w:firstLine="864"/>
        <w:spacing w:after="0" w:line="267" w:lineRule="auto"/>
        <w:tabs>
          <w:tab w:leader="none" w:pos="1048"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ectPr>
          <w:pgSz w:w="11900" w:h="16838" w:orient="portrait"/>
          <w:cols w:equalWidth="0" w:num="1">
            <w:col w:w="10880"/>
          </w:cols>
          <w:pgMar w:left="520" w:top="274" w:right="499" w:bottom="1440" w:gutter="0" w:footer="0" w:header="0"/>
        </w:sectPr>
      </w:pPr>
    </w:p>
    <w:bookmarkStart w:id="269" w:name="page270"/>
    <w:bookmarkEnd w:id="269"/>
    <w:p>
      <w:pPr>
        <w:ind w:firstLine="864"/>
        <w:spacing w:after="0" w:line="284" w:lineRule="auto"/>
        <w:tabs>
          <w:tab w:leader="none" w:pos="1048"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Voting</w:t>
      </w:r>
      <w:r>
        <w:rPr>
          <w:rFonts w:ascii="Arial" w:cs="Arial" w:eastAsia="Arial" w:hAnsi="Arial"/>
          <w:sz w:val="16"/>
          <w:szCs w:val="16"/>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the certificate of incorporation of the 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of the 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of the 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74" w:lineRule="exact"/>
        <w:rPr>
          <w:rFonts w:ascii="Arial" w:cs="Arial" w:eastAsia="Arial" w:hAnsi="Arial"/>
          <w:sz w:val="16"/>
          <w:szCs w:val="16"/>
          <w:color w:val="auto"/>
        </w:rPr>
      </w:pPr>
    </w:p>
    <w:p>
      <w:pPr>
        <w:ind w:left="640" w:hanging="212"/>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14" w:lineRule="exact"/>
        <w:rPr>
          <w:sz w:val="20"/>
          <w:szCs w:val="20"/>
          <w:color w:val="auto"/>
        </w:rPr>
      </w:pPr>
    </w:p>
    <w:p>
      <w:pPr>
        <w:ind w:firstLine="435"/>
        <w:spacing w:after="0" w:line="254" w:lineRule="auto"/>
        <w:rPr>
          <w:sz w:val="20"/>
          <w:szCs w:val="20"/>
          <w:color w:val="auto"/>
        </w:rPr>
      </w:pPr>
      <w:r>
        <w:rPr>
          <w:rFonts w:ascii="Arial" w:cs="Arial" w:eastAsia="Arial" w:hAnsi="Arial"/>
          <w:sz w:val="18"/>
          <w:szCs w:val="18"/>
          <w:color w:val="auto"/>
        </w:rPr>
        <w:t>49,540,132 shares of the authorized Preferred Stock of the Corporation are designated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75,777,370 shares of the authorized Preferred Stock of the Corporation are designated “</w:t>
      </w:r>
      <w:r>
        <w:rPr>
          <w:rFonts w:ascii="Arial" w:cs="Arial" w:eastAsia="Arial" w:hAnsi="Arial"/>
          <w:sz w:val="18"/>
          <w:szCs w:val="18"/>
          <w:b w:val="1"/>
          <w:bCs w:val="1"/>
          <w:color w:val="auto"/>
        </w:rPr>
        <w:t>Series A-2 Preferred Stock</w:t>
      </w:r>
      <w:r>
        <w:rPr>
          <w:rFonts w:ascii="Arial" w:cs="Arial" w:eastAsia="Arial" w:hAnsi="Arial"/>
          <w:sz w:val="18"/>
          <w:szCs w:val="18"/>
          <w:color w:val="auto"/>
        </w:rPr>
        <w:t>” and 100,267,372 shares of the authorized Preferred Stock of the corporation are designated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91" w:lineRule="exact"/>
        <w:rPr>
          <w:sz w:val="20"/>
          <w:szCs w:val="20"/>
          <w:color w:val="auto"/>
        </w:rPr>
      </w:pPr>
    </w:p>
    <w:p>
      <w:pPr>
        <w:ind w:left="1040" w:hanging="176"/>
        <w:spacing w:after="0"/>
        <w:tabs>
          <w:tab w:leader="none" w:pos="104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0" w:lineRule="exact"/>
        <w:rPr>
          <w:sz w:val="20"/>
          <w:szCs w:val="20"/>
          <w:color w:val="auto"/>
        </w:rPr>
      </w:pPr>
    </w:p>
    <w:p>
      <w:pPr>
        <w:ind w:right="240" w:firstLine="435"/>
        <w:spacing w:after="0" w:line="295" w:lineRule="auto"/>
        <w:rPr>
          <w:sz w:val="20"/>
          <w:szCs w:val="20"/>
          <w:color w:val="auto"/>
        </w:rPr>
      </w:pPr>
      <w:r>
        <w:rPr>
          <w:rFonts w:ascii="Arial" w:cs="Arial" w:eastAsia="Arial" w:hAnsi="Arial"/>
          <w:sz w:val="16"/>
          <w:szCs w:val="16"/>
          <w:color w:val="auto"/>
        </w:rPr>
        <w:t>From and after the date of the issuance of any shares of any series of Preferred Stock, the holders of such shares of Preferred Stock shall be entitled to receive non-cumulative dividends at the rate of eight percent of the Original Issue Price (as defined below) of such series of such Preferred Stock per annum on such shares of Preferred Stock (subject to appropriate adjustment in the event of any stock dividend, stock split, combination or other similar recapitalization with respect to the Preferred Stock) when, as, and if declared by the Board of Directors (the “</w:t>
      </w:r>
      <w:r>
        <w:rPr>
          <w:rFonts w:ascii="Arial" w:cs="Arial" w:eastAsia="Arial" w:hAnsi="Arial"/>
          <w:sz w:val="16"/>
          <w:szCs w:val="16"/>
          <w:b w:val="1"/>
          <w:bCs w:val="1"/>
          <w:color w:val="auto"/>
        </w:rPr>
        <w:t>Preferred Dividend</w:t>
      </w:r>
      <w:r>
        <w:rPr>
          <w:rFonts w:ascii="Arial" w:cs="Arial" w:eastAsia="Arial" w:hAnsi="Arial"/>
          <w:sz w:val="16"/>
          <w:szCs w:val="16"/>
          <w:color w:val="auto"/>
        </w:rPr>
        <w:t>”).</w:t>
      </w:r>
    </w:p>
    <w:p>
      <w:pPr>
        <w:spacing w:after="0" w:line="162" w:lineRule="exact"/>
        <w:rPr>
          <w:sz w:val="20"/>
          <w:szCs w:val="20"/>
          <w:color w:val="auto"/>
        </w:rPr>
      </w:pPr>
    </w:p>
    <w:p>
      <w:pPr>
        <w:ind w:firstLine="435"/>
        <w:spacing w:after="0" w:line="326" w:lineRule="auto"/>
        <w:rPr>
          <w:sz w:val="20"/>
          <w:szCs w:val="20"/>
          <w:color w:val="auto"/>
        </w:rPr>
      </w:pPr>
      <w:r>
        <w:rPr>
          <w:rFonts w:ascii="Arial" w:cs="Arial" w:eastAsia="Arial" w:hAnsi="Arial"/>
          <w:sz w:val="14"/>
          <w:szCs w:val="14"/>
          <w:color w:val="auto"/>
        </w:rPr>
        <w:t xml:space="preserve">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of the Corporation) the holders of the Preferred Stock then outstanding shall first receive, or simultaneously receive, a dividend on each outstanding share of Preferred Stock in an amount at least equal to the sum of (i) the amount of the Preferred Dividend then accrued on such share of Preferred Stock for the calendar year in which such dividends are being paid hereunder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such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Original Issue Price (as defined below) of such Preferred Stock;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Corporation declares, pays or sets aside, 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520" w:top="274" w:right="519" w:bottom="1440" w:gutter="0" w:footer="0" w:header="0"/>
        </w:sectPr>
      </w:pPr>
    </w:p>
    <w:bookmarkStart w:id="270" w:name="page271"/>
    <w:bookmarkEnd w:id="27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the same date, a dividend on shares of more than one class or series of capital stock of the Corporation, the dividend payable to the holders of a series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dividend to such series of Preferred Stock. The “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$0.8976 per share of Series B Preferred Stock, subject to appropriate adjustment in the event of any stock dividend, stock split, combination or other similar recapitalization with respect to the Series B Preferred Stock, $0.2392 per share of Series A Preferred Stock, subject to appropriate adjustment in the event of any stock dividend, stock split, combination or other similar recapitalization with respect to the Series A Preferred Stock, and $0.3827 per share of Series A-2 Preferred Stock, subject to appropriate adjustment in the event of any stock dividend, stock split, combination or other similar recapitalization with respect to the Series A-2 Preferred Stock.</w:t>
      </w:r>
    </w:p>
    <w:p>
      <w:pPr>
        <w:spacing w:after="0" w:line="167" w:lineRule="exact"/>
        <w:rPr>
          <w:sz w:val="20"/>
          <w:szCs w:val="20"/>
          <w:color w:val="auto"/>
        </w:rPr>
      </w:pPr>
    </w:p>
    <w:p>
      <w:pPr>
        <w:ind w:left="1040" w:hanging="176"/>
        <w:spacing w:after="0"/>
        <w:tabs>
          <w:tab w:leader="none" w:pos="104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0" w:lineRule="exact"/>
        <w:rPr>
          <w:sz w:val="20"/>
          <w:szCs w:val="20"/>
          <w:color w:val="auto"/>
        </w:rPr>
      </w:pPr>
    </w:p>
    <w:p>
      <w:pPr>
        <w:ind w:right="40" w:firstLine="1415"/>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the holders of shares of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Original Issue Price of such share of Preferred Stock,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Preferred Stock shall share ratably and on a pari passu basis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4" w:lineRule="exact"/>
        <w:rPr>
          <w:sz w:val="20"/>
          <w:szCs w:val="20"/>
          <w:color w:val="auto"/>
        </w:rPr>
      </w:pPr>
    </w:p>
    <w:p>
      <w:pPr>
        <w:ind w:right="160" w:firstLine="1415"/>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Distribution of Remaining Assets</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of the Corporation immediately prior to such liquidation, dissolution or winding up of the Corporation. The aggregate amount which a holder of a share of Preferred Stock is entitled to receive under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is hereinafter referred to as the “</w:t>
      </w:r>
      <w:r>
        <w:rPr>
          <w:rFonts w:ascii="Arial" w:cs="Arial" w:eastAsia="Arial" w:hAnsi="Arial"/>
          <w:sz w:val="17"/>
          <w:szCs w:val="17"/>
          <w:b w:val="1"/>
          <w:bCs w:val="1"/>
          <w:color w:val="auto"/>
        </w:rPr>
        <w:t>Preferred Stock Liquidation Amount</w:t>
      </w:r>
      <w:r>
        <w:rPr>
          <w:rFonts w:ascii="Arial" w:cs="Arial" w:eastAsia="Arial" w:hAnsi="Arial"/>
          <w:sz w:val="17"/>
          <w:szCs w:val="17"/>
          <w:color w:val="auto"/>
        </w:rPr>
        <w:t>.”</w:t>
      </w:r>
    </w:p>
    <w:p>
      <w:pPr>
        <w:spacing w:after="0" w:line="18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14" w:lineRule="exact"/>
        <w:rPr>
          <w:sz w:val="20"/>
          <w:szCs w:val="20"/>
          <w:color w:val="auto"/>
        </w:rPr>
      </w:pPr>
    </w:p>
    <w:p>
      <w:pPr>
        <w:ind w:right="140" w:firstLine="1850"/>
        <w:spacing w:after="0" w:line="276"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Definition</w:t>
      </w:r>
      <w:r>
        <w:rPr>
          <w:rFonts w:ascii="Arial" w:cs="Arial" w:eastAsia="Arial" w:hAnsi="Arial"/>
          <w:sz w:val="17"/>
          <w:szCs w:val="17"/>
          <w:color w:val="auto"/>
        </w:rPr>
        <w:t>. Each of the following events shall be considered a “</w:t>
      </w:r>
      <w:r>
        <w:rPr>
          <w:rFonts w:ascii="Arial" w:cs="Arial" w:eastAsia="Arial" w:hAnsi="Arial"/>
          <w:sz w:val="17"/>
          <w:szCs w:val="17"/>
          <w:b w:val="1"/>
          <w:bCs w:val="1"/>
          <w:color w:val="auto"/>
        </w:rPr>
        <w:t>Deemed Liquidation Event</w:t>
      </w:r>
      <w:r>
        <w:rPr>
          <w:rFonts w:ascii="Arial" w:cs="Arial" w:eastAsia="Arial" w:hAnsi="Arial"/>
          <w:sz w:val="17"/>
          <w:szCs w:val="17"/>
          <w:color w:val="auto"/>
        </w:rPr>
        <w:t>” unless the holders of (i) a majority of the then-outstanding shares of Series A Preferred Stock and Series A-2 Preferred Stock, voting as a single class and (ii) a majority of the outstanding Series B Preferred Stock voting together as a single class (clauses (i) and (ii) collectively, the “</w:t>
      </w:r>
      <w:r>
        <w:rPr>
          <w:rFonts w:ascii="Arial" w:cs="Arial" w:eastAsia="Arial" w:hAnsi="Arial"/>
          <w:sz w:val="17"/>
          <w:szCs w:val="17"/>
          <w:b w:val="1"/>
          <w:bCs w:val="1"/>
          <w:color w:val="auto"/>
        </w:rPr>
        <w:t>Requisite Holders</w:t>
      </w:r>
      <w:r>
        <w:rPr>
          <w:rFonts w:ascii="Arial" w:cs="Arial" w:eastAsia="Arial" w:hAnsi="Arial"/>
          <w:sz w:val="17"/>
          <w:szCs w:val="17"/>
          <w:color w:val="auto"/>
        </w:rPr>
        <w:t>”) elect otherwise by written notice sent to the Corporation at least 10 days prior to the effective date of any such event:</w:t>
      </w:r>
    </w:p>
    <w:p>
      <w:pPr>
        <w:spacing w:after="0" w:line="67" w:lineRule="exact"/>
        <w:rPr>
          <w:sz w:val="20"/>
          <w:szCs w:val="20"/>
          <w:color w:val="auto"/>
        </w:rPr>
      </w:pPr>
    </w:p>
    <w:p>
      <w:pPr>
        <w:ind w:left="2520" w:hanging="242"/>
        <w:spacing w:after="0"/>
        <w:tabs>
          <w:tab w:leader="none" w:pos="25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26" w:lineRule="exact"/>
        <w:rPr>
          <w:rFonts w:ascii="Arial" w:cs="Arial" w:eastAsia="Arial" w:hAnsi="Arial"/>
          <w:sz w:val="18"/>
          <w:szCs w:val="18"/>
          <w:color w:val="auto"/>
        </w:rPr>
      </w:pPr>
    </w:p>
    <w:p>
      <w:pPr>
        <w:ind w:left="5380" w:right="4680" w:hanging="2560"/>
        <w:spacing w:after="0" w:line="437" w:lineRule="auto"/>
        <w:tabs>
          <w:tab w:leader="none" w:pos="334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Corporation is a constituent party or 3</w:t>
      </w:r>
    </w:p>
    <w:p>
      <w:pPr>
        <w:sectPr>
          <w:pgSz w:w="11900" w:h="16838" w:orient="portrait"/>
          <w:cols w:equalWidth="0" w:num="1">
            <w:col w:w="10860"/>
          </w:cols>
          <w:pgMar w:left="520" w:top="274" w:right="519" w:bottom="1440" w:gutter="0" w:footer="0" w:header="0"/>
        </w:sectPr>
      </w:pPr>
    </w:p>
    <w:bookmarkStart w:id="271" w:name="page272"/>
    <w:bookmarkEnd w:id="271"/>
    <w:p>
      <w:pPr>
        <w:ind w:left="3360" w:hanging="540"/>
        <w:spacing w:after="0" w:line="267" w:lineRule="auto"/>
        <w:tabs>
          <w:tab w:leader="none" w:pos="33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 subsidiary of the Corporation is a constituent party and the Corporation issues shares of its capital stock pursuant to such merger or consolidation,</w:t>
      </w:r>
    </w:p>
    <w:p>
      <w:pPr>
        <w:spacing w:after="0" w:line="7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74" w:lineRule="exact"/>
        <w:rPr>
          <w:sz w:val="20"/>
          <w:szCs w:val="20"/>
          <w:color w:val="auto"/>
        </w:rPr>
      </w:pPr>
    </w:p>
    <w:p>
      <w:pPr>
        <w:ind w:right="60" w:firstLine="2278"/>
        <w:spacing w:after="0" w:line="270" w:lineRule="auto"/>
        <w:tabs>
          <w:tab w:leader="none" w:pos="253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8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0" w:lineRule="exact"/>
        <w:rPr>
          <w:sz w:val="20"/>
          <w:szCs w:val="20"/>
          <w:color w:val="auto"/>
        </w:rPr>
      </w:pPr>
    </w:p>
    <w:p>
      <w:pPr>
        <w:jc w:val="both"/>
        <w:ind w:right="100" w:firstLine="2278"/>
        <w:spacing w:after="0" w:line="304" w:lineRule="auto"/>
        <w:tabs>
          <w:tab w:leader="none" w:pos="252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Subsection 2.3.1(a)(i)</w:t>
      </w:r>
      <w:r>
        <w:rPr>
          <w:rFonts w:ascii="Arial" w:cs="Arial" w:eastAsia="Arial" w:hAnsi="Arial"/>
          <w:sz w:val="16"/>
          <w:szCs w:val="16"/>
          <w:color w:val="auto"/>
        </w:rPr>
        <w:t xml:space="preserve"> unless the agreement or plan of merger or consolidation for such transaction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20" w:firstLine="2278"/>
        <w:spacing w:after="0" w:line="279" w:lineRule="auto"/>
        <w:tabs>
          <w:tab w:leader="none" w:pos="253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if the Corporation does not effect a dissolution of the Corporation under the General Corporation Law within 90 days after such Deemed Liquidation Event, then (i) the Corporation shall send a written notice to each holder of Preferred Stock no later than the 90</w:t>
      </w:r>
      <w:r>
        <w:rPr>
          <w:rFonts w:ascii="Arial" w:cs="Arial" w:eastAsia="Arial" w:hAnsi="Arial"/>
          <w:sz w:val="13"/>
          <w:szCs w:val="13"/>
          <w:color w:val="auto"/>
        </w:rPr>
        <w:t>th</w:t>
      </w:r>
      <w:r>
        <w:rPr>
          <w:rFonts w:ascii="Arial" w:cs="Arial" w:eastAsia="Arial" w:hAnsi="Arial"/>
          <w:sz w:val="16"/>
          <w:szCs w:val="16"/>
          <w:color w:val="auto"/>
        </w:rPr>
        <w:t xml:space="preserve"> day after the Deemed Liquidation Event advising such holders of their right (and the requirements to be met to secure such right) pursuant to the terms of the following clause; (ii) to require the redemption of such shares of Preferred Stock, and (iii) if the holders of at least a majority of the then outstanding shares of Preferred Stock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w:t>
      </w:r>
      <w:r>
        <w:rPr>
          <w:rFonts w:ascii="Arial" w:cs="Arial" w:eastAsia="Arial" w:hAnsi="Arial"/>
          <w:sz w:val="16"/>
          <w:szCs w:val="16"/>
          <w:b w:val="1"/>
          <w:bCs w:val="1"/>
          <w:color w:val="auto"/>
        </w:rPr>
        <w:t>,</w:t>
      </w:r>
      <w:r>
        <w:rPr>
          <w:rFonts w:ascii="Arial" w:cs="Arial" w:eastAsia="Arial" w:hAnsi="Arial"/>
          <w:sz w:val="16"/>
          <w:szCs w:val="16"/>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150</w:t>
      </w:r>
      <w:r>
        <w:rPr>
          <w:rFonts w:ascii="Arial" w:cs="Arial" w:eastAsia="Arial" w:hAnsi="Arial"/>
          <w:sz w:val="13"/>
          <w:szCs w:val="13"/>
          <w:color w:val="auto"/>
        </w:rPr>
        <w:t>th</w:t>
      </w:r>
      <w:r>
        <w:rPr>
          <w:rFonts w:ascii="Arial" w:cs="Arial" w:eastAsia="Arial" w:hAnsi="Arial"/>
          <w:sz w:val="16"/>
          <w:szCs w:val="16"/>
          <w:color w:val="auto"/>
        </w:rPr>
        <w:t xml:space="preserve"> day after such Deemed Liquidation Event, to redeem each outstanding share of Preferred Stock at a price per share equal to the respective Preferred Stock Liquidation Amount of such share of Preferred Stock. Notwithstanding the foregoing, in the event of a redemption pursuant to the preceding sentence, if the Available Proceeds are not sufficient to redeem all outstanding shares of Preferred Stock, the Corporation shall ratably and on a pari passu basis redeem each holder’s shares of Preferred Stock to the fullest extent of such Available Proceeds,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w:t>
      </w:r>
    </w:p>
    <w:p>
      <w:pPr>
        <w:spacing w:after="0" w:line="3" w:lineRule="exact"/>
        <w:rPr>
          <w:rFonts w:ascii="Arial" w:cs="Arial" w:eastAsia="Arial" w:hAnsi="Arial"/>
          <w:sz w:val="16"/>
          <w:szCs w:val="16"/>
          <w:color w:val="auto"/>
        </w:rPr>
      </w:pPr>
    </w:p>
    <w:p>
      <w:pPr>
        <w:ind w:right="38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2.3.2(b)</w:t>
      </w:r>
      <w:r>
        <w:rPr>
          <w:rFonts w:ascii="Arial" w:cs="Arial" w:eastAsia="Arial" w:hAnsi="Arial"/>
          <w:sz w:val="18"/>
          <w:szCs w:val="18"/>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520" w:top="274" w:right="519" w:bottom="1440" w:gutter="0" w:footer="0" w:header="0"/>
        </w:sectPr>
      </w:pPr>
    </w:p>
    <w:bookmarkStart w:id="272" w:name="page273"/>
    <w:bookmarkEnd w:id="272"/>
    <w:p>
      <w:pPr>
        <w:ind w:right="180" w:firstLine="185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2.3.3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17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xml:space="preserve">. In the event of a Deemed Liquidation Event pursuant to </w:t>
      </w:r>
      <w:r>
        <w:rPr>
          <w:rFonts w:ascii="Arial" w:cs="Arial" w:eastAsia="Arial" w:hAnsi="Arial"/>
          <w:sz w:val="16"/>
          <w:szCs w:val="16"/>
          <w:u w:val="single" w:color="auto"/>
          <w:color w:val="auto"/>
        </w:rPr>
        <w:t>Subsection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2.3.1(a)(i)</w:t>
      </w:r>
      <w:r>
        <w:rPr>
          <w:rFonts w:ascii="Arial" w:cs="Arial" w:eastAsia="Arial" w:hAnsi="Arial"/>
          <w:sz w:val="16"/>
          <w:szCs w:val="16"/>
          <w:color w:val="auto"/>
        </w:rPr>
        <w:t>, if any portion of the consideration payable to the stockholders of the Corporation is payable only upon satisfaction of contingencies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 (such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2.2</w:t>
      </w:r>
      <w:r>
        <w:rPr>
          <w:rFonts w:ascii="Arial" w:cs="Arial" w:eastAsia="Arial" w:hAnsi="Arial"/>
          <w:sz w:val="17"/>
          <w:szCs w:val="17"/>
          <w:color w:val="auto"/>
        </w:rPr>
        <w:t xml:space="preserve"> as if the Initial Consideration were the only consideration payable in connection with such Deemed Liquidation Event; and (b) any Additional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Consideration which becomes payable to the stockholders of the Corporation upon satisfaction of such contingencies shall be allocated among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after taking into account the previous payment of the Initial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Consideration as part of the same transaction. For the purposes of this </w:t>
      </w:r>
      <w:r>
        <w:rPr>
          <w:rFonts w:ascii="Arial" w:cs="Arial" w:eastAsia="Arial" w:hAnsi="Arial"/>
          <w:sz w:val="16"/>
          <w:szCs w:val="16"/>
          <w:u w:val="single" w:color="auto"/>
          <w:color w:val="auto"/>
        </w:rPr>
        <w:t>Subsection 2.3.4</w:t>
      </w:r>
      <w:r>
        <w:rPr>
          <w:rFonts w:ascii="Arial" w:cs="Arial" w:eastAsia="Arial" w:hAnsi="Arial"/>
          <w:sz w:val="16"/>
          <w:szCs w:val="16"/>
          <w:color w:val="auto"/>
        </w:rPr>
        <w:t>, consideration placed into escrow or retained as holdback to be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available for satisfaction of indemnification or similar obligations in connection with such Deemed Liquidation Event shall be deemed to be Additional</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09" w:lineRule="exact"/>
        <w:rPr>
          <w:sz w:val="20"/>
          <w:szCs w:val="20"/>
          <w:color w:val="auto"/>
        </w:rPr>
      </w:pPr>
    </w:p>
    <w:p>
      <w:pPr>
        <w:ind w:left="1040" w:hanging="176"/>
        <w:spacing w:after="0"/>
        <w:tabs>
          <w:tab w:leader="none" w:pos="10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0" w:lineRule="exact"/>
        <w:rPr>
          <w:sz w:val="20"/>
          <w:szCs w:val="20"/>
          <w:color w:val="auto"/>
        </w:rPr>
      </w:pPr>
    </w:p>
    <w:p>
      <w:pPr>
        <w:ind w:firstLine="1415"/>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of the Corporation, holders of Preferred Stock shall vote together with the holders of Common Stock as a single class.</w:t>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220" w:lineRule="exact"/>
        <w:rPr>
          <w:sz w:val="20"/>
          <w:szCs w:val="20"/>
          <w:color w:val="auto"/>
        </w:rPr>
      </w:pPr>
    </w:p>
    <w:p>
      <w:pPr>
        <w:ind w:firstLine="1850"/>
        <w:spacing w:after="0" w:line="252"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8"/>
          <w:szCs w:val="18"/>
          <w:u w:val="single" w:color="auto"/>
          <w:color w:val="auto"/>
        </w:rPr>
        <w:t>Subsection 3.2</w:t>
      </w:r>
      <w:r>
        <w:rPr>
          <w:rFonts w:ascii="Arial" w:cs="Arial" w:eastAsia="Arial" w:hAnsi="Arial"/>
          <w:sz w:val="18"/>
          <w:szCs w:val="18"/>
          <w:color w:val="auto"/>
        </w:rPr>
        <w:t>.</w:t>
      </w:r>
    </w:p>
    <w:p>
      <w:pPr>
        <w:spacing w:after="0" w:line="193" w:lineRule="exact"/>
        <w:rPr>
          <w:sz w:val="20"/>
          <w:szCs w:val="20"/>
          <w:color w:val="auto"/>
        </w:rPr>
      </w:pPr>
    </w:p>
    <w:p>
      <w:pPr>
        <w:ind w:firstLine="1850"/>
        <w:spacing w:after="0" w:line="288"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Common Directors</w:t>
      </w:r>
      <w:r>
        <w:rPr>
          <w:rFonts w:ascii="Arial" w:cs="Arial" w:eastAsia="Arial" w:hAnsi="Arial"/>
          <w:sz w:val="16"/>
          <w:szCs w:val="16"/>
          <w:color w:val="auto"/>
        </w:rPr>
        <w:t>. The holders of record of the shares of Common Stock, exclusively and as a separate class, shall be entitled to elect two directors of the Corporation (the “</w:t>
      </w:r>
      <w:r>
        <w:rPr>
          <w:rFonts w:ascii="Arial" w:cs="Arial" w:eastAsia="Arial" w:hAnsi="Arial"/>
          <w:sz w:val="16"/>
          <w:szCs w:val="16"/>
          <w:b w:val="1"/>
          <w:bCs w:val="1"/>
          <w:color w:val="auto"/>
        </w:rPr>
        <w:t>Common Directors</w:t>
      </w:r>
      <w:r>
        <w:rPr>
          <w:rFonts w:ascii="Arial" w:cs="Arial" w:eastAsia="Arial" w:hAnsi="Arial"/>
          <w:sz w:val="16"/>
          <w:szCs w:val="16"/>
          <w:color w:val="auto"/>
        </w:rPr>
        <w:t xml:space="preserve">”). If the holders of shares of Common Stock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3.2.2</w:t>
      </w:r>
      <w:r>
        <w:rPr>
          <w:rFonts w:ascii="Arial" w:cs="Arial" w:eastAsia="Arial" w:hAnsi="Arial"/>
          <w:sz w:val="16"/>
          <w:szCs w:val="16"/>
          <w:color w:val="auto"/>
        </w:rPr>
        <w:t>, then any directorship not so filled shall remain vacant until such time as the holders of the Common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520" w:top="274" w:right="519" w:bottom="1440" w:gutter="0" w:footer="0" w:header="0"/>
        </w:sectPr>
      </w:pPr>
    </w:p>
    <w:bookmarkStart w:id="273" w:name="page274"/>
    <w:bookmarkEnd w:id="273"/>
    <w:p>
      <w:pPr>
        <w:ind w:right="100" w:firstLine="185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3.2.3 </w:t>
      </w:r>
      <w:r>
        <w:rPr>
          <w:rFonts w:ascii="Arial" w:cs="Arial" w:eastAsia="Arial" w:hAnsi="Arial"/>
          <w:sz w:val="17"/>
          <w:szCs w:val="17"/>
          <w:u w:val="single" w:color="auto"/>
          <w:color w:val="auto"/>
        </w:rPr>
        <w:t>Preferred Directors</w:t>
      </w:r>
      <w:r>
        <w:rPr>
          <w:rFonts w:ascii="Arial" w:cs="Arial" w:eastAsia="Arial" w:hAnsi="Arial"/>
          <w:sz w:val="17"/>
          <w:szCs w:val="17"/>
          <w:color w:val="auto"/>
        </w:rPr>
        <w:t>. For so long as any shares of Preferred Stock remain outstanding, the holders of record of the shares of Preferred Stock, exclusively and as a separate class, shall be entitled to elect two directors of the Corporation (the “</w:t>
      </w:r>
      <w:r>
        <w:rPr>
          <w:rFonts w:ascii="Arial" w:cs="Arial" w:eastAsia="Arial" w:hAnsi="Arial"/>
          <w:sz w:val="17"/>
          <w:szCs w:val="17"/>
          <w:b w:val="1"/>
          <w:bCs w:val="1"/>
          <w:color w:val="auto"/>
        </w:rPr>
        <w:t>Preferred Directors</w:t>
      </w:r>
      <w:r>
        <w:rPr>
          <w:rFonts w:ascii="Arial" w:cs="Arial" w:eastAsia="Arial" w:hAnsi="Arial"/>
          <w:sz w:val="17"/>
          <w:szCs w:val="17"/>
          <w:color w:val="auto"/>
        </w:rPr>
        <w:t xml:space="preserve">”). If the holders of shares of Preferred Stock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7"/>
          <w:szCs w:val="17"/>
          <w:u w:val="single" w:color="auto"/>
          <w:color w:val="auto"/>
        </w:rPr>
        <w:t>Subsection 3.2.3</w:t>
      </w:r>
      <w:r>
        <w:rPr>
          <w:rFonts w:ascii="Arial" w:cs="Arial" w:eastAsia="Arial" w:hAnsi="Arial"/>
          <w:sz w:val="17"/>
          <w:szCs w:val="17"/>
          <w:color w:val="auto"/>
        </w:rPr>
        <w:t>, then any directorship not so filled shall remain vacant until such time as the holders of the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w:t>
      </w:r>
    </w:p>
    <w:p>
      <w:pPr>
        <w:spacing w:after="0" w:line="185" w:lineRule="exact"/>
        <w:rPr>
          <w:sz w:val="20"/>
          <w:szCs w:val="20"/>
          <w:color w:val="auto"/>
        </w:rPr>
      </w:pPr>
    </w:p>
    <w:p>
      <w:pPr>
        <w:ind w:right="40" w:firstLine="1850"/>
        <w:spacing w:after="0" w:line="267"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Remaining Directors</w:t>
      </w:r>
      <w:r>
        <w:rPr>
          <w:rFonts w:ascii="Arial" w:cs="Arial" w:eastAsia="Arial" w:hAnsi="Arial"/>
          <w:sz w:val="17"/>
          <w:szCs w:val="17"/>
          <w:color w:val="auto"/>
        </w:rPr>
        <w:t>. The holders of the Common Stock and the Preferred Stock, voting together as a single class on an as-if-converted basis, shall be entitled to elect all remaining directors at each meeting or pursuant to each consent of the Company’s stockholders for the election of directors (the “</w:t>
      </w:r>
      <w:r>
        <w:rPr>
          <w:rFonts w:ascii="Arial" w:cs="Arial" w:eastAsia="Arial" w:hAnsi="Arial"/>
          <w:sz w:val="17"/>
          <w:szCs w:val="17"/>
          <w:b w:val="1"/>
          <w:bCs w:val="1"/>
          <w:color w:val="auto"/>
        </w:rPr>
        <w:t>Remaining Directors</w:t>
      </w:r>
      <w:r>
        <w:rPr>
          <w:rFonts w:ascii="Arial" w:cs="Arial" w:eastAsia="Arial" w:hAnsi="Arial"/>
          <w:sz w:val="17"/>
          <w:szCs w:val="17"/>
          <w:color w:val="auto"/>
        </w:rPr>
        <w:t>”). Notwithstanding anything to the contrary provided herein, if any vacancy in the office of any Remaining Director exists, such vacancy may be filled (either contingently or otherwise) by the stockholders as specified in this Section 3.2.4 or by at least a majority of the members of the Board then in office, although less than a quorum, or by a sole remaining member of the Board then in office, even if such directors or such sole remaining director were not elected by the holders of the class, classes or series that are entitled to elect a director or directors to office under the provisions of this Section 3.2.4 and such electing director or directors shall specify at the time of such election the specific vacant directorship being filled.</w:t>
      </w:r>
    </w:p>
    <w:p>
      <w:pPr>
        <w:spacing w:after="0" w:line="181" w:lineRule="exact"/>
        <w:rPr>
          <w:sz w:val="20"/>
          <w:szCs w:val="20"/>
          <w:color w:val="auto"/>
        </w:rPr>
      </w:pPr>
    </w:p>
    <w:p>
      <w:pPr>
        <w:ind w:right="80" w:firstLine="1850"/>
        <w:spacing w:after="0" w:line="304"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xml:space="preserve">. Any director elected as provided in the </w:t>
      </w:r>
      <w:r>
        <w:rPr>
          <w:rFonts w:ascii="Arial" w:cs="Arial" w:eastAsia="Arial" w:hAnsi="Arial"/>
          <w:sz w:val="16"/>
          <w:szCs w:val="16"/>
          <w:u w:val="single" w:color="auto"/>
          <w:color w:val="auto"/>
        </w:rPr>
        <w:t>Subsections 3.2.1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3.3.3</w:t>
      </w:r>
      <w:r>
        <w:rPr>
          <w:rFonts w:ascii="Arial" w:cs="Arial" w:eastAsia="Arial" w:hAnsi="Arial"/>
          <w:sz w:val="16"/>
          <w:szCs w:val="16"/>
          <w:color w:val="auto"/>
        </w:rPr>
        <w:t xml:space="preserv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54" w:lineRule="exact"/>
        <w:rPr>
          <w:sz w:val="20"/>
          <w:szCs w:val="20"/>
          <w:color w:val="auto"/>
        </w:rPr>
      </w:pPr>
    </w:p>
    <w:p>
      <w:pPr>
        <w:ind w:right="160" w:firstLine="1415"/>
        <w:spacing w:after="0" w:line="25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xml:space="preserve">. For so long as any shares of Preferred Stock remain outstanding, the Corporation shall not, either directly or indirectly by amendment, merger, consolidation or otherwise, do any of the following without (in addition to any other vote required by law or the certificate of incorporation of the Corporation) the written consent or affirmative vote of the Requisite Holders, given in writing or by vote at a meeting,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93" w:lineRule="exact"/>
        <w:rPr>
          <w:sz w:val="20"/>
          <w:szCs w:val="20"/>
          <w:color w:val="auto"/>
        </w:rPr>
      </w:pPr>
    </w:p>
    <w:p>
      <w:pPr>
        <w:ind w:firstLine="1850"/>
        <w:spacing w:after="0" w:line="257" w:lineRule="auto"/>
        <w:rPr>
          <w:sz w:val="20"/>
          <w:szCs w:val="20"/>
          <w:color w:val="auto"/>
        </w:rPr>
      </w:pPr>
      <w:r>
        <w:rPr>
          <w:rFonts w:ascii="Arial" w:cs="Arial" w:eastAsia="Arial" w:hAnsi="Arial"/>
          <w:sz w:val="18"/>
          <w:szCs w:val="18"/>
          <w:color w:val="auto"/>
        </w:rPr>
        <w:t>3.3.1 liquidate, dissolve or wind-up the business and affairs of the Corporation, effect any merger or consolidation, any asset transfer, or any license of intellectual property out of the ordinary course of business, any acquisition or any other Deemed Liquidation Event, or consent to any of the foregoing;</w:t>
      </w:r>
    </w:p>
    <w:p>
      <w:pPr>
        <w:spacing w:after="0" w:line="18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3.3.2 amend, alter or repeal any provision of the certificate of incorporation or bylaws of the Corporation;</w:t>
      </w:r>
    </w:p>
    <w:p>
      <w:pPr>
        <w:spacing w:after="0" w:line="220" w:lineRule="exact"/>
        <w:rPr>
          <w:sz w:val="20"/>
          <w:szCs w:val="20"/>
          <w:color w:val="auto"/>
        </w:rPr>
      </w:pPr>
    </w:p>
    <w:p>
      <w:pPr>
        <w:ind w:right="120" w:firstLine="1850"/>
        <w:spacing w:after="0" w:line="252" w:lineRule="auto"/>
        <w:rPr>
          <w:sz w:val="20"/>
          <w:szCs w:val="20"/>
          <w:color w:val="auto"/>
        </w:rPr>
      </w:pPr>
      <w:r>
        <w:rPr>
          <w:rFonts w:ascii="Arial" w:cs="Arial" w:eastAsia="Arial" w:hAnsi="Arial"/>
          <w:sz w:val="18"/>
          <w:szCs w:val="18"/>
          <w:color w:val="auto"/>
        </w:rPr>
        <w:t>3.3.3 create, or authorize the creation of, or issue or obligate itself to issue shares of, any additional class or series of capital stock unless the same ranks junior to the Preferred Stock with respect to Liquidation Preference, the payment of dividends, rights of redemption and voting, or increase the authorized number of shares of Preferred Stock or increase the authorized number of shares of any additional class or series of capital stock unless the same ranks junior to the Preferred Stock with respect to Liquidation Preference, the payment of dividends, rights of redemption and voting;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20" w:top="274" w:right="519" w:bottom="1440" w:gutter="0" w:footer="0" w:header="0"/>
        </w:sectPr>
      </w:pPr>
    </w:p>
    <w:bookmarkStart w:id="274" w:name="page275"/>
    <w:bookmarkEnd w:id="274"/>
    <w:p>
      <w:pPr>
        <w:ind w:firstLine="185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3.3.4 (i)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98" w:lineRule="exact"/>
        <w:rPr>
          <w:sz w:val="20"/>
          <w:szCs w:val="20"/>
          <w:color w:val="auto"/>
        </w:rPr>
      </w:pPr>
    </w:p>
    <w:p>
      <w:pPr>
        <w:ind w:right="40" w:firstLine="1850"/>
        <w:spacing w:after="0" w:line="252" w:lineRule="auto"/>
        <w:rPr>
          <w:sz w:val="20"/>
          <w:szCs w:val="20"/>
          <w:color w:val="auto"/>
        </w:rPr>
      </w:pPr>
      <w:r>
        <w:rPr>
          <w:rFonts w:ascii="Arial" w:cs="Arial" w:eastAsia="Arial" w:hAnsi="Arial"/>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and (ii)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93" w:lineRule="exact"/>
        <w:rPr>
          <w:sz w:val="20"/>
          <w:szCs w:val="20"/>
          <w:color w:val="auto"/>
        </w:rPr>
      </w:pPr>
    </w:p>
    <w:p>
      <w:pPr>
        <w:ind w:right="240" w:firstLine="1850"/>
        <w:spacing w:after="0" w:line="304" w:lineRule="auto"/>
        <w:rPr>
          <w:sz w:val="20"/>
          <w:szCs w:val="20"/>
          <w:color w:val="auto"/>
        </w:rPr>
      </w:pPr>
      <w:r>
        <w:rPr>
          <w:rFonts w:ascii="Arial" w:cs="Arial" w:eastAsia="Arial" w:hAnsi="Arial"/>
          <w:sz w:val="16"/>
          <w:szCs w:val="16"/>
          <w:color w:val="auto"/>
        </w:rPr>
        <w:t>3.3.6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$100,000 unless such debt security has received the prior approval of the Board of Directors;</w:t>
      </w:r>
    </w:p>
    <w:p>
      <w:pPr>
        <w:spacing w:after="0" w:line="15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3.3.7 increase the authorized number of shares of Preferred Stock or Common Stock;</w:t>
      </w:r>
    </w:p>
    <w:p>
      <w:pPr>
        <w:spacing w:after="0" w:line="22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3.3.8 increase or decrease the authorized number of or method of selecting directors constituting the Board of Directors; or</w:t>
      </w:r>
    </w:p>
    <w:p>
      <w:pPr>
        <w:spacing w:after="0" w:line="243" w:lineRule="exact"/>
        <w:rPr>
          <w:sz w:val="20"/>
          <w:szCs w:val="20"/>
          <w:color w:val="auto"/>
        </w:rPr>
      </w:pPr>
    </w:p>
    <w:p>
      <w:pPr>
        <w:ind w:firstLine="1850"/>
        <w:spacing w:after="0" w:line="257" w:lineRule="auto"/>
        <w:rPr>
          <w:sz w:val="20"/>
          <w:szCs w:val="20"/>
          <w:color w:val="auto"/>
        </w:rPr>
      </w:pPr>
      <w:r>
        <w:rPr>
          <w:rFonts w:ascii="Arial" w:cs="Arial" w:eastAsia="Arial" w:hAnsi="Arial"/>
          <w:sz w:val="18"/>
          <w:szCs w:val="18"/>
          <w:color w:val="auto"/>
        </w:rPr>
        <w:t>3.3.9 enter into any interested party transaction (other than transactions that (i) involve payment obligations of, or payments to, the Corporation of immaterial amounts or (ii) do not involve any exchange of cash or other property, in each case, in the ordinary course of business), unless approved by the Board of Directors (including a disinterested majority of directors).</w:t>
      </w:r>
    </w:p>
    <w:p>
      <w:pPr>
        <w:spacing w:after="0" w:line="188" w:lineRule="exact"/>
        <w:rPr>
          <w:sz w:val="20"/>
          <w:szCs w:val="20"/>
          <w:color w:val="auto"/>
        </w:rPr>
      </w:pPr>
    </w:p>
    <w:p>
      <w:pPr>
        <w:ind w:left="1040" w:hanging="176"/>
        <w:spacing w:after="0"/>
        <w:tabs>
          <w:tab w:leader="none" w:pos="10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0" w:lineRule="exact"/>
        <w:rPr>
          <w:sz w:val="20"/>
          <w:szCs w:val="20"/>
          <w:color w:val="auto"/>
        </w:rPr>
      </w:pPr>
    </w:p>
    <w:p>
      <w:pPr>
        <w:ind w:firstLine="1850"/>
        <w:spacing w:after="0" w:line="267"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of such share of Preferred Stock by the Conversion Price (as defined below) of such share of Preferred Stock in effect at the time of conversion. The “</w:t>
      </w:r>
      <w:r>
        <w:rPr>
          <w:rFonts w:ascii="Arial" w:cs="Arial" w:eastAsia="Arial" w:hAnsi="Arial"/>
          <w:sz w:val="17"/>
          <w:szCs w:val="17"/>
          <w:b w:val="1"/>
          <w:bCs w:val="1"/>
          <w:color w:val="auto"/>
        </w:rPr>
        <w:t>Conversion Price</w:t>
      </w:r>
      <w:r>
        <w:rPr>
          <w:rFonts w:ascii="Arial" w:cs="Arial" w:eastAsia="Arial" w:hAnsi="Arial"/>
          <w:sz w:val="17"/>
          <w:szCs w:val="17"/>
          <w:color w:val="auto"/>
        </w:rPr>
        <w:t>” for each share of Preferred Stock shall initially be equal to the Original Issue Price of such share of Preferred Stock; for the sake of clarity, any reference to “Conversion Price” herein refers to the respective Conversion Price of each series of Preferred Stock. Such initial Conversion Price, and the rate at which shares of Preferred Stock may be converted into shares of Common Stock, shall be subject to adjustment as provided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520" w:top="274" w:right="519" w:bottom="1440" w:gutter="0" w:footer="0" w:header="0"/>
        </w:sectPr>
      </w:pPr>
    </w:p>
    <w:bookmarkStart w:id="275" w:name="page276"/>
    <w:bookmarkEnd w:id="275"/>
    <w:p>
      <w:pPr>
        <w:ind w:right="20" w:firstLine="185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8" w:lineRule="exact"/>
        <w:rPr>
          <w:sz w:val="20"/>
          <w:szCs w:val="20"/>
          <w:color w:val="auto"/>
        </w:rPr>
      </w:pPr>
    </w:p>
    <w:p>
      <w:pPr>
        <w:ind w:right="120" w:firstLine="1415"/>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8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0" w:lineRule="exact"/>
        <w:rPr>
          <w:sz w:val="20"/>
          <w:szCs w:val="20"/>
          <w:color w:val="auto"/>
        </w:rPr>
      </w:pPr>
    </w:p>
    <w:p>
      <w:pPr>
        <w:ind w:right="40" w:firstLine="1850"/>
        <w:spacing w:after="0" w:line="281"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74" w:lineRule="exact"/>
        <w:rPr>
          <w:sz w:val="20"/>
          <w:szCs w:val="20"/>
          <w:color w:val="auto"/>
        </w:rPr>
      </w:pPr>
    </w:p>
    <w:p>
      <w:pPr>
        <w:ind w:firstLine="1850"/>
        <w:spacing w:after="0" w:line="269"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520" w:top="274" w:right="499" w:bottom="1440" w:gutter="0" w:footer="0" w:header="0"/>
        </w:sectPr>
      </w:pPr>
    </w:p>
    <w:bookmarkStart w:id="276" w:name="page277"/>
    <w:bookmarkEnd w:id="276"/>
    <w:p>
      <w:pPr>
        <w:ind w:left="7" w:right="10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including, without limitation, engaging in best efforts to obtain the requisite stockholder approval of any necessary amendment to the certificate of incorporation of the Corporation. Before taking any action which would cause an adjustment reducing the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93" w:lineRule="exact"/>
        <w:rPr>
          <w:sz w:val="20"/>
          <w:szCs w:val="20"/>
          <w:color w:val="auto"/>
        </w:rPr>
      </w:pPr>
    </w:p>
    <w:p>
      <w:pPr>
        <w:ind w:left="7" w:firstLine="1850"/>
        <w:spacing w:after="0" w:line="287"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Preferred Stock, and the Corporation may thereafter take such appropriate action (without the need for stockholder action) as may be necessary to reduce the authorized number of shares of Preferred Stock and the authorized number of shares of the applicable series of Preferred Stock accordingly.</w:t>
      </w:r>
    </w:p>
    <w:p>
      <w:pPr>
        <w:spacing w:after="0" w:line="167" w:lineRule="exact"/>
        <w:rPr>
          <w:sz w:val="20"/>
          <w:szCs w:val="20"/>
          <w:color w:val="auto"/>
        </w:rPr>
      </w:pPr>
    </w:p>
    <w:p>
      <w:pPr>
        <w:ind w:left="7" w:right="620" w:firstLine="1850"/>
        <w:spacing w:after="0" w:line="331"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Conversion Price shall be made for any declared but unpaid dividends on the Preferred Stock surrendered for conversion or on the Common Stock delivered upon conversion.</w:t>
      </w:r>
    </w:p>
    <w:p>
      <w:pPr>
        <w:spacing w:after="0" w:line="133" w:lineRule="exact"/>
        <w:rPr>
          <w:sz w:val="20"/>
          <w:szCs w:val="20"/>
          <w:color w:val="auto"/>
        </w:rPr>
      </w:pPr>
    </w:p>
    <w:p>
      <w:pPr>
        <w:ind w:left="7" w:right="60" w:firstLine="1850"/>
        <w:spacing w:after="0" w:line="251"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5" w:lineRule="exact"/>
        <w:rPr>
          <w:sz w:val="20"/>
          <w:szCs w:val="20"/>
          <w:color w:val="auto"/>
        </w:rPr>
      </w:pPr>
    </w:p>
    <w:p>
      <w:pPr>
        <w:ind w:left="1407"/>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Conversion Price for Diluting Issues</w:t>
      </w:r>
      <w:r>
        <w:rPr>
          <w:rFonts w:ascii="Arial" w:cs="Arial" w:eastAsia="Arial" w:hAnsi="Arial"/>
          <w:sz w:val="18"/>
          <w:szCs w:val="18"/>
          <w:color w:val="auto"/>
        </w:rPr>
        <w:t>.</w:t>
      </w:r>
    </w:p>
    <w:p>
      <w:pPr>
        <w:spacing w:after="0" w:line="220" w:lineRule="exact"/>
        <w:rPr>
          <w:sz w:val="20"/>
          <w:szCs w:val="20"/>
          <w:color w:val="auto"/>
        </w:rPr>
      </w:pPr>
    </w:p>
    <w:p>
      <w:pPr>
        <w:jc w:val="center"/>
        <w:ind w:right="133"/>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07" w:lineRule="exact"/>
        <w:rPr>
          <w:sz w:val="20"/>
          <w:szCs w:val="20"/>
          <w:color w:val="auto"/>
        </w:rPr>
      </w:pPr>
    </w:p>
    <w:p>
      <w:pPr>
        <w:ind w:left="2287"/>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Convertible Securities.</w:t>
      </w:r>
    </w:p>
    <w:p>
      <w:pPr>
        <w:spacing w:after="0" w:line="96" w:lineRule="exact"/>
        <w:rPr>
          <w:sz w:val="20"/>
          <w:szCs w:val="20"/>
          <w:color w:val="auto"/>
        </w:rPr>
      </w:pPr>
    </w:p>
    <w:p>
      <w:pPr>
        <w:ind w:left="2547" w:hanging="262"/>
        <w:spacing w:after="0"/>
        <w:tabs>
          <w:tab w:leader="none" w:pos="254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shall mean the date on which the first share of Series B Preferred Stock was issued.</w:t>
      </w:r>
    </w:p>
    <w:p>
      <w:pPr>
        <w:spacing w:after="0" w:line="124" w:lineRule="exact"/>
        <w:rPr>
          <w:rFonts w:ascii="Arial" w:cs="Arial" w:eastAsia="Arial" w:hAnsi="Arial"/>
          <w:sz w:val="17"/>
          <w:szCs w:val="17"/>
          <w:color w:val="auto"/>
        </w:rPr>
      </w:pPr>
    </w:p>
    <w:p>
      <w:pPr>
        <w:ind w:left="7" w:right="160" w:firstLine="2278"/>
        <w:spacing w:after="0" w:line="274" w:lineRule="auto"/>
        <w:tabs>
          <w:tab w:leader="none" w:pos="253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60" w:lineRule="exact"/>
        <w:rPr>
          <w:rFonts w:ascii="Arial" w:cs="Arial" w:eastAsia="Arial" w:hAnsi="Arial"/>
          <w:sz w:val="18"/>
          <w:szCs w:val="18"/>
          <w:color w:val="auto"/>
        </w:rPr>
      </w:pPr>
    </w:p>
    <w:p>
      <w:pPr>
        <w:ind w:left="2547" w:hanging="262"/>
        <w:spacing w:after="0"/>
        <w:tabs>
          <w:tab w:leader="none" w:pos="25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shall mean all shares of Common Stock issued (or, pursuant to</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Original Issue Date, other than (1) the following shares of Common Stock and</w:t>
      </w:r>
    </w:p>
    <w:p>
      <w:pPr>
        <w:spacing w:after="0" w:line="29" w:lineRule="exact"/>
        <w:rPr>
          <w:sz w:val="20"/>
          <w:szCs w:val="20"/>
          <w:color w:val="auto"/>
        </w:rPr>
      </w:pPr>
    </w:p>
    <w:p>
      <w:pPr>
        <w:ind w:left="7" w:right="120" w:hanging="7"/>
        <w:spacing w:after="0" w:line="254" w:lineRule="auto"/>
        <w:tabs>
          <w:tab w:leader="none" w:pos="25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2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7"/>
          </w:cols>
          <w:pgMar w:left="513" w:top="274" w:right="499" w:bottom="1440" w:gutter="0" w:footer="0" w:header="0"/>
        </w:sectPr>
      </w:pPr>
    </w:p>
    <w:bookmarkStart w:id="277" w:name="page278"/>
    <w:bookmarkEnd w:id="277"/>
    <w:p>
      <w:pPr>
        <w:ind w:left="2440" w:right="520" w:hanging="540"/>
        <w:spacing w:after="0" w:line="267" w:lineRule="auto"/>
        <w:tabs>
          <w:tab w:leader="none" w:pos="2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shares of Common Stock, Options or Convertible Securities issued as a dividend or distribution on Preferred Stock;</w:t>
      </w:r>
    </w:p>
    <w:p>
      <w:pPr>
        <w:spacing w:after="0" w:line="86" w:lineRule="exact"/>
        <w:rPr>
          <w:rFonts w:ascii="Arial" w:cs="Arial" w:eastAsia="Arial" w:hAnsi="Arial"/>
          <w:sz w:val="18"/>
          <w:szCs w:val="18"/>
          <w:color w:val="auto"/>
        </w:rPr>
      </w:pPr>
    </w:p>
    <w:p>
      <w:pPr>
        <w:jc w:val="both"/>
        <w:ind w:left="2440" w:right="200" w:hanging="540"/>
        <w:spacing w:after="0" w:line="257" w:lineRule="auto"/>
        <w:tabs>
          <w:tab w:leader="none" w:pos="2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b w:val="1"/>
          <w:bCs w:val="1"/>
          <w:color w:val="auto"/>
        </w:rPr>
        <w:t>;</w:t>
      </w:r>
    </w:p>
    <w:p>
      <w:pPr>
        <w:spacing w:after="0" w:line="95" w:lineRule="exact"/>
        <w:rPr>
          <w:rFonts w:ascii="Arial" w:cs="Arial" w:eastAsia="Arial" w:hAnsi="Arial"/>
          <w:sz w:val="18"/>
          <w:szCs w:val="18"/>
          <w:color w:val="auto"/>
        </w:rPr>
      </w:pPr>
    </w:p>
    <w:p>
      <w:pPr>
        <w:ind w:left="2440" w:hanging="540"/>
        <w:spacing w:after="0" w:line="279" w:lineRule="auto"/>
        <w:tabs>
          <w:tab w:leader="none" w:pos="24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directors of, or consultants or advisors to, the Corporation or any of its subsidiaries pursuant to a plan, agreement or arrangement approved by the Board of Directors of the Corporation, including the Preferred Directors;</w:t>
      </w:r>
    </w:p>
    <w:p>
      <w:pPr>
        <w:spacing w:after="0" w:line="78" w:lineRule="exact"/>
        <w:rPr>
          <w:rFonts w:ascii="Arial" w:cs="Arial" w:eastAsia="Arial" w:hAnsi="Arial"/>
          <w:sz w:val="17"/>
          <w:szCs w:val="17"/>
          <w:color w:val="auto"/>
        </w:rPr>
      </w:pPr>
    </w:p>
    <w:p>
      <w:pPr>
        <w:ind w:left="2440" w:right="40" w:hanging="540"/>
        <w:spacing w:after="0" w:line="304" w:lineRule="auto"/>
        <w:tabs>
          <w:tab w:leader="none" w:pos="24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60" w:lineRule="exact"/>
        <w:rPr>
          <w:rFonts w:ascii="Arial" w:cs="Arial" w:eastAsia="Arial" w:hAnsi="Arial"/>
          <w:sz w:val="16"/>
          <w:szCs w:val="16"/>
          <w:color w:val="auto"/>
        </w:rPr>
      </w:pPr>
    </w:p>
    <w:p>
      <w:pPr>
        <w:ind w:left="2440" w:right="160" w:hanging="540"/>
        <w:spacing w:after="0" w:line="254" w:lineRule="auto"/>
        <w:tabs>
          <w:tab w:leader="none" w:pos="2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the Preferred Directors;</w:t>
      </w:r>
    </w:p>
    <w:p>
      <w:pPr>
        <w:spacing w:after="0" w:line="97" w:lineRule="exact"/>
        <w:rPr>
          <w:rFonts w:ascii="Arial" w:cs="Arial" w:eastAsia="Arial" w:hAnsi="Arial"/>
          <w:sz w:val="18"/>
          <w:szCs w:val="18"/>
          <w:color w:val="auto"/>
        </w:rPr>
      </w:pPr>
    </w:p>
    <w:p>
      <w:pPr>
        <w:ind w:left="2440" w:right="120" w:hanging="540"/>
        <w:spacing w:after="0" w:line="279" w:lineRule="auto"/>
        <w:tabs>
          <w:tab w:leader="none" w:pos="24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to suppliers or third party service providers in connection with the provision of goods or services pursuant to transactions approved by the Board of Directors of the Corporation, including the Preferred Directors;</w:t>
      </w:r>
    </w:p>
    <w:p>
      <w:pPr>
        <w:spacing w:after="0" w:line="78" w:lineRule="exact"/>
        <w:rPr>
          <w:rFonts w:ascii="Arial" w:cs="Arial" w:eastAsia="Arial" w:hAnsi="Arial"/>
          <w:sz w:val="17"/>
          <w:szCs w:val="17"/>
          <w:color w:val="auto"/>
        </w:rPr>
      </w:pPr>
    </w:p>
    <w:p>
      <w:pPr>
        <w:jc w:val="both"/>
        <w:ind w:left="2440" w:right="120" w:hanging="540"/>
        <w:spacing w:after="0" w:line="304" w:lineRule="auto"/>
        <w:tabs>
          <w:tab w:leader="none" w:pos="24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in to entities in connection with joint ventures, development projects, acquisitions, or other strategic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issuances are approved by the Board of Directors of the Corporation, including the Preferred Directors;</w:t>
      </w:r>
    </w:p>
    <w:p>
      <w:pPr>
        <w:spacing w:after="0" w:line="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60"/>
          </w:cols>
          <w:pgMar w:left="1440" w:top="274" w:right="499" w:bottom="1440" w:gutter="0" w:footer="0" w:header="0"/>
        </w:sectPr>
      </w:pPr>
    </w:p>
    <w:bookmarkStart w:id="278" w:name="page279"/>
    <w:bookmarkEnd w:id="278"/>
    <w:p>
      <w:pPr>
        <w:ind w:left="3360" w:hanging="540"/>
        <w:spacing w:after="0" w:line="273" w:lineRule="auto"/>
        <w:tabs>
          <w:tab w:leader="none" w:pos="33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shares of Common Stock issued upon the closing of a firmly underwritten public offering of shares of Common Stock of the Company pursuant to a registration statement under the Securities Act of 1933 at a pre-money valuation of at least $275,000,000 and for a total offering of not less than $75,000,000 (before deduction of underwriters commissions and expenses) (a “</w:t>
      </w:r>
      <w:r>
        <w:rPr>
          <w:rFonts w:ascii="Arial" w:cs="Arial" w:eastAsia="Arial" w:hAnsi="Arial"/>
          <w:sz w:val="17"/>
          <w:szCs w:val="17"/>
          <w:b w:val="1"/>
          <w:bCs w:val="1"/>
          <w:color w:val="auto"/>
        </w:rPr>
        <w:t>Qualified IPO</w:t>
      </w:r>
      <w:r>
        <w:rPr>
          <w:rFonts w:ascii="Arial" w:cs="Arial" w:eastAsia="Arial" w:hAnsi="Arial"/>
          <w:sz w:val="17"/>
          <w:szCs w:val="17"/>
          <w:color w:val="auto"/>
        </w:rPr>
        <w:t>”); or</w:t>
      </w:r>
    </w:p>
    <w:p>
      <w:pPr>
        <w:spacing w:after="0" w:line="84" w:lineRule="exact"/>
        <w:rPr>
          <w:rFonts w:ascii="Arial" w:cs="Arial" w:eastAsia="Arial" w:hAnsi="Arial"/>
          <w:sz w:val="17"/>
          <w:szCs w:val="17"/>
          <w:color w:val="auto"/>
        </w:rPr>
      </w:pPr>
    </w:p>
    <w:p>
      <w:pPr>
        <w:ind w:left="3360" w:right="60" w:hanging="540"/>
        <w:spacing w:after="0" w:line="273" w:lineRule="auto"/>
        <w:tabs>
          <w:tab w:leader="none" w:pos="33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any other shares of Common Stock, Options or Convertible Securities issued upon the written consent of the holders of at least a majority of the then outstanding shares of Preferred Stock, voting together as a single class on an as-converted basis, that such shares of Common Stock, Options or Convertible Securities shall not constitute Additional Shares of Common Stock.</w:t>
      </w:r>
    </w:p>
    <w:p>
      <w:pPr>
        <w:spacing w:after="0" w:line="177" w:lineRule="exact"/>
        <w:rPr>
          <w:sz w:val="20"/>
          <w:szCs w:val="20"/>
          <w:color w:val="auto"/>
        </w:rPr>
      </w:pPr>
    </w:p>
    <w:p>
      <w:pPr>
        <w:ind w:firstLine="1850"/>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Conversion Price</w:t>
      </w:r>
      <w:r>
        <w:rPr>
          <w:rFonts w:ascii="Arial" w:cs="Arial" w:eastAsia="Arial" w:hAnsi="Arial"/>
          <w:sz w:val="17"/>
          <w:szCs w:val="17"/>
          <w:color w:val="auto"/>
        </w:rPr>
        <w:t>. No adjustment in the Conversion Price of a particular series of Preferred Stock shall be made as the result of the issuance or deemed issuance of Additional Shares of Common Stock if the Corporation receives written notice from the holders of at least a majority of the then outstanding shares of such series of Preferred Stock agreeing that no such adjustment shall be made as the result of the issuance or deemed issuance of such Additional Shares of Common Stock.</w:t>
      </w:r>
    </w:p>
    <w:p>
      <w:pPr>
        <w:spacing w:after="0" w:line="17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0" w:lineRule="exact"/>
        <w:rPr>
          <w:sz w:val="20"/>
          <w:szCs w:val="20"/>
          <w:color w:val="auto"/>
        </w:rPr>
      </w:pPr>
    </w:p>
    <w:p>
      <w:pPr>
        <w:ind w:right="20" w:firstLine="2278"/>
        <w:spacing w:after="0" w:line="250" w:lineRule="auto"/>
        <w:tabs>
          <w:tab w:leader="none" w:pos="252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5" w:lineRule="exact"/>
        <w:rPr>
          <w:rFonts w:ascii="Arial" w:cs="Arial" w:eastAsia="Arial" w:hAnsi="Arial"/>
          <w:sz w:val="18"/>
          <w:szCs w:val="18"/>
          <w:color w:val="auto"/>
        </w:rPr>
      </w:pPr>
    </w:p>
    <w:p>
      <w:pPr>
        <w:ind w:right="20" w:firstLine="2278"/>
        <w:spacing w:after="0" w:line="267" w:lineRule="auto"/>
        <w:tabs>
          <w:tab w:leader="none" w:pos="253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the issuance of which resulted in an adjustment to the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520" w:top="274" w:right="519" w:bottom="1440" w:gutter="0" w:footer="0" w:header="0"/>
        </w:sectPr>
      </w:pPr>
    </w:p>
    <w:bookmarkStart w:id="279" w:name="page280"/>
    <w:bookmarkEnd w:id="279"/>
    <w:p>
      <w:pPr>
        <w:ind w:left="7"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terms been in effect upon the original date of issuance of such Option or Convertible Security. Notwithstanding the foregoing, no readjustment pursuant to this clause (b) shall have the effect of increasing the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65" w:lineRule="exact"/>
        <w:rPr>
          <w:sz w:val="20"/>
          <w:szCs w:val="20"/>
          <w:color w:val="auto"/>
        </w:rPr>
      </w:pPr>
    </w:p>
    <w:p>
      <w:pPr>
        <w:ind w:left="7" w:firstLine="2278"/>
        <w:spacing w:after="0" w:line="284" w:lineRule="auto"/>
        <w:tabs>
          <w:tab w:leader="none" w:pos="2533"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Subsection 4.4.5</w:t>
      </w:r>
      <w:r>
        <w:rPr>
          <w:rFonts w:ascii="Arial" w:cs="Arial" w:eastAsia="Arial" w:hAnsi="Arial"/>
          <w:sz w:val="16"/>
          <w:szCs w:val="16"/>
          <w:color w:val="auto"/>
        </w:rPr>
        <w:t xml:space="preserve">) of the Additional Shares of Common Stock subject thereto was equal to or greater than the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Subsection 4.4.3(a)</w:t>
      </w:r>
      <w:r>
        <w:rPr>
          <w:rFonts w:ascii="Arial" w:cs="Arial" w:eastAsia="Arial" w:hAnsi="Arial"/>
          <w:sz w:val="16"/>
          <w:szCs w:val="16"/>
          <w:color w:val="auto"/>
        </w:rPr>
        <w:t>) shall be deemed to have been issued effective upon such increase or decrease becoming effective.</w:t>
      </w:r>
    </w:p>
    <w:p>
      <w:pPr>
        <w:spacing w:after="0" w:line="169" w:lineRule="exact"/>
        <w:rPr>
          <w:rFonts w:ascii="Arial" w:cs="Arial" w:eastAsia="Arial" w:hAnsi="Arial"/>
          <w:sz w:val="16"/>
          <w:szCs w:val="16"/>
          <w:color w:val="auto"/>
        </w:rPr>
      </w:pPr>
    </w:p>
    <w:p>
      <w:pPr>
        <w:ind w:left="7" w:right="20" w:firstLine="2278"/>
        <w:spacing w:after="0" w:line="254" w:lineRule="auto"/>
        <w:tabs>
          <w:tab w:leader="none" w:pos="254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the Conversion Price shall be readjusted to such Conversion Price as would have obtained had such Option or Convertible Security (or portion thereof) never been issued.</w:t>
      </w:r>
    </w:p>
    <w:p>
      <w:pPr>
        <w:spacing w:after="0" w:line="190" w:lineRule="exact"/>
        <w:rPr>
          <w:rFonts w:ascii="Arial" w:cs="Arial" w:eastAsia="Arial" w:hAnsi="Arial"/>
          <w:sz w:val="18"/>
          <w:szCs w:val="18"/>
          <w:color w:val="auto"/>
        </w:rPr>
      </w:pPr>
    </w:p>
    <w:p>
      <w:pPr>
        <w:ind w:left="7" w:right="80" w:firstLine="2278"/>
        <w:spacing w:after="0" w:line="281" w:lineRule="auto"/>
        <w:tabs>
          <w:tab w:leader="none" w:pos="2533"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w:t>
      </w:r>
    </w:p>
    <w:p>
      <w:pPr>
        <w:ind w:left="7" w:hanging="7"/>
        <w:spacing w:after="0" w:line="266" w:lineRule="auto"/>
        <w:tabs>
          <w:tab w:leader="none" w:pos="25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and (c)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183" w:lineRule="exact"/>
        <w:rPr>
          <w:sz w:val="20"/>
          <w:szCs w:val="20"/>
          <w:color w:val="auto"/>
        </w:rPr>
      </w:pPr>
    </w:p>
    <w:p>
      <w:pPr>
        <w:ind w:left="7" w:right="140" w:firstLine="1850"/>
        <w:spacing w:after="0" w:line="331"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Adjustment of Conversion Price Upon Issuance of Additional Shares of Common Stock</w:t>
      </w:r>
      <w:r>
        <w:rPr>
          <w:rFonts w:ascii="Arial" w:cs="Arial" w:eastAsia="Arial" w:hAnsi="Arial"/>
          <w:sz w:val="16"/>
          <w:szCs w:val="16"/>
          <w:color w:val="auto"/>
        </w:rPr>
        <w:t>. In the event the Corporation shall at any time after the Original Issue Date issue Additional Shares of Common Stock (including Additional Shares of Common Stock deemed to be</w:t>
      </w:r>
    </w:p>
    <w:p>
      <w:pPr>
        <w:spacing w:after="0" w:line="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7"/>
          </w:cols>
          <w:pgMar w:left="513" w:top="274" w:right="519" w:bottom="1440" w:gutter="0" w:footer="0" w:header="0"/>
        </w:sectPr>
      </w:pPr>
    </w:p>
    <w:bookmarkStart w:id="280" w:name="page281"/>
    <w:bookmarkEnd w:id="280"/>
    <w:p>
      <w:pPr>
        <w:ind w:right="100"/>
        <w:spacing w:after="0" w:line="30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the Conversion Price of any series of Preferred Stock in effect immediately prior to such issue, then such Conversion Price for such series of Preferred Stock shall be reduced, concurrently with such issue, to a price (calculated to the nearest one-hundredth of a cent) determined in accordance with the following formula:</w:t>
      </w:r>
    </w:p>
    <w:p>
      <w:pPr>
        <w:spacing w:after="0" w:line="15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(a) “CP</w:t>
      </w:r>
      <w:r>
        <w:rPr>
          <w:rFonts w:ascii="Arial" w:cs="Arial" w:eastAsia="Arial" w:hAnsi="Arial"/>
          <w:sz w:val="13"/>
          <w:szCs w:val="13"/>
          <w:color w:val="auto"/>
        </w:rPr>
        <w:t>2</w:t>
      </w:r>
      <w:r>
        <w:rPr>
          <w:rFonts w:ascii="Arial" w:cs="Arial" w:eastAsia="Arial" w:hAnsi="Arial"/>
          <w:sz w:val="16"/>
          <w:szCs w:val="16"/>
          <w:color w:val="auto"/>
        </w:rPr>
        <w:t>” shall mean the Conversion Price in effect immediately after such issue of Additional Shares of Common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99"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(b) “CP</w:t>
      </w:r>
      <w:r>
        <w:rPr>
          <w:rFonts w:ascii="Arial" w:cs="Arial" w:eastAsia="Arial" w:hAnsi="Arial"/>
          <w:sz w:val="13"/>
          <w:szCs w:val="13"/>
          <w:color w:val="auto"/>
        </w:rPr>
        <w:t>1</w:t>
      </w:r>
      <w:r>
        <w:rPr>
          <w:rFonts w:ascii="Arial" w:cs="Arial" w:eastAsia="Arial" w:hAnsi="Arial"/>
          <w:sz w:val="16"/>
          <w:szCs w:val="16"/>
          <w:color w:val="auto"/>
        </w:rPr>
        <w:t>” shall mean the Conversion Price in effect immediately prior to such issue of Additional Shares of Common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99" w:lineRule="exact"/>
        <w:rPr>
          <w:sz w:val="20"/>
          <w:szCs w:val="20"/>
          <w:color w:val="auto"/>
        </w:rPr>
      </w:pPr>
    </w:p>
    <w:p>
      <w:pPr>
        <w:ind w:right="140" w:firstLine="2278"/>
        <w:spacing w:after="0" w:line="254" w:lineRule="auto"/>
        <w:tabs>
          <w:tab w:leader="none" w:pos="252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83" w:lineRule="exact"/>
        <w:rPr>
          <w:rFonts w:ascii="Arial" w:cs="Arial" w:eastAsia="Arial" w:hAnsi="Arial"/>
          <w:sz w:val="18"/>
          <w:szCs w:val="18"/>
          <w:color w:val="auto"/>
        </w:rPr>
      </w:pPr>
    </w:p>
    <w:p>
      <w:pPr>
        <w:jc w:val="both"/>
        <w:ind w:right="200" w:firstLine="2278"/>
        <w:spacing w:after="0" w:line="268" w:lineRule="auto"/>
        <w:tabs>
          <w:tab w:leader="none" w:pos="253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53" w:lineRule="exact"/>
        <w:rPr>
          <w:rFonts w:ascii="Arial" w:cs="Arial" w:eastAsia="Arial" w:hAnsi="Arial"/>
          <w:sz w:val="18"/>
          <w:szCs w:val="18"/>
          <w:color w:val="auto"/>
        </w:rPr>
      </w:pPr>
    </w:p>
    <w:p>
      <w:pPr>
        <w:ind w:left="2520" w:hanging="242"/>
        <w:spacing w:after="0"/>
        <w:tabs>
          <w:tab w:leader="none" w:pos="25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0" w:lineRule="exact"/>
        <w:rPr>
          <w:sz w:val="20"/>
          <w:szCs w:val="20"/>
          <w:color w:val="auto"/>
        </w:rPr>
      </w:pPr>
    </w:p>
    <w:p>
      <w:pPr>
        <w:ind w:right="80" w:firstLine="1850"/>
        <w:spacing w:after="0" w:line="26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73" w:lineRule="exact"/>
        <w:rPr>
          <w:sz w:val="20"/>
          <w:szCs w:val="20"/>
          <w:color w:val="auto"/>
        </w:rPr>
      </w:pPr>
    </w:p>
    <w:p>
      <w:pPr>
        <w:ind w:left="2520" w:hanging="242"/>
        <w:spacing w:after="0"/>
        <w:tabs>
          <w:tab w:leader="none" w:pos="25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26" w:lineRule="exact"/>
        <w:rPr>
          <w:rFonts w:ascii="Arial" w:cs="Arial" w:eastAsia="Arial" w:hAnsi="Arial"/>
          <w:sz w:val="18"/>
          <w:szCs w:val="18"/>
          <w:color w:val="auto"/>
        </w:rPr>
      </w:pPr>
    </w:p>
    <w:p>
      <w:pPr>
        <w:ind w:left="3360" w:right="60" w:hanging="540"/>
        <w:spacing w:after="0" w:line="267" w:lineRule="auto"/>
        <w:tabs>
          <w:tab w:leader="none" w:pos="33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86" w:lineRule="exact"/>
        <w:rPr>
          <w:rFonts w:ascii="Arial" w:cs="Arial" w:eastAsia="Arial" w:hAnsi="Arial"/>
          <w:sz w:val="18"/>
          <w:szCs w:val="18"/>
          <w:color w:val="auto"/>
        </w:rPr>
      </w:pPr>
    </w:p>
    <w:p>
      <w:pPr>
        <w:ind w:left="3360" w:hanging="540"/>
        <w:spacing w:after="0" w:line="331" w:lineRule="auto"/>
        <w:tabs>
          <w:tab w:leader="none" w:pos="336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market value thereof at the time of such issue, as determined in good faith by the Board of Directors of the Corporation; and</w:t>
      </w:r>
    </w:p>
    <w:p>
      <w:pPr>
        <w:spacing w:after="0" w:line="39" w:lineRule="exact"/>
        <w:rPr>
          <w:rFonts w:ascii="Arial" w:cs="Arial" w:eastAsia="Arial" w:hAnsi="Arial"/>
          <w:sz w:val="16"/>
          <w:szCs w:val="16"/>
          <w:color w:val="auto"/>
        </w:rPr>
      </w:pPr>
    </w:p>
    <w:p>
      <w:pPr>
        <w:ind w:left="3360" w:right="200" w:hanging="540"/>
        <w:spacing w:after="0" w:line="267" w:lineRule="auto"/>
        <w:tabs>
          <w:tab w:leader="none" w:pos="33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0"/>
          </w:cols>
          <w:pgMar w:left="520" w:top="274" w:right="599" w:bottom="1440" w:gutter="0" w:footer="0" w:header="0"/>
        </w:sectPr>
      </w:pPr>
    </w:p>
    <w:bookmarkStart w:id="281" w:name="page282"/>
    <w:bookmarkEnd w:id="281"/>
    <w:p>
      <w:pPr>
        <w:ind w:left="3360" w:right="42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proportion of such consideration so received, computed as provided in clauses (i) and (ii) above, as determined in good faith by the Board of Directors of the Corporation.</w:t>
      </w:r>
    </w:p>
    <w:p>
      <w:pPr>
        <w:spacing w:after="0" w:line="73" w:lineRule="exact"/>
        <w:rPr>
          <w:sz w:val="20"/>
          <w:szCs w:val="20"/>
          <w:color w:val="auto"/>
        </w:rPr>
      </w:pPr>
    </w:p>
    <w:p>
      <w:pPr>
        <w:ind w:right="140" w:firstLine="2278"/>
        <w:spacing w:after="0" w:line="257" w:lineRule="auto"/>
        <w:tabs>
          <w:tab w:leader="none" w:pos="253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95" w:lineRule="exact"/>
        <w:rPr>
          <w:rFonts w:ascii="Arial" w:cs="Arial" w:eastAsia="Arial" w:hAnsi="Arial"/>
          <w:sz w:val="18"/>
          <w:szCs w:val="18"/>
          <w:color w:val="auto"/>
        </w:rPr>
      </w:pPr>
    </w:p>
    <w:p>
      <w:pPr>
        <w:ind w:left="3360" w:right="60" w:hanging="540"/>
        <w:spacing w:after="0" w:line="267" w:lineRule="auto"/>
        <w:tabs>
          <w:tab w:leader="none" w:pos="336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1" w:lineRule="exact"/>
        <w:rPr>
          <w:rFonts w:ascii="Arial" w:cs="Arial" w:eastAsia="Arial" w:hAnsi="Arial"/>
          <w:sz w:val="17"/>
          <w:szCs w:val="17"/>
          <w:color w:val="auto"/>
        </w:rPr>
      </w:pPr>
    </w:p>
    <w:p>
      <w:pPr>
        <w:ind w:left="3360" w:hanging="540"/>
        <w:spacing w:after="0" w:line="270" w:lineRule="auto"/>
        <w:tabs>
          <w:tab w:leader="none" w:pos="336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1" w:lineRule="exact"/>
        <w:rPr>
          <w:sz w:val="20"/>
          <w:szCs w:val="20"/>
          <w:color w:val="auto"/>
        </w:rPr>
      </w:pPr>
    </w:p>
    <w:p>
      <w:pPr>
        <w:ind w:right="140" w:firstLine="1850"/>
        <w:spacing w:after="0" w:line="252"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3" w:lineRule="exact"/>
        <w:rPr>
          <w:sz w:val="20"/>
          <w:szCs w:val="20"/>
          <w:color w:val="auto"/>
        </w:rPr>
      </w:pPr>
    </w:p>
    <w:p>
      <w:pPr>
        <w:ind w:right="20" w:firstLine="1415"/>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If the Corporation shall at any time or from time to time after the Original Issue Date effect a subdivision of the outstanding Common Stock, the Conversion Price in effect immediately before that subdivision shall be proportionately decreased so that the number of shares of Common Stock issuable on conversion of each share of Preferred Stock shall be increased in proportion to such increase in the aggregate number of shares of Common Stock outstanding. If the Corporation shall at any time or from time to time after the Original Issue Date combine the outstanding shares of Common Stock, the Conversion Price in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520" w:top="274" w:right="559" w:bottom="1440" w:gutter="0" w:footer="0" w:header="0"/>
        </w:sectPr>
      </w:pPr>
    </w:p>
    <w:bookmarkStart w:id="282" w:name="page283"/>
    <w:bookmarkEnd w:id="282"/>
    <w:p>
      <w:pPr>
        <w:ind w:right="20"/>
        <w:spacing w:after="0" w:line="30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54" w:lineRule="exact"/>
        <w:rPr>
          <w:sz w:val="20"/>
          <w:szCs w:val="20"/>
          <w:color w:val="auto"/>
        </w:rPr>
      </w:pPr>
    </w:p>
    <w:p>
      <w:pPr>
        <w:ind w:firstLine="1415"/>
        <w:spacing w:after="0" w:line="270"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w:t>
      </w:r>
    </w:p>
    <w:p>
      <w:pPr>
        <w:spacing w:after="0" w:line="74" w:lineRule="exact"/>
        <w:rPr>
          <w:sz w:val="20"/>
          <w:szCs w:val="20"/>
          <w:color w:val="auto"/>
        </w:rPr>
      </w:pPr>
    </w:p>
    <w:p>
      <w:pPr>
        <w:ind w:right="60" w:firstLine="1843"/>
        <w:spacing w:after="0" w:line="267" w:lineRule="auto"/>
        <w:tabs>
          <w:tab w:leader="none" w:pos="210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72" w:lineRule="exact"/>
        <w:rPr>
          <w:rFonts w:ascii="Arial" w:cs="Arial" w:eastAsia="Arial" w:hAnsi="Arial"/>
          <w:sz w:val="18"/>
          <w:szCs w:val="18"/>
          <w:color w:val="auto"/>
        </w:rPr>
      </w:pPr>
    </w:p>
    <w:p>
      <w:pPr>
        <w:ind w:right="80" w:firstLine="1843"/>
        <w:spacing w:after="0" w:line="257" w:lineRule="auto"/>
        <w:tabs>
          <w:tab w:leader="none" w:pos="210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5" w:lineRule="exact"/>
        <w:rPr>
          <w:sz w:val="20"/>
          <w:szCs w:val="20"/>
          <w:color w:val="auto"/>
        </w:rPr>
      </w:pPr>
    </w:p>
    <w:p>
      <w:pPr>
        <w:ind w:firstLine="1415"/>
        <w:spacing w:after="0" w:line="267"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85" w:lineRule="exact"/>
        <w:rPr>
          <w:sz w:val="20"/>
          <w:szCs w:val="20"/>
          <w:color w:val="auto"/>
        </w:rPr>
      </w:pPr>
    </w:p>
    <w:p>
      <w:pPr>
        <w:ind w:right="60" w:firstLine="1415"/>
        <w:spacing w:after="0" w:line="250"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Adjustment for Merger or Reorganization, etc</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8"/>
          <w:szCs w:val="18"/>
          <w:u w:val="single" w:color="auto"/>
          <w:color w:val="auto"/>
        </w:rPr>
        <w:t>Subsections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4.7</w:t>
      </w:r>
      <w:r>
        <w:rPr>
          <w:rFonts w:ascii="Arial" w:cs="Arial" w:eastAsia="Arial" w:hAnsi="Arial"/>
          <w:sz w:val="18"/>
          <w:szCs w:val="18"/>
          <w:color w:val="auto"/>
        </w:rPr>
        <w:t>),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0"/>
          </w:cols>
          <w:pgMar w:left="520" w:top="274" w:right="559" w:bottom="1440" w:gutter="0" w:footer="0" w:header="0"/>
        </w:sectPr>
      </w:pPr>
    </w:p>
    <w:bookmarkStart w:id="283" w:name="page284"/>
    <w:bookmarkEnd w:id="283"/>
    <w:p>
      <w:pPr>
        <w:ind w:left="7"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the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be deemed conclusive evidence of the fair value of the shares of Preferred Stock in any such appraisal proceeding.</w:t>
      </w:r>
    </w:p>
    <w:p>
      <w:pPr>
        <w:spacing w:after="0" w:line="172" w:lineRule="exact"/>
        <w:rPr>
          <w:sz w:val="20"/>
          <w:szCs w:val="20"/>
          <w:color w:val="auto"/>
        </w:rPr>
      </w:pPr>
    </w:p>
    <w:p>
      <w:pPr>
        <w:ind w:left="7" w:right="40" w:firstLine="1415"/>
        <w:spacing w:after="0" w:line="285"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Conversion Price then in effect, and (ii) the number of shares of Common Stock and the amount, if any, of other securities, cash or property which then would be received upon the conversion of Preferred Stock.</w:t>
      </w:r>
    </w:p>
    <w:p>
      <w:pPr>
        <w:spacing w:after="0" w:line="172" w:lineRule="exact"/>
        <w:rPr>
          <w:sz w:val="20"/>
          <w:szCs w:val="20"/>
          <w:color w:val="auto"/>
        </w:rPr>
      </w:pPr>
    </w:p>
    <w:p>
      <w:pPr>
        <w:ind w:left="1407"/>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3" w:lineRule="exact"/>
        <w:rPr>
          <w:sz w:val="20"/>
          <w:szCs w:val="20"/>
          <w:color w:val="auto"/>
        </w:rPr>
      </w:pPr>
    </w:p>
    <w:p>
      <w:pPr>
        <w:jc w:val="both"/>
        <w:ind w:left="7" w:firstLine="2278"/>
        <w:spacing w:after="0" w:line="304" w:lineRule="auto"/>
        <w:tabs>
          <w:tab w:leader="none" w:pos="253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47" w:lineRule="exact"/>
        <w:rPr>
          <w:rFonts w:ascii="Arial" w:cs="Arial" w:eastAsia="Arial" w:hAnsi="Arial"/>
          <w:sz w:val="16"/>
          <w:szCs w:val="16"/>
          <w:color w:val="auto"/>
        </w:rPr>
      </w:pPr>
    </w:p>
    <w:p>
      <w:pPr>
        <w:ind w:left="2547" w:hanging="262"/>
        <w:spacing w:after="0"/>
        <w:tabs>
          <w:tab w:leader="none" w:pos="25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40"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8"/>
          <w:szCs w:val="18"/>
          <w:color w:val="auto"/>
        </w:rPr>
        <w:t>any Deemed Liquidation Event; or</w:t>
      </w:r>
    </w:p>
    <w:p>
      <w:pPr>
        <w:spacing w:after="0" w:line="102" w:lineRule="exact"/>
        <w:rPr>
          <w:rFonts w:ascii="Arial" w:cs="Arial" w:eastAsia="Arial" w:hAnsi="Arial"/>
          <w:sz w:val="16"/>
          <w:szCs w:val="16"/>
          <w:color w:val="auto"/>
        </w:rPr>
      </w:pPr>
    </w:p>
    <w:p>
      <w:pPr>
        <w:ind w:left="2527" w:hanging="242"/>
        <w:spacing w:after="0"/>
        <w:tabs>
          <w:tab w:leader="none" w:pos="252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0" w:lineRule="exact"/>
        <w:rPr>
          <w:sz w:val="20"/>
          <w:szCs w:val="20"/>
          <w:color w:val="auto"/>
        </w:rPr>
      </w:pPr>
    </w:p>
    <w:p>
      <w:pPr>
        <w:ind w:left="7" w:right="40" w:hanging="7"/>
        <w:spacing w:after="0" w:line="265" w:lineRule="auto"/>
        <w:tabs>
          <w:tab w:leader="none" w:pos="21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7"/>
          </w:cols>
          <w:pgMar w:left="513" w:top="274" w:right="519" w:bottom="1440" w:gutter="0" w:footer="0" w:header="0"/>
        </w:sectPr>
      </w:pPr>
    </w:p>
    <w:bookmarkStart w:id="284" w:name="page285"/>
    <w:bookmarkEnd w:id="284"/>
    <w:p>
      <w:pPr>
        <w:ind w:left="1040" w:hanging="176"/>
        <w:spacing w:after="0"/>
        <w:tabs>
          <w:tab w:leader="none" w:pos="104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Mandatory Conversion</w:t>
      </w:r>
      <w:r>
        <w:rPr>
          <w:rFonts w:ascii="Arial" w:cs="Arial" w:eastAsia="Arial" w:hAnsi="Arial"/>
          <w:sz w:val="18"/>
          <w:szCs w:val="18"/>
          <w:color w:val="auto"/>
        </w:rPr>
        <w:t>.</w:t>
      </w:r>
    </w:p>
    <w:p>
      <w:pPr>
        <w:spacing w:after="0" w:line="220" w:lineRule="exact"/>
        <w:rPr>
          <w:sz w:val="20"/>
          <w:szCs w:val="20"/>
          <w:color w:val="auto"/>
        </w:rPr>
      </w:pPr>
    </w:p>
    <w:p>
      <w:pPr>
        <w:ind w:right="40" w:firstLine="1415"/>
        <w:spacing w:after="0" w:line="25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Trigger Events</w:t>
      </w:r>
      <w:r>
        <w:rPr>
          <w:rFonts w:ascii="Arial" w:cs="Arial" w:eastAsia="Arial" w:hAnsi="Arial"/>
          <w:sz w:val="18"/>
          <w:szCs w:val="18"/>
          <w:color w:val="auto"/>
        </w:rPr>
        <w:t>. Upon either (a) a Qualified IPO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Arial" w:cs="Arial" w:eastAsia="Arial" w:hAnsi="Arial"/>
          <w:sz w:val="18"/>
          <w:szCs w:val="18"/>
          <w:b w:val="1"/>
          <w:bCs w:val="1"/>
          <w:color w:val="auto"/>
        </w:rPr>
        <w:t>Mandatory Conversion Time</w:t>
      </w:r>
      <w:r>
        <w:rPr>
          <w:rFonts w:ascii="Arial" w:cs="Arial" w:eastAsia="Arial" w:hAnsi="Arial"/>
          <w:sz w:val="18"/>
          <w:szCs w:val="18"/>
          <w:color w:val="auto"/>
        </w:rPr>
        <w:t xml:space="preserve">”), then (i) all outstanding shares of Preferred Stock shall automatically be converted into shares of Common Stock, at the then effective conversion rate as calculated pursuant to </w:t>
      </w: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and (ii) such shares may not be reissued by the Corporation.</w:t>
      </w:r>
    </w:p>
    <w:p>
      <w:pPr>
        <w:spacing w:after="0" w:line="193" w:lineRule="exact"/>
        <w:rPr>
          <w:sz w:val="20"/>
          <w:szCs w:val="20"/>
          <w:color w:val="auto"/>
        </w:rPr>
      </w:pPr>
    </w:p>
    <w:p>
      <w:pPr>
        <w:ind w:firstLine="1415"/>
        <w:spacing w:after="0" w:line="28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Preferred Stock, and the Corporation may thereafter take such appropriate action (without the need for stockholder action) as may be necessary to reduce the authorized number of shares of Preferred Stock and the authorized number of shares of the applicable series of Preferred Stock accordingly.</w:t>
      </w:r>
    </w:p>
    <w:p>
      <w:pPr>
        <w:spacing w:after="0" w:line="388" w:lineRule="exact"/>
        <w:rPr>
          <w:sz w:val="20"/>
          <w:szCs w:val="20"/>
          <w:color w:val="auto"/>
        </w:rPr>
      </w:pPr>
    </w:p>
    <w:p>
      <w:pPr>
        <w:ind w:firstLine="864"/>
        <w:spacing w:after="0" w:line="304" w:lineRule="auto"/>
        <w:tabs>
          <w:tab w:leader="none" w:pos="1048"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54" w:lineRule="exact"/>
        <w:rPr>
          <w:rFonts w:ascii="Arial" w:cs="Arial" w:eastAsia="Arial" w:hAnsi="Arial"/>
          <w:sz w:val="16"/>
          <w:szCs w:val="16"/>
          <w:color w:val="auto"/>
        </w:rPr>
      </w:pPr>
    </w:p>
    <w:p>
      <w:pPr>
        <w:jc w:val="both"/>
        <w:ind w:right="120" w:firstLine="864"/>
        <w:spacing w:after="0" w:line="254" w:lineRule="auto"/>
        <w:tabs>
          <w:tab w:leader="none" w:pos="1048"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any series of Preferred Stock set forth herein may be waived on behalf of all holders of such series of Preferred Stock by the affirmative written consent or vote of the holders of at least a majority of the shares of such series of Preferred Stock then outstanding. Any of the rights, powers, preferences and other terms of the Preferred Stock as a class set forth herein may be waived on behalf of all holders of such Preferred Stock by the Requisite 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520" w:top="274" w:right="499" w:bottom="1440" w:gutter="0" w:footer="0" w:header="0"/>
        </w:sectPr>
      </w:pPr>
    </w:p>
    <w:bookmarkStart w:id="285" w:name="page286"/>
    <w:bookmarkEnd w:id="285"/>
    <w:p>
      <w:pPr>
        <w:ind w:right="360" w:firstLine="864"/>
        <w:spacing w:after="0" w:line="304" w:lineRule="auto"/>
        <w:tabs>
          <w:tab w:leader="none" w:pos="1048"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8" w:lineRule="exact"/>
        <w:rPr>
          <w:sz w:val="20"/>
          <w:szCs w:val="20"/>
          <w:color w:val="auto"/>
        </w:rPr>
      </w:pPr>
    </w:p>
    <w:p>
      <w:pPr>
        <w:jc w:val="both"/>
        <w:ind w:right="220" w:firstLine="870"/>
        <w:spacing w:after="0" w:line="260"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the certificate of Incorporation or bylaws of the corporation, in furtherance and not in</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of the powers conferred by statute, the Board of Directors is expressly authorized to make, repeal, alter, amend and rescind any or all of the bylaws of the Corporation.</w:t>
      </w:r>
    </w:p>
    <w:p>
      <w:pPr>
        <w:spacing w:after="0" w:line="181" w:lineRule="exact"/>
        <w:rPr>
          <w:sz w:val="20"/>
          <w:szCs w:val="20"/>
          <w:color w:val="auto"/>
        </w:rPr>
      </w:pPr>
    </w:p>
    <w:p>
      <w:pPr>
        <w:ind w:right="580" w:firstLine="870"/>
        <w:spacing w:after="0" w:line="274"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of the Corporation, the number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be determined in the manner set forth in the bylaws of the Corporation.</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0" w:lineRule="exact"/>
        <w:rPr>
          <w:sz w:val="20"/>
          <w:szCs w:val="20"/>
          <w:color w:val="auto"/>
        </w:rPr>
      </w:pPr>
    </w:p>
    <w:p>
      <w:pPr>
        <w:ind w:right="60" w:firstLine="870"/>
        <w:spacing w:after="0" w:line="260"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81" w:lineRule="exact"/>
        <w:rPr>
          <w:sz w:val="20"/>
          <w:szCs w:val="20"/>
          <w:color w:val="auto"/>
        </w:rPr>
      </w:pPr>
    </w:p>
    <w:p>
      <w:pPr>
        <w:ind w:right="100" w:firstLine="870"/>
        <w:spacing w:after="0" w:line="254"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91" w:lineRule="exact"/>
        <w:rPr>
          <w:sz w:val="20"/>
          <w:szCs w:val="20"/>
          <w:color w:val="auto"/>
        </w:rPr>
      </w:pPr>
    </w:p>
    <w:p>
      <w:pPr>
        <w:ind w:firstLine="870"/>
        <w:spacing w:after="0" w:line="257"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2" w:lineRule="exact"/>
        <w:rPr>
          <w:sz w:val="20"/>
          <w:szCs w:val="20"/>
          <w:color w:val="auto"/>
        </w:rPr>
      </w:pPr>
    </w:p>
    <w:p>
      <w:pPr>
        <w:ind w:right="20" w:firstLine="870"/>
        <w:spacing w:after="0" w:line="298"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9" w:lineRule="exact"/>
        <w:rPr>
          <w:sz w:val="20"/>
          <w:szCs w:val="20"/>
          <w:color w:val="auto"/>
        </w:rPr>
      </w:pPr>
    </w:p>
    <w:p>
      <w:pPr>
        <w:ind w:right="40" w:firstLine="870"/>
        <w:spacing w:after="0" w:line="267" w:lineRule="auto"/>
        <w:rPr>
          <w:sz w:val="20"/>
          <w:szCs w:val="20"/>
          <w:color w:val="auto"/>
        </w:rPr>
      </w:pPr>
      <w:r>
        <w:rPr>
          <w:rFonts w:ascii="Arial" w:cs="Arial" w:eastAsia="Arial" w:hAnsi="Arial"/>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74" w:lineRule="exact"/>
        <w:rPr>
          <w:sz w:val="20"/>
          <w:szCs w:val="20"/>
          <w:color w:val="auto"/>
        </w:rPr>
      </w:pPr>
    </w:p>
    <w:p>
      <w:pPr>
        <w:ind w:right="180" w:firstLine="870"/>
        <w:spacing w:after="0" w:line="254" w:lineRule="auto"/>
        <w:rPr>
          <w:sz w:val="20"/>
          <w:szCs w:val="20"/>
          <w:color w:val="auto"/>
        </w:rPr>
      </w:pPr>
      <w:r>
        <w:rPr>
          <w:rFonts w:ascii="Arial" w:cs="Arial" w:eastAsia="Arial" w:hAnsi="Arial"/>
          <w:sz w:val="18"/>
          <w:szCs w:val="18"/>
          <w:b w:val="1"/>
          <w:bCs w:val="1"/>
          <w:color w:val="auto"/>
        </w:rPr>
        <w:t xml:space="preserve">ELEVENTH: </w:t>
      </w:r>
      <w:r>
        <w:rPr>
          <w:rFonts w:ascii="Arial" w:cs="Arial" w:eastAsia="Arial" w:hAnsi="Arial"/>
          <w:sz w:val="18"/>
          <w:szCs w:val="18"/>
          <w:color w:val="auto"/>
        </w:rPr>
        <w:t>The Corporation renounces, to the fullest extent permitted by law, any interest or expectancy of the Corporation 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being offered an opportunity to participate in, any Excluded Opportunity. An “</w:t>
      </w:r>
      <w:r>
        <w:rPr>
          <w:rFonts w:ascii="Arial" w:cs="Arial" w:eastAsia="Arial" w:hAnsi="Arial"/>
          <w:sz w:val="18"/>
          <w:szCs w:val="18"/>
          <w:b w:val="1"/>
          <w:b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520" w:top="274" w:right="519" w:bottom="1440" w:gutter="0" w:footer="0" w:header="0"/>
        </w:sectPr>
      </w:pPr>
    </w:p>
    <w:bookmarkStart w:id="286" w:name="page287"/>
    <w:bookmarkEnd w:id="286"/>
    <w:p>
      <w:pPr>
        <w:ind w:left="7"/>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such holder, other than someone who is an employee of the Corporation or any of its subsidiaries (collectively, “</w:t>
      </w:r>
      <w:r>
        <w:rPr>
          <w:rFonts w:ascii="Arial" w:cs="Arial" w:eastAsia="Arial" w:hAnsi="Arial"/>
          <w:sz w:val="18"/>
          <w:szCs w:val="18"/>
          <w:b w:val="1"/>
          <w:b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1" w:lineRule="exact"/>
        <w:rPr>
          <w:sz w:val="20"/>
          <w:szCs w:val="20"/>
          <w:color w:val="auto"/>
        </w:rPr>
      </w:pPr>
    </w:p>
    <w:p>
      <w:pPr>
        <w:ind w:left="7" w:right="60" w:firstLine="870"/>
        <w:spacing w:after="0" w:line="282"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3" w:lineRule="exact"/>
        <w:rPr>
          <w:sz w:val="20"/>
          <w:szCs w:val="20"/>
          <w:color w:val="auto"/>
        </w:rPr>
      </w:pPr>
    </w:p>
    <w:p>
      <w:pPr>
        <w:ind w:left="7" w:right="20" w:hanging="7"/>
        <w:spacing w:after="0" w:line="264" w:lineRule="auto"/>
        <w:tabs>
          <w:tab w:leader="none" w:pos="30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10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292" w:lineRule="exact"/>
        <w:rPr>
          <w:rFonts w:ascii="Arial" w:cs="Arial" w:eastAsia="Arial" w:hAnsi="Arial"/>
          <w:sz w:val="17"/>
          <w:szCs w:val="17"/>
          <w:color w:val="auto"/>
        </w:rPr>
      </w:pPr>
    </w:p>
    <w:p>
      <w:pPr>
        <w:ind w:left="5127"/>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219" w:lineRule="exact"/>
        <w:rPr>
          <w:rFonts w:ascii="Arial" w:cs="Arial" w:eastAsia="Arial" w:hAnsi="Arial"/>
          <w:sz w:val="17"/>
          <w:szCs w:val="17"/>
          <w:color w:val="auto"/>
        </w:rPr>
      </w:pPr>
    </w:p>
    <w:p>
      <w:pPr>
        <w:ind w:left="7" w:right="320" w:firstLine="864"/>
        <w:spacing w:after="0" w:line="267" w:lineRule="auto"/>
        <w:tabs>
          <w:tab w:leader="none" w:pos="1185"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9" w:lineRule="exact"/>
        <w:rPr>
          <w:rFonts w:ascii="Arial" w:cs="Arial" w:eastAsia="Arial" w:hAnsi="Arial"/>
          <w:sz w:val="18"/>
          <w:szCs w:val="18"/>
          <w:b w:val="1"/>
          <w:bCs w:val="1"/>
          <w:color w:val="auto"/>
        </w:rPr>
      </w:pPr>
    </w:p>
    <w:p>
      <w:pPr>
        <w:ind w:left="7" w:right="260" w:firstLine="864"/>
        <w:spacing w:after="0" w:line="257" w:lineRule="auto"/>
        <w:tabs>
          <w:tab w:leader="none" w:pos="1185"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That this Amended and Restated Certificate of Incorporation, which restates and integrates and further amends the provisions of this Corporation’s Amended and Restated Certificate of Incorporation, has been duly adopted in accordance with Sections 242 and 245 of the General Corporation Law.</w:t>
      </w:r>
    </w:p>
    <w:p>
      <w:pPr>
        <w:spacing w:after="0" w:line="182" w:lineRule="exact"/>
        <w:rPr>
          <w:sz w:val="20"/>
          <w:szCs w:val="20"/>
          <w:color w:val="auto"/>
        </w:rPr>
      </w:pPr>
    </w:p>
    <w:p>
      <w:pPr>
        <w:ind w:left="7" w:right="500" w:firstLine="435"/>
        <w:spacing w:after="0" w:line="274"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15th day of October, 2018.</w:t>
      </w:r>
    </w:p>
    <w:p>
      <w:pPr>
        <w:spacing w:after="0" w:line="320" w:lineRule="exact"/>
        <w:rPr>
          <w:sz w:val="20"/>
          <w:szCs w:val="20"/>
          <w:color w:val="auto"/>
        </w:rPr>
      </w:pPr>
    </w:p>
    <w:p>
      <w:pPr>
        <w:jc w:val="both"/>
        <w:ind w:left="6527"/>
        <w:spacing w:after="0"/>
        <w:tabs>
          <w:tab w:leader="none" w:pos="7046"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Kaye,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12065</wp:posOffset>
            </wp:positionV>
            <wp:extent cx="258254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jc w:val="right"/>
        <w:ind w:right="2080"/>
        <w:spacing w:after="0"/>
        <w:rPr>
          <w:sz w:val="20"/>
          <w:szCs w:val="20"/>
          <w:color w:val="auto"/>
        </w:rPr>
      </w:pPr>
      <w:r>
        <w:rPr>
          <w:rFonts w:ascii="Arial" w:cs="Arial" w:eastAsia="Arial" w:hAnsi="Arial"/>
          <w:sz w:val="18"/>
          <w:szCs w:val="18"/>
          <w:color w:val="auto"/>
        </w:rPr>
        <w:t>Chief Executive Officer</w:t>
      </w:r>
    </w:p>
    <w:p>
      <w:pPr>
        <w:spacing w:after="0" w:line="153"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47"/>
          </w:cols>
          <w:pgMar w:left="513" w:top="268" w:right="539" w:bottom="1440" w:gutter="0" w:footer="0" w:header="0"/>
        </w:sectPr>
      </w:pPr>
    </w:p>
    <w:bookmarkStart w:id="287" w:name="page288"/>
    <w:bookmarkEnd w:id="2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CERTIFICATE OF AMENDMENT</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STOKE THERAPEUTICS, INC.</w:t>
      </w:r>
    </w:p>
    <w:p>
      <w:pPr>
        <w:spacing w:after="0" w:line="209" w:lineRule="exact"/>
        <w:rPr>
          <w:sz w:val="20"/>
          <w:szCs w:val="20"/>
          <w:color w:val="auto"/>
        </w:rPr>
      </w:pPr>
    </w:p>
    <w:p>
      <w:pPr>
        <w:ind w:right="60" w:firstLine="435"/>
        <w:spacing w:after="0" w:line="270" w:lineRule="auto"/>
        <w:rPr>
          <w:sz w:val="20"/>
          <w:szCs w:val="20"/>
          <w:color w:val="auto"/>
        </w:rPr>
      </w:pPr>
      <w:r>
        <w:rPr>
          <w:rFonts w:ascii="Arial" w:cs="Arial" w:eastAsia="Arial" w:hAnsi="Arial"/>
          <w:sz w:val="17"/>
          <w:szCs w:val="17"/>
          <w:color w:val="auto"/>
        </w:rPr>
        <w:t>Stoke Therapeutics,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a corporation duly organized and existing under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does hereby certify that the following amendment to the Corporation’s Amended and Restated Certificate of Incorporation, filed with the Delaware Secretary of State on October 15, 2018 (the “</w:t>
      </w:r>
      <w:r>
        <w:rPr>
          <w:rFonts w:ascii="Arial" w:cs="Arial" w:eastAsia="Arial" w:hAnsi="Arial"/>
          <w:sz w:val="17"/>
          <w:szCs w:val="17"/>
          <w:b w:val="1"/>
          <w:bCs w:val="1"/>
          <w:i w:val="1"/>
          <w:iCs w:val="1"/>
          <w:color w:val="auto"/>
        </w:rPr>
        <w:t>Current Certificate</w:t>
      </w:r>
      <w:r>
        <w:rPr>
          <w:rFonts w:ascii="Arial" w:cs="Arial" w:eastAsia="Arial" w:hAnsi="Arial"/>
          <w:sz w:val="17"/>
          <w:szCs w:val="17"/>
          <w:color w:val="auto"/>
        </w:rPr>
        <w:t>”), has been duly adopted in accordance with the provisions of Section 242 of the Delaware General Corporation Law, with the approval of such amendment by the Corporation’s stockholders having been given by written consent without a meeting in accordance with Sections 228(d) and 242 of the DGCL:</w:t>
      </w:r>
    </w:p>
    <w:p>
      <w:pPr>
        <w:spacing w:after="0" w:line="181"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following two paragraphs are hereby added to precede the first paragraph of Article FOURTH of the Current Certificate: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“Contingent and effective upon the filing of this Certificate of Amendment to the Amended and Restated Certificate of Incorporation (the</w:t>
      </w:r>
    </w:p>
    <w:p>
      <w:pPr>
        <w:spacing w:after="0" w:line="29" w:lineRule="exact"/>
        <w:rPr>
          <w:sz w:val="20"/>
          <w:szCs w:val="20"/>
          <w:color w:val="auto"/>
        </w:rPr>
      </w:pPr>
    </w:p>
    <w:p>
      <w:pPr>
        <w:ind w:left="420"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Amendment</w:t>
      </w:r>
      <w:r>
        <w:rPr>
          <w:rFonts w:ascii="Arial" w:cs="Arial" w:eastAsia="Arial" w:hAnsi="Arial"/>
          <w:sz w:val="16"/>
          <w:szCs w:val="16"/>
          <w:color w:val="auto"/>
        </w:rPr>
        <w:t>”), every 9.94747751524931 outstanding shares of Common Stock and Preferred Stock will be combined into and automatically, without any further action by the Corporation or the stockholders thereof, become one outstanding share of Common Stock and Preferred Stock, respectively, of the Corporation (the “</w:t>
      </w:r>
      <w:r>
        <w:rPr>
          <w:rFonts w:ascii="Arial" w:cs="Arial" w:eastAsia="Arial" w:hAnsi="Arial"/>
          <w:sz w:val="16"/>
          <w:szCs w:val="16"/>
          <w:b w:val="1"/>
          <w:bCs w:val="1"/>
          <w:i w:val="1"/>
          <w:iCs w:val="1"/>
          <w:color w:val="auto"/>
        </w:rPr>
        <w:t>Reverse Stock Split</w:t>
      </w:r>
      <w:r>
        <w:rPr>
          <w:rFonts w:ascii="Arial" w:cs="Arial" w:eastAsia="Arial" w:hAnsi="Arial"/>
          <w:sz w:val="16"/>
          <w:szCs w:val="16"/>
          <w:color w:val="auto"/>
        </w:rPr>
        <w:t>”). No fractional share shall be issued in connection with the foregoing combination of the shares pursuant to the Reverse Split. The Corporation will pay in cash the fair value of such fractional shares, without interest and as determined in good faith by the Board of Directors of the Corporation when those entitled to receive such fractional shares are determined.</w:t>
      </w:r>
    </w:p>
    <w:p>
      <w:pPr>
        <w:spacing w:after="0" w:line="62" w:lineRule="exact"/>
        <w:rPr>
          <w:sz w:val="20"/>
          <w:szCs w:val="20"/>
          <w:color w:val="auto"/>
        </w:rPr>
      </w:pPr>
    </w:p>
    <w:p>
      <w:pPr>
        <w:ind w:left="420"/>
        <w:spacing w:after="0" w:line="269" w:lineRule="auto"/>
        <w:rPr>
          <w:sz w:val="20"/>
          <w:szCs w:val="20"/>
          <w:color w:val="auto"/>
        </w:rPr>
      </w:pPr>
      <w:r>
        <w:rPr>
          <w:rFonts w:ascii="Arial" w:cs="Arial" w:eastAsia="Arial" w:hAnsi="Arial"/>
          <w:sz w:val="17"/>
          <w:szCs w:val="17"/>
          <w:color w:val="auto"/>
        </w:rPr>
        <w:t xml:space="preserve">The Reverse Stock Split shall occur automatically without any further action by the holders of Common Stock or Preferred Stock, and whether or not the certificates representing such shares have been surrendered to the 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Corporation shall not be obligated to issue certificates evidencing the shares of Common Stock or Preferred Stock issuable as a result of the Reverse Stock Split unless the existing certificates evidencing the applicable shares of stock prior to the Reverse Stock Split are either delivered to the Corporation, or the holder notifies the Corporation that such certificates have been lost, stolen or destroyed, and executes an agreement satisfactory to the Corporation to indemnify the Corporation from any loss incurred by it in connection with such certificates.”</w:t>
      </w:r>
    </w:p>
    <w:p>
      <w:pPr>
        <w:spacing w:after="0" w:line="179" w:lineRule="exact"/>
        <w:rPr>
          <w:sz w:val="20"/>
          <w:szCs w:val="20"/>
          <w:color w:val="auto"/>
        </w:rPr>
      </w:pPr>
    </w:p>
    <w:p>
      <w:pPr>
        <w:ind w:right="380" w:firstLine="428"/>
        <w:spacing w:after="0" w:line="267" w:lineRule="auto"/>
        <w:tabs>
          <w:tab w:leader="none" w:pos="7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foregoing amendment to the Current Certificate has been duly approved by the Corporation’s Board of Directors in accordance with Sections 141 and 242 of the DGCL.</w:t>
      </w:r>
    </w:p>
    <w:p>
      <w:pPr>
        <w:spacing w:after="0" w:line="179" w:lineRule="exact"/>
        <w:rPr>
          <w:rFonts w:ascii="Arial" w:cs="Arial" w:eastAsia="Arial" w:hAnsi="Arial"/>
          <w:sz w:val="18"/>
          <w:szCs w:val="18"/>
          <w:color w:val="auto"/>
        </w:rPr>
      </w:pPr>
    </w:p>
    <w:p>
      <w:pPr>
        <w:ind w:right="120" w:firstLine="428"/>
        <w:spacing w:after="0" w:line="267" w:lineRule="auto"/>
        <w:tabs>
          <w:tab w:leader="none" w:pos="7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foregoing amendment to Current Certificate has been duly approved by the Corporation’s stockholders in accordance with Sections 228 and 242 of the DGCL.</w:t>
      </w:r>
    </w:p>
    <w:p>
      <w:pPr>
        <w:spacing w:after="0" w:line="179" w:lineRule="exact"/>
        <w:rPr>
          <w:rFonts w:ascii="Arial" w:cs="Arial" w:eastAsia="Arial" w:hAnsi="Arial"/>
          <w:sz w:val="18"/>
          <w:szCs w:val="18"/>
          <w:color w:val="auto"/>
        </w:rPr>
      </w:pPr>
    </w:p>
    <w:p>
      <w:pPr>
        <w:ind w:left="740" w:hanging="312"/>
        <w:spacing w:after="0"/>
        <w:tabs>
          <w:tab w:leader="none" w:pos="7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This Certificate of Amendment shall be effective upon filing with the Delaware Secretary of State.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820"/>
          </w:cols>
          <w:pgMar w:left="520" w:top="268" w:right="559" w:bottom="1440" w:gutter="0" w:footer="0" w:header="0"/>
        </w:sectPr>
      </w:pPr>
    </w:p>
    <w:bookmarkStart w:id="288" w:name="page289"/>
    <w:bookmarkEnd w:id="288"/>
    <w:p>
      <w:pPr>
        <w:ind w:firstLine="435"/>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IN WITNESS WHEREOF, the Corporation has caused this Certificate of Amendment to be signed by its duly authorized officer this 6th day of June, 2019 and the foregoing facts stated herein are true and correct.</w:t>
      </w:r>
    </w:p>
    <w:p>
      <w:pPr>
        <w:spacing w:after="0" w:line="200"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STOKE THERAPEUTICS, INC.</w:t>
      </w:r>
    </w:p>
    <w:p>
      <w:pPr>
        <w:spacing w:after="0" w:line="226"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M.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12065</wp:posOffset>
            </wp:positionV>
            <wp:extent cx="23964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2396490" cy="825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Edward M. Kaye, M.D.</w:t>
      </w:r>
    </w:p>
    <w:p>
      <w:pPr>
        <w:spacing w:after="0" w:line="17"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620"/>
          </w:cols>
          <w:pgMar w:left="520" w:top="274" w:right="759" w:bottom="1440" w:gutter="0" w:footer="0" w:header="0"/>
        </w:sectPr>
      </w:pPr>
    </w:p>
    <w:bookmarkStart w:id="289" w:name="page290"/>
    <w:bookmarkEnd w:id="289"/>
    <w:p>
      <w:pPr>
        <w:ind w:left="912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191135</wp:posOffset>
            </wp:positionV>
            <wp:extent cx="7141845" cy="46824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7141845" cy="4682490"/>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290" w:name="page291"/>
    <w:bookmarkEnd w:id="290"/>
    <w:p>
      <w:pPr>
        <w:ind w:right="380" w:firstLine="435"/>
        <w:spacing w:after="0" w:line="30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The Corporation shall furnish without charge to each stockholder who so requests a statement of the powers, designations, preferences and relative, participating, optional or other special rights of each class of stock of the Corporation or series thereof and the qualifications, limitations or restrictions of such preferences and/or rights. Such requests shall be made to the Corporation’s Secretary at the principal office of the Corporation.</w:t>
      </w:r>
    </w:p>
    <w:p>
      <w:pPr>
        <w:spacing w:after="0" w:line="154" w:lineRule="exact"/>
        <w:rPr>
          <w:sz w:val="20"/>
          <w:szCs w:val="20"/>
          <w:color w:val="auto"/>
        </w:rPr>
      </w:pPr>
    </w:p>
    <w:p>
      <w:pPr>
        <w:ind w:right="440" w:firstLine="435"/>
        <w:spacing w:after="0" w:line="267" w:lineRule="auto"/>
        <w:rPr>
          <w:sz w:val="20"/>
          <w:szCs w:val="20"/>
          <w:color w:val="auto"/>
        </w:rPr>
      </w:pPr>
      <w:r>
        <w:rPr>
          <w:rFonts w:ascii="Arial" w:cs="Arial" w:eastAsia="Arial" w:hAnsi="Arial"/>
          <w:sz w:val="18"/>
          <w:szCs w:val="18"/>
          <w:color w:val="auto"/>
        </w:rPr>
        <w:t>KEEP THIS CERTIFICATE IN A SAFE PLACE. IF IT IS LOST, STOLEN, OR DESTROYED THE CORPORATION WILL REQUIRE A BOND INDEMNITY AS A CONDITION TO THE ISSUANCE OF A REPLACEMENT CERTIFICATE.</w:t>
      </w:r>
    </w:p>
    <w:p>
      <w:pPr>
        <w:spacing w:after="0" w:line="180" w:lineRule="exact"/>
        <w:rPr>
          <w:sz w:val="20"/>
          <w:szCs w:val="20"/>
          <w:color w:val="auto"/>
        </w:rPr>
      </w:pPr>
    </w:p>
    <w:p>
      <w:pPr>
        <w:ind w:right="140" w:firstLine="435"/>
        <w:spacing w:after="0" w:line="26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TEN COM</w:t>
            </w:r>
          </w:p>
        </w:tc>
        <w:tc>
          <w:tcPr>
            <w:tcW w:w="3460" w:type="dxa"/>
            <w:vAlign w:val="bottom"/>
          </w:tcPr>
          <w:p>
            <w:pPr>
              <w:ind w:left="80"/>
              <w:spacing w:after="0"/>
              <w:rPr>
                <w:sz w:val="20"/>
                <w:szCs w:val="20"/>
                <w:color w:val="auto"/>
              </w:rPr>
            </w:pPr>
            <w:r>
              <w:rPr>
                <w:rFonts w:ascii="Arial" w:cs="Arial" w:eastAsia="Arial" w:hAnsi="Arial"/>
                <w:sz w:val="18"/>
                <w:szCs w:val="18"/>
                <w:color w:val="auto"/>
              </w:rPr>
              <w:t>– as tenants in common</w:t>
            </w:r>
          </w:p>
        </w:tc>
        <w:tc>
          <w:tcPr>
            <w:tcW w:w="4040" w:type="dxa"/>
            <w:vAlign w:val="bottom"/>
            <w:gridSpan w:val="2"/>
          </w:tcPr>
          <w:p>
            <w:pPr>
              <w:ind w:left="1200"/>
              <w:spacing w:after="0"/>
              <w:rPr>
                <w:sz w:val="20"/>
                <w:szCs w:val="20"/>
                <w:color w:val="auto"/>
              </w:rPr>
            </w:pPr>
            <w:r>
              <w:rPr>
                <w:rFonts w:ascii="Arial" w:cs="Arial" w:eastAsia="Arial" w:hAnsi="Arial"/>
                <w:sz w:val="18"/>
                <w:szCs w:val="18"/>
                <w:color w:val="auto"/>
              </w:rPr>
              <w:t>UNIF GIFT MIN ACT –</w:t>
            </w: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Custodian</w:t>
            </w:r>
          </w:p>
        </w:tc>
      </w:tr>
      <w:tr>
        <w:trPr>
          <w:trHeight w:val="221"/>
        </w:trPr>
        <w:tc>
          <w:tcPr>
            <w:tcW w:w="880" w:type="dxa"/>
            <w:vAlign w:val="bottom"/>
          </w:tcPr>
          <w:p>
            <w:pPr>
              <w:spacing w:after="0"/>
              <w:rPr>
                <w:sz w:val="20"/>
                <w:szCs w:val="20"/>
                <w:color w:val="auto"/>
              </w:rPr>
            </w:pPr>
            <w:r>
              <w:rPr>
                <w:rFonts w:ascii="Arial" w:cs="Arial" w:eastAsia="Arial" w:hAnsi="Arial"/>
                <w:sz w:val="18"/>
                <w:szCs w:val="18"/>
                <w:color w:val="auto"/>
              </w:rPr>
              <w:t>TEN ENT</w:t>
            </w:r>
          </w:p>
        </w:tc>
        <w:tc>
          <w:tcPr>
            <w:tcW w:w="3460" w:type="dxa"/>
            <w:vAlign w:val="bottom"/>
          </w:tcPr>
          <w:p>
            <w:pPr>
              <w:ind w:left="80"/>
              <w:spacing w:after="0"/>
              <w:rPr>
                <w:sz w:val="20"/>
                <w:szCs w:val="20"/>
                <w:color w:val="auto"/>
              </w:rPr>
            </w:pPr>
            <w:r>
              <w:rPr>
                <w:rFonts w:ascii="Arial" w:cs="Arial" w:eastAsia="Arial" w:hAnsi="Arial"/>
                <w:sz w:val="18"/>
                <w:szCs w:val="18"/>
                <w:color w:val="auto"/>
              </w:rPr>
              <w:t>– as tenants by the entireties</w:t>
            </w:r>
          </w:p>
        </w:tc>
        <w:tc>
          <w:tcPr>
            <w:tcW w:w="3100" w:type="dxa"/>
            <w:vAlign w:val="bottom"/>
          </w:tcPr>
          <w:p>
            <w:pPr>
              <w:spacing w:after="0"/>
              <w:rPr>
                <w:sz w:val="19"/>
                <w:szCs w:val="19"/>
                <w:color w:val="auto"/>
              </w:rPr>
            </w:pPr>
          </w:p>
        </w:tc>
        <w:tc>
          <w:tcPr>
            <w:tcW w:w="9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(Cust)</w:t>
            </w:r>
          </w:p>
        </w:tc>
        <w:tc>
          <w:tcPr>
            <w:tcW w:w="800" w:type="dxa"/>
            <w:vAlign w:val="bottom"/>
          </w:tcPr>
          <w:p>
            <w:pPr>
              <w:spacing w:after="0"/>
              <w:rPr>
                <w:sz w:val="19"/>
                <w:szCs w:val="19"/>
                <w:color w:val="auto"/>
              </w:rPr>
            </w:pPr>
          </w:p>
        </w:tc>
        <w:tc>
          <w:tcPr>
            <w:tcW w:w="9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(Minor)</w:t>
            </w:r>
          </w:p>
        </w:tc>
      </w:t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JT TEN</w:t>
            </w:r>
          </w:p>
        </w:tc>
        <w:tc>
          <w:tcPr>
            <w:tcW w:w="3460" w:type="dxa"/>
            <w:vAlign w:val="bottom"/>
          </w:tcPr>
          <w:p>
            <w:pPr>
              <w:ind w:left="80"/>
              <w:spacing w:after="0"/>
              <w:rPr>
                <w:sz w:val="20"/>
                <w:szCs w:val="20"/>
                <w:color w:val="auto"/>
              </w:rPr>
            </w:pPr>
            <w:r>
              <w:rPr>
                <w:rFonts w:ascii="Arial" w:cs="Arial" w:eastAsia="Arial" w:hAnsi="Arial"/>
                <w:sz w:val="18"/>
                <w:szCs w:val="18"/>
                <w:color w:val="auto"/>
              </w:rPr>
              <w:t>– as joint tenants with right of</w:t>
            </w:r>
          </w:p>
        </w:tc>
        <w:tc>
          <w:tcPr>
            <w:tcW w:w="310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under Uniform Gifts to Minors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40" w:type="dxa"/>
            <w:vAlign w:val="bottom"/>
          </w:tcPr>
          <w:p>
            <w:pPr>
              <w:ind w:left="1140"/>
              <w:spacing w:after="0" w:line="175" w:lineRule="exact"/>
              <w:rPr>
                <w:sz w:val="20"/>
                <w:szCs w:val="20"/>
                <w:color w:val="auto"/>
              </w:rPr>
            </w:pPr>
            <w:r>
              <w:rPr>
                <w:rFonts w:ascii="Arial" w:cs="Arial" w:eastAsia="Arial" w:hAnsi="Arial"/>
                <w:sz w:val="18"/>
                <w:szCs w:val="18"/>
                <w:color w:val="auto"/>
              </w:rPr>
              <w:t>survivorship and not as tenants in common</w:t>
            </w:r>
          </w:p>
        </w:tc>
        <w:tc>
          <w:tcPr>
            <w:tcW w:w="2240" w:type="dxa"/>
            <w:vAlign w:val="bottom"/>
            <w:gridSpan w:val="4"/>
          </w:tcPr>
          <w:p>
            <w:pPr>
              <w:spacing w:after="0" w:line="175" w:lineRule="exact"/>
              <w:rPr>
                <w:sz w:val="20"/>
                <w:szCs w:val="20"/>
                <w:color w:val="auto"/>
              </w:rPr>
            </w:pPr>
            <w:r>
              <w:rPr>
                <w:rFonts w:ascii="Arial" w:cs="Arial" w:eastAsia="Arial" w:hAnsi="Arial"/>
                <w:sz w:val="18"/>
                <w:szCs w:val="18"/>
                <w:color w:val="auto"/>
              </w:rPr>
              <w:t>Act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7440" w:type="dxa"/>
            <w:vAlign w:val="bottom"/>
          </w:tcPr>
          <w:p>
            <w:pPr>
              <w:spacing w:after="0"/>
              <w:rPr>
                <w:sz w:val="20"/>
                <w:szCs w:val="20"/>
                <w:color w:val="auto"/>
              </w:rPr>
            </w:pPr>
            <w:r>
              <w:rPr>
                <w:rFonts w:ascii="Arial" w:cs="Arial" w:eastAsia="Arial" w:hAnsi="Arial"/>
                <w:sz w:val="18"/>
                <w:szCs w:val="18"/>
                <w:color w:val="auto"/>
              </w:rPr>
              <w:t>COM PROP – as community property</w:t>
            </w:r>
          </w:p>
        </w:tc>
        <w:tc>
          <w:tcPr>
            <w:tcW w:w="3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w:t>
            </w: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188"/>
        </w:trPr>
        <w:tc>
          <w:tcPr>
            <w:tcW w:w="7440" w:type="dxa"/>
            <w:vAlign w:val="bottom"/>
          </w:tcPr>
          <w:p>
            <w:pPr>
              <w:ind w:left="5540"/>
              <w:spacing w:after="0" w:line="189" w:lineRule="exact"/>
              <w:rPr>
                <w:sz w:val="20"/>
                <w:szCs w:val="20"/>
                <w:color w:val="auto"/>
              </w:rPr>
            </w:pPr>
            <w:r>
              <w:rPr>
                <w:rFonts w:ascii="Arial" w:cs="Arial" w:eastAsia="Arial" w:hAnsi="Arial"/>
                <w:sz w:val="18"/>
                <w:szCs w:val="18"/>
                <w:color w:val="auto"/>
              </w:rPr>
              <w:t>UNIF TRF MIN ACT  –</w:t>
            </w: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gridSpan w:val="2"/>
          </w:tcPr>
          <w:p>
            <w:pPr>
              <w:ind w:left="40"/>
              <w:spacing w:after="0" w:line="189" w:lineRule="exact"/>
              <w:rPr>
                <w:sz w:val="20"/>
                <w:szCs w:val="20"/>
                <w:color w:val="auto"/>
              </w:rPr>
            </w:pPr>
            <w:r>
              <w:rPr>
                <w:rFonts w:ascii="Arial" w:cs="Arial" w:eastAsia="Arial" w:hAnsi="Arial"/>
                <w:sz w:val="18"/>
                <w:szCs w:val="18"/>
                <w:color w:val="auto"/>
                <w:w w:val="91"/>
              </w:rPr>
              <w:t>Custodian (until age</w:t>
            </w:r>
          </w:p>
        </w:tc>
        <w:tc>
          <w:tcPr>
            <w:tcW w:w="580" w:type="dxa"/>
            <w:vAlign w:val="bottom"/>
            <w:tcBorders>
              <w:bottom w:val="single" w:sz="8" w:color="auto"/>
            </w:tcBorders>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1"/>
        </w:trPr>
        <w:tc>
          <w:tcPr>
            <w:tcW w:w="7440" w:type="dxa"/>
            <w:vAlign w:val="bottom"/>
          </w:tcPr>
          <w:p>
            <w:pPr>
              <w:spacing w:after="0"/>
              <w:rPr>
                <w:sz w:val="19"/>
                <w:szCs w:val="19"/>
                <w:color w:val="auto"/>
              </w:rPr>
            </w:pPr>
          </w:p>
        </w:tc>
        <w:tc>
          <w:tcPr>
            <w:tcW w:w="2240" w:type="dxa"/>
            <w:vAlign w:val="bottom"/>
            <w:gridSpan w:val="4"/>
          </w:tcPr>
          <w:p>
            <w:pPr>
              <w:ind w:left="180"/>
              <w:spacing w:after="0"/>
              <w:rPr>
                <w:sz w:val="20"/>
                <w:szCs w:val="20"/>
                <w:color w:val="auto"/>
              </w:rPr>
            </w:pPr>
            <w:r>
              <w:rPr>
                <w:rFonts w:ascii="Arial" w:cs="Arial" w:eastAsia="Arial" w:hAnsi="Arial"/>
                <w:sz w:val="18"/>
                <w:szCs w:val="18"/>
                <w:color w:val="auto"/>
              </w:rPr>
              <w:t>(Cust)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6"/>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gridSpan w:val="3"/>
          </w:tcPr>
          <w:p>
            <w:pPr>
              <w:jc w:val="right"/>
              <w:spacing w:after="0" w:line="186" w:lineRule="exact"/>
              <w:rPr>
                <w:sz w:val="20"/>
                <w:szCs w:val="20"/>
                <w:color w:val="auto"/>
              </w:rPr>
            </w:pPr>
            <w:r>
              <w:rPr>
                <w:rFonts w:ascii="Arial" w:cs="Arial" w:eastAsia="Arial" w:hAnsi="Arial"/>
                <w:sz w:val="18"/>
                <w:szCs w:val="18"/>
                <w:color w:val="auto"/>
                <w:w w:val="92"/>
              </w:rPr>
              <w:t>under Uniform Transfers</w:t>
            </w:r>
          </w:p>
        </w:tc>
      </w:tr>
    </w:tbl>
    <w:p>
      <w:pPr>
        <w:spacing w:after="0" w:line="14"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(Minor)</w:t>
      </w:r>
    </w:p>
    <w:p>
      <w:pPr>
        <w:spacing w:after="0" w:line="1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to Minors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-19685</wp:posOffset>
            </wp:positionV>
            <wp:extent cx="11569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9040"/>
        <w:spacing w:after="0"/>
        <w:rPr>
          <w:sz w:val="20"/>
          <w:szCs w:val="20"/>
          <w:color w:val="auto"/>
        </w:rPr>
      </w:pPr>
      <w:r>
        <w:rPr>
          <w:rFonts w:ascii="Arial" w:cs="Arial" w:eastAsia="Arial" w:hAnsi="Arial"/>
          <w:sz w:val="18"/>
          <w:szCs w:val="18"/>
          <w:color w:val="auto"/>
        </w:rPr>
        <w:t>(State)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0" w:lineRule="exact"/>
        <w:rPr>
          <w:sz w:val="20"/>
          <w:szCs w:val="20"/>
          <w:color w:val="auto"/>
        </w:rPr>
      </w:pPr>
    </w:p>
    <w:p>
      <w:pPr>
        <w:ind w:left="1060"/>
        <w:spacing w:after="0"/>
        <w:tabs>
          <w:tab w:leader="none" w:pos="66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4"/>
          <w:szCs w:val="14"/>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-12700</wp:posOffset>
            </wp:positionV>
            <wp:extent cx="22853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226" w:lineRule="exact"/>
        <w:rPr>
          <w:sz w:val="20"/>
          <w:szCs w:val="20"/>
          <w:color w:val="auto"/>
        </w:rPr>
      </w:pPr>
    </w:p>
    <w:p>
      <w:pPr>
        <w:jc w:val="center"/>
        <w:ind w:right="6520"/>
        <w:spacing w:after="0"/>
        <w:rPr>
          <w:sz w:val="20"/>
          <w:szCs w:val="20"/>
          <w:color w:val="auto"/>
        </w:rPr>
      </w:pPr>
      <w:r>
        <w:rPr>
          <w:rFonts w:ascii="Arial" w:cs="Arial" w:eastAsia="Arial" w:hAnsi="Arial"/>
          <w:sz w:val="18"/>
          <w:szCs w:val="18"/>
          <w:color w:val="auto"/>
        </w:rPr>
        <w:t>PLEASE INSERT SOCIAL SECURITY OR OTHER</w:t>
      </w:r>
    </w:p>
    <w:p>
      <w:pPr>
        <w:spacing w:after="0" w:line="17" w:lineRule="exact"/>
        <w:rPr>
          <w:sz w:val="20"/>
          <w:szCs w:val="20"/>
          <w:color w:val="auto"/>
        </w:rPr>
      </w:pPr>
    </w:p>
    <w:p>
      <w:pPr>
        <w:jc w:val="center"/>
        <w:ind w:right="652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2777490" cy="296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1">
                      <a:extLst>
                        <a:ext uri="{28A0092B-C50C-407E-A947-70E740481C1C}"/>
                      </a:extLst>
                    </a:blip>
                    <a:srcRect/>
                    <a:stretch>
                      <a:fillRect/>
                    </a:stretch>
                  </pic:blipFill>
                  <pic:spPr bwMode="auto">
                    <a:xfrm>
                      <a:off x="0" y="0"/>
                      <a:ext cx="2777490" cy="296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572135</wp:posOffset>
            </wp:positionV>
            <wp:extent cx="69094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2">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6909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3">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418465</wp:posOffset>
            </wp:positionV>
            <wp:extent cx="6909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65741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65741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 the capital stock represented by within Certificate, and do hereby irrevocably constitute and appoint</w:t>
      </w:r>
    </w:p>
    <w:p>
      <w:pPr>
        <w:spacing w:after="0" w:line="20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1226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61226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transfer the said stock on the books of the within named Corporation with full power of the substitution in the premises.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-12700</wp:posOffset>
            </wp:positionV>
            <wp:extent cx="172085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1720850" cy="825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0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8"/>
                <w:szCs w:val="18"/>
                <w:b w:val="1"/>
                <w:bCs w:val="1"/>
                <w:color w:val="auto"/>
              </w:rPr>
              <w:t>X</w:t>
            </w:r>
          </w:p>
        </w:tc>
        <w:tc>
          <w:tcPr>
            <w:tcW w:w="7840" w:type="dxa"/>
            <w:vAlign w:val="bottom"/>
            <w:tcBorders>
              <w:bottom w:val="single" w:sz="8" w:color="auto"/>
            </w:tcBorders>
          </w:tcPr>
          <w:p>
            <w:pPr>
              <w:spacing w:after="0"/>
              <w:rPr>
                <w:sz w:val="20"/>
                <w:szCs w:val="20"/>
                <w:color w:val="auto"/>
              </w:rPr>
            </w:pPr>
          </w:p>
        </w:tc>
      </w:tr>
      <w:tr>
        <w:trPr>
          <w:trHeight w:val="433"/>
        </w:trPr>
        <w:tc>
          <w:tcPr>
            <w:tcW w:w="230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b w:val="1"/>
                <w:bCs w:val="1"/>
                <w:color w:val="auto"/>
              </w:rPr>
              <w:t>X</w:t>
            </w:r>
          </w:p>
        </w:tc>
        <w:tc>
          <w:tcPr>
            <w:tcW w:w="7840" w:type="dxa"/>
            <w:vAlign w:val="bottom"/>
            <w:tcBorders>
              <w:bottom w:val="single" w:sz="8" w:color="auto"/>
            </w:tcBorders>
          </w:tcPr>
          <w:p>
            <w:pPr>
              <w:spacing w:after="0"/>
              <w:rPr>
                <w:sz w:val="24"/>
                <w:szCs w:val="24"/>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8"/>
                <w:szCs w:val="18"/>
                <w:color w:val="auto"/>
              </w:rPr>
              <w:t>Signature(s) Guaranteed:</w:t>
            </w:r>
          </w:p>
        </w:tc>
        <w:tc>
          <w:tcPr>
            <w:tcW w:w="8580" w:type="dxa"/>
            <w:vAlign w:val="bottom"/>
            <w:gridSpan w:val="2"/>
          </w:tcPr>
          <w:p>
            <w:pPr>
              <w:ind w:left="740"/>
              <w:spacing w:after="0"/>
              <w:rPr>
                <w:sz w:val="20"/>
                <w:szCs w:val="20"/>
                <w:color w:val="auto"/>
              </w:rPr>
            </w:pPr>
            <w:r>
              <w:rPr>
                <w:rFonts w:ascii="Arial" w:cs="Arial" w:eastAsia="Arial" w:hAnsi="Arial"/>
                <w:sz w:val="18"/>
                <w:szCs w:val="18"/>
                <w:color w:val="auto"/>
                <w:w w:val="98"/>
              </w:rPr>
              <w:t>NOTICE:  THE SIGNATURE TO THIS ASSIGNMENT MUST CORRESPOND WITH THE NAME AS</w:t>
            </w:r>
          </w:p>
        </w:tc>
      </w:tr>
      <w:tr>
        <w:trPr>
          <w:trHeight w:val="213"/>
        </w:trPr>
        <w:tc>
          <w:tcPr>
            <w:tcW w:w="2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40" w:type="dxa"/>
            <w:vAlign w:val="bottom"/>
          </w:tcPr>
          <w:p>
            <w:pPr>
              <w:ind w:left="880"/>
              <w:spacing w:after="0"/>
              <w:rPr>
                <w:sz w:val="20"/>
                <w:szCs w:val="20"/>
                <w:color w:val="auto"/>
              </w:rPr>
            </w:pPr>
            <w:r>
              <w:rPr>
                <w:rFonts w:ascii="Arial" w:cs="Arial" w:eastAsia="Arial" w:hAnsi="Arial"/>
                <w:sz w:val="18"/>
                <w:szCs w:val="18"/>
                <w:color w:val="auto"/>
                <w:w w:val="95"/>
              </w:rPr>
              <w:t>WRITTEN UPON THE FACE OF THE CERTIFICATE IN EVERY PARTICULAR, WITHOUT</w:t>
            </w:r>
          </w:p>
        </w:tc>
      </w:tr>
      <w:tr>
        <w:trPr>
          <w:trHeight w:val="224"/>
        </w:trPr>
        <w:tc>
          <w:tcPr>
            <w:tcW w:w="2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40" w:type="dxa"/>
            <w:vAlign w:val="bottom"/>
          </w:tcPr>
          <w:p>
            <w:pPr>
              <w:ind w:left="880"/>
              <w:spacing w:after="0"/>
              <w:rPr>
                <w:sz w:val="20"/>
                <w:szCs w:val="20"/>
                <w:color w:val="auto"/>
              </w:rPr>
            </w:pPr>
            <w:r>
              <w:rPr>
                <w:rFonts w:ascii="Arial" w:cs="Arial" w:eastAsia="Arial" w:hAnsi="Arial"/>
                <w:sz w:val="18"/>
                <w:szCs w:val="18"/>
                <w:color w:val="auto"/>
              </w:rPr>
              <w:t>ALTERATION OR ENLARGEMENT OR ANY CHANGE WHATSOEVER.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-12700</wp:posOffset>
            </wp:positionV>
            <wp:extent cx="37522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37522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SIGNATURE(S) SHOULD BE GUARANTEED BY AN ELIGIBLE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GUARANTOR INSTITUTION, (BANKS, STOCKBROKERS, SAVINGS 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LOAN ASSOCIATIONS AND CREDIT UNIONS WITH MEMBERSHIP IN 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APPROVED SIGNATURE GUARANTEE MEDALLION PROGRAM), PURSUANT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 S.E.C. RULE 17Ad-15. GUARANTEES BY A NOTARY PUBLIC ARE NOT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ACCEPTABLE. SIGNATURE GUARANTEES MUST NOT BE DATED.</w:t>
      </w:r>
    </w:p>
    <w:p>
      <w:pPr>
        <w:sectPr>
          <w:pgSz w:w="11900" w:h="16838" w:orient="portrait"/>
          <w:cols w:equalWidth="0" w:num="1">
            <w:col w:w="10880"/>
          </w:cols>
          <w:pgMar w:left="520" w:top="274" w:right="49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168275</wp:posOffset>
            </wp:positionV>
            <wp:extent cx="3201035" cy="7620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320103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7,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Stoke Therapeutics,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45 Wiggins Avenue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Bedford, MA 01730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240" w:firstLine="435"/>
        <w:spacing w:after="0" w:line="273" w:lineRule="auto"/>
        <w:rPr>
          <w:sz w:val="20"/>
          <w:szCs w:val="20"/>
          <w:color w:val="auto"/>
        </w:rPr>
      </w:pPr>
      <w:r>
        <w:rPr>
          <w:rFonts w:ascii="Arial" w:cs="Arial" w:eastAsia="Arial" w:hAnsi="Arial"/>
          <w:sz w:val="17"/>
          <w:szCs w:val="17"/>
          <w:color w:val="auto"/>
        </w:rPr>
        <w:t>At your request, we have examined the Registration Statement on Form S-1 (File Number 333-231700)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initially filed by Sutro Biopharma,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or about May 23, 2019, as subsequently amended on June 7, 2019, in connection with the registration under the Securities Act of 1933, as amended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of an aggregate of 7,705,000 shares of the Company’s Common Stock (the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w:t>
      </w:r>
    </w:p>
    <w:p>
      <w:pPr>
        <w:spacing w:after="0" w:line="177" w:lineRule="exact"/>
        <w:rPr>
          <w:sz w:val="20"/>
          <w:szCs w:val="20"/>
          <w:color w:val="auto"/>
        </w:rPr>
      </w:pPr>
    </w:p>
    <w:p>
      <w:pPr>
        <w:ind w:right="80" w:firstLine="435"/>
        <w:spacing w:after="0" w:line="266" w:lineRule="auto"/>
        <w:rPr>
          <w:sz w:val="20"/>
          <w:szCs w:val="20"/>
          <w:color w:val="auto"/>
        </w:rPr>
      </w:pPr>
      <w:r>
        <w:rPr>
          <w:rFonts w:ascii="Arial" w:cs="Arial" w:eastAsia="Arial" w:hAnsi="Arial"/>
          <w:sz w:val="17"/>
          <w:szCs w:val="17"/>
          <w:color w:val="auto"/>
        </w:rPr>
        <w:t>In connection with our opinion expressed below we have examined originals or copies of the underwriting agreement pursuant to which the Stock will be sold to the underwriters, the Registration Statement, the prospectus prepared in connection with the Registration Statement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the Company’s certificate of incorporation, as amended (the “</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and the Company’s bylaws, as amended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certain minutes and consents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or a committee or committees thereof and the Company’s stockholders relating to the Registration Statement, the Certificate and the Bylaws, and such other agreements, documents, certificates and statements of the Company, its transfer agent and public or government officials, as we have deemed advisable, and have examined such questions of law as we have considered necessary. In giving our opinion, we have also relied upon a good standing certificate regarding the Company issued by the Delaware Secretary of State and a management certificate addressed to us and dated of even date herewith executed by the Company containing certain factual representations by the Company.</w:t>
      </w:r>
    </w:p>
    <w:p>
      <w:pPr>
        <w:spacing w:after="0" w:line="184" w:lineRule="exact"/>
        <w:rPr>
          <w:sz w:val="20"/>
          <w:szCs w:val="20"/>
          <w:color w:val="auto"/>
        </w:rPr>
      </w:pPr>
    </w:p>
    <w:p>
      <w:pPr>
        <w:ind w:right="20" w:firstLine="435"/>
        <w:spacing w:after="0" w:line="254"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genuineness of all signatures on original documents, the authenticity and completeness of all documents submitted to us as originals, the conformity to originals and completeness of all documents submitted to us as copies, the legal capacity of all persons or entities executing the same (other than the Company), the lack of any undisclosed termination, modification, waiver or amendment to any document reviewed by us.</w:t>
      </w:r>
    </w:p>
    <w:p>
      <w:pPr>
        <w:spacing w:after="0" w:line="191" w:lineRule="exact"/>
        <w:rPr>
          <w:sz w:val="20"/>
          <w:szCs w:val="20"/>
          <w:color w:val="auto"/>
        </w:rPr>
      </w:pPr>
    </w:p>
    <w:p>
      <w:pPr>
        <w:ind w:right="20" w:firstLine="435"/>
        <w:spacing w:after="0" w:line="267" w:lineRule="auto"/>
        <w:rPr>
          <w:sz w:val="20"/>
          <w:szCs w:val="20"/>
          <w:color w:val="auto"/>
        </w:rPr>
      </w:pPr>
      <w:r>
        <w:rPr>
          <w:rFonts w:ascii="Arial" w:cs="Arial" w:eastAsia="Arial" w:hAnsi="Arial"/>
          <w:sz w:val="18"/>
          <w:szCs w:val="18"/>
          <w:color w:val="auto"/>
        </w:rPr>
        <w:t>We render this opinion only with respect to, and express no opinion herein concerning the application or effect of the laws of any jurisdiction other than, the existing Delaware General Corporation Law.</w:t>
      </w:r>
    </w:p>
    <w:p>
      <w:pPr>
        <w:spacing w:after="0" w:line="180" w:lineRule="exact"/>
        <w:rPr>
          <w:sz w:val="20"/>
          <w:szCs w:val="20"/>
          <w:color w:val="auto"/>
        </w:rPr>
      </w:pPr>
    </w:p>
    <w:p>
      <w:pPr>
        <w:ind w:right="60" w:firstLine="435"/>
        <w:spacing w:after="0" w:line="254" w:lineRule="auto"/>
        <w:rPr>
          <w:sz w:val="20"/>
          <w:szCs w:val="20"/>
          <w:color w:val="auto"/>
        </w:rPr>
      </w:pPr>
      <w:r>
        <w:rPr>
          <w:rFonts w:ascii="Arial" w:cs="Arial" w:eastAsia="Arial" w:hAnsi="Arial"/>
          <w:sz w:val="18"/>
          <w:szCs w:val="18"/>
          <w:color w:val="auto"/>
        </w:rPr>
        <w:t>In connection with our opinion expressed below, we have assumed that, at or prior to the time of the delivery of any shares of Stock, the Registration Statement will have been declared effective under the Securities Act that the registration will apply to the offer and sale of such shares of Stock and will not have been modified or rescinded and that there will not have occurred any change in law affecting the validity of the issuance of such shares of Stock.</w:t>
      </w:r>
    </w:p>
    <w:p>
      <w:pPr>
        <w:spacing w:after="0" w:line="191" w:lineRule="exact"/>
        <w:rPr>
          <w:sz w:val="20"/>
          <w:szCs w:val="20"/>
          <w:color w:val="auto"/>
        </w:rPr>
      </w:pPr>
    </w:p>
    <w:p>
      <w:pPr>
        <w:ind w:right="320" w:firstLine="435"/>
        <w:spacing w:after="0" w:line="304" w:lineRule="auto"/>
        <w:rPr>
          <w:sz w:val="20"/>
          <w:szCs w:val="20"/>
          <w:color w:val="auto"/>
        </w:rPr>
      </w:pPr>
      <w:r>
        <w:rPr>
          <w:rFonts w:ascii="Arial" w:cs="Arial" w:eastAsia="Arial" w:hAnsi="Arial"/>
          <w:sz w:val="16"/>
          <w:szCs w:val="16"/>
          <w:color w:val="auto"/>
        </w:rPr>
        <w:t>Based upon the foregoing, we are of the opinion that the up to 7,705,000 shares of Stock that may be issued and sold by the Company, when issued, sold and delivered in the manner and for the consideration stated in the Registration Statement and the Prospectus and in accordance with the resolutions adopted by the Board and to be adopted by the Pricing Committee of the Board, will be validly issued, fully paid and nonassessable.</w:t>
      </w:r>
    </w:p>
    <w:p>
      <w:pPr>
        <w:sectPr>
          <w:pgSz w:w="11900" w:h="16838" w:orient="portrait"/>
          <w:cols w:equalWidth="0" w:num="1">
            <w:col w:w="10880"/>
          </w:cols>
          <w:pgMar w:left="520" w:top="121" w:right="499" w:bottom="1440" w:gutter="0" w:footer="0" w:header="0"/>
        </w:sectPr>
      </w:pPr>
    </w:p>
    <w:bookmarkStart w:id="292" w:name="page293"/>
    <w:bookmarkEnd w:id="292"/>
    <w:p>
      <w:pPr>
        <w:ind w:right="640" w:firstLine="435"/>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We consent to the use of this opinion as an exhibit to the Registration Statement and further consent to all references to us, if any, in the Registration Statement, the Prospectus constituting a part thereof and any amendments thereto.</w:t>
      </w:r>
    </w:p>
    <w:p>
      <w:pPr>
        <w:spacing w:after="0" w:line="180" w:lineRule="exact"/>
        <w:rPr>
          <w:sz w:val="20"/>
          <w:szCs w:val="20"/>
          <w:color w:val="auto"/>
        </w:rPr>
      </w:pPr>
    </w:p>
    <w:p>
      <w:pPr>
        <w:ind w:firstLine="435"/>
        <w:spacing w:after="0" w:line="251" w:lineRule="auto"/>
        <w:rPr>
          <w:sz w:val="20"/>
          <w:szCs w:val="20"/>
          <w:color w:val="auto"/>
        </w:rPr>
      </w:pPr>
      <w:r>
        <w:rPr>
          <w:rFonts w:ascii="Arial" w:cs="Arial" w:eastAsia="Arial" w:hAnsi="Arial"/>
          <w:sz w:val="18"/>
          <w:szCs w:val="18"/>
          <w:color w:val="auto"/>
        </w:rPr>
        <w:t>This opinion is intended solely for use in connection with issuance and sale of shares of Stock subject to the Registration Statement and is not to be relied upon for any other purpose. This opinion is rendered as of the date first written above and is based solely on our understanding of facts in existence as of such date after the aforementioned examination. In rendering the opinions above, we are opining only as to the specific legal issues expressly set forth therein, and no opinion shall be inferred as to any other matter or matters.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2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Fenwick &amp; West LLP</w:t>
      </w:r>
    </w:p>
    <w:p>
      <w:pPr>
        <w:spacing w:after="0" w:line="214"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0700"/>
          </w:cols>
          <w:pgMar w:left="520" w:top="274" w:right="679" w:bottom="1440" w:gutter="0" w:footer="0" w:header="0"/>
        </w:sectPr>
      </w:pPr>
    </w:p>
    <w:bookmarkStart w:id="293" w:name="page294"/>
    <w:bookmarkEnd w:id="293"/>
    <w:p>
      <w:pPr>
        <w:ind w:left="9960"/>
        <w:spacing w:after="0"/>
        <w:rPr>
          <w:sz w:val="20"/>
          <w:szCs w:val="20"/>
          <w:color w:val="auto"/>
        </w:rPr>
      </w:pPr>
      <w:r>
        <w:rPr>
          <w:rFonts w:ascii="Arial" w:cs="Arial" w:eastAsia="Arial" w:hAnsi="Arial"/>
          <w:sz w:val="16"/>
          <w:szCs w:val="16"/>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6" w:lineRule="exact"/>
        <w:rPr>
          <w:sz w:val="20"/>
          <w:szCs w:val="20"/>
          <w:color w:val="auto"/>
        </w:rPr>
      </w:pPr>
    </w:p>
    <w:p>
      <w:pPr>
        <w:ind w:right="180" w:firstLine="870"/>
        <w:spacing w:after="0" w:line="253" w:lineRule="auto"/>
        <w:rPr>
          <w:sz w:val="20"/>
          <w:szCs w:val="20"/>
          <w:color w:val="auto"/>
        </w:rPr>
      </w:pPr>
      <w:r>
        <w:rPr>
          <w:rFonts w:ascii="Arial" w:cs="Arial" w:eastAsia="Arial" w:hAnsi="Arial"/>
          <w:sz w:val="18"/>
          <w:szCs w:val="18"/>
          <w:color w:val="auto"/>
        </w:rPr>
        <w:t>This Indemnity Agreement, dated as of , 2019 is made by and between Stoke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director, officer or key employee of the Company or one of the Company’s subsidiaries or other service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provider who satisfies the definition of Indemnifiable Person set forth below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6" w:lineRule="exact"/>
        <w:rPr>
          <w:sz w:val="20"/>
          <w:szCs w:val="20"/>
          <w:color w:val="auto"/>
        </w:rPr>
      </w:pPr>
    </w:p>
    <w:p>
      <w:pPr>
        <w:ind w:right="60" w:firstLine="864"/>
        <w:spacing w:after="0" w:line="304" w:lineRule="auto"/>
        <w:tabs>
          <w:tab w:leader="none" w:pos="121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54" w:lineRule="exact"/>
        <w:rPr>
          <w:rFonts w:ascii="Arial" w:cs="Arial" w:eastAsia="Arial" w:hAnsi="Arial"/>
          <w:sz w:val="16"/>
          <w:szCs w:val="16"/>
          <w:color w:val="auto"/>
        </w:rPr>
      </w:pPr>
    </w:p>
    <w:p>
      <w:pPr>
        <w:ind w:right="60" w:firstLine="864"/>
        <w:spacing w:after="0" w:line="291" w:lineRule="auto"/>
        <w:tabs>
          <w:tab w:leader="none" w:pos="120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members of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in connection with claims against such representatives in connection with their service to the Company and its Subsidiaries and Affiliates;</w:t>
      </w:r>
    </w:p>
    <w:p>
      <w:pPr>
        <w:spacing w:after="0" w:line="164" w:lineRule="exact"/>
        <w:rPr>
          <w:rFonts w:ascii="Arial" w:cs="Arial" w:eastAsia="Arial" w:hAnsi="Arial"/>
          <w:sz w:val="16"/>
          <w:szCs w:val="16"/>
          <w:color w:val="auto"/>
        </w:rPr>
      </w:pPr>
    </w:p>
    <w:p>
      <w:pPr>
        <w:ind w:right="180" w:firstLine="864"/>
        <w:spacing w:after="0" w:line="254" w:lineRule="auto"/>
        <w:tabs>
          <w:tab w:leader="none" w:pos="121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Section 145 of the Delaware General Corporation Law (“</w:t>
      </w:r>
      <w:r>
        <w:rPr>
          <w:rFonts w:ascii="Arial" w:cs="Arial" w:eastAsia="Arial" w:hAnsi="Arial"/>
          <w:sz w:val="18"/>
          <w:szCs w:val="18"/>
          <w:b w:val="1"/>
          <w:bCs w:val="1"/>
          <w:i w:val="1"/>
          <w:iCs w:val="1"/>
          <w:color w:val="auto"/>
        </w:rPr>
        <w:t>Section 145</w:t>
      </w:r>
      <w:r>
        <w:rPr>
          <w:rFonts w:ascii="Arial" w:cs="Arial" w:eastAsia="Arial" w:hAnsi="Arial"/>
          <w:sz w:val="18"/>
          <w:szCs w:val="18"/>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and expressly provides that the indemnification provided thereby is not exclusive; and</w:t>
      </w:r>
    </w:p>
    <w:p>
      <w:pPr>
        <w:spacing w:after="0" w:line="190" w:lineRule="exact"/>
        <w:rPr>
          <w:rFonts w:ascii="Arial" w:cs="Arial" w:eastAsia="Arial" w:hAnsi="Arial"/>
          <w:sz w:val="18"/>
          <w:szCs w:val="18"/>
          <w:color w:val="auto"/>
        </w:rPr>
      </w:pPr>
    </w:p>
    <w:p>
      <w:pPr>
        <w:ind w:right="200" w:firstLine="864"/>
        <w:spacing w:after="0" w:line="257" w:lineRule="auto"/>
        <w:tabs>
          <w:tab w:leader="none" w:pos="12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13" w:lineRule="exact"/>
        <w:rPr>
          <w:sz w:val="20"/>
          <w:szCs w:val="20"/>
          <w:color w:val="auto"/>
        </w:rPr>
      </w:pPr>
    </w:p>
    <w:p>
      <w:pPr>
        <w:ind w:left="740" w:hanging="312"/>
        <w:spacing w:after="0"/>
        <w:tabs>
          <w:tab w:leader="none" w:pos="74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864"/>
        <w:spacing w:after="0" w:line="270" w:lineRule="auto"/>
        <w:tabs>
          <w:tab w:leader="none" w:pos="1245" w:val="left"/>
        </w:tabs>
        <w:numPr>
          <w:ilvl w:val="1"/>
          <w:numId w:val="211"/>
        </w:numPr>
        <w:rPr>
          <w:rFonts w:ascii="Arial" w:cs="Arial" w:eastAsia="Arial" w:hAnsi="Arial"/>
          <w:sz w:val="17"/>
          <w:szCs w:val="17"/>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of the Company means any corporation, partnership, limited liability company, joint venture, trust or other enterprise in respect of which Indemnitee is or was or will be serving as a director, officer, 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pacing w:after="0" w:line="73" w:lineRule="exact"/>
        <w:rPr>
          <w:rFonts w:ascii="Arial" w:cs="Arial" w:eastAsia="Arial" w:hAnsi="Arial"/>
          <w:sz w:val="17"/>
          <w:szCs w:val="17"/>
          <w:color w:val="auto"/>
        </w:rPr>
      </w:pPr>
    </w:p>
    <w:p>
      <w:pPr>
        <w:ind w:right="140" w:firstLine="864"/>
        <w:spacing w:after="0" w:line="254" w:lineRule="auto"/>
        <w:tabs>
          <w:tab w:leader="none" w:pos="1255"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(i) any “person” (as such term is used in Sections 13(d) and 14(d) of the Securities Exchange Act of 1934, as amended), other than a Subsidiary or a trustee or other fiduciary holding securities under an employee benefit plan of the Company or Subsidiary, is or becomes the “Beneficial Owner” (as defined in Rule 13d-3 under said Act), directly or indirectly,</w:t>
      </w:r>
    </w:p>
    <w:p>
      <w:pPr>
        <w:sectPr>
          <w:pgSz w:w="11900" w:h="16838" w:orient="portrait"/>
          <w:cols w:equalWidth="0" w:num="1">
            <w:col w:w="10880"/>
          </w:cols>
          <w:pgMar w:left="520" w:top="121" w:right="499" w:bottom="1440" w:gutter="0" w:footer="0" w:header="0"/>
        </w:sectPr>
      </w:pPr>
    </w:p>
    <w:bookmarkStart w:id="294" w:name="page295"/>
    <w:bookmarkEnd w:id="294"/>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of securities of the Company representing 50% or more of the total voting power represented by the Company’s then outstanding capital stock or</w:t>
      </w:r>
    </w:p>
    <w:p>
      <w:pPr>
        <w:spacing w:after="0" w:line="40" w:lineRule="exact"/>
        <w:rPr>
          <w:sz w:val="20"/>
          <w:szCs w:val="20"/>
          <w:color w:val="auto"/>
        </w:rPr>
      </w:pPr>
    </w:p>
    <w:p>
      <w:pPr>
        <w:ind w:left="7" w:right="20" w:hanging="7"/>
        <w:spacing w:after="0" w:line="283" w:lineRule="auto"/>
        <w:tabs>
          <w:tab w:leader="none" w:pos="26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80% of the total voting power represented by the capital stock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63" w:lineRule="exact"/>
        <w:rPr>
          <w:rFonts w:ascii="Arial" w:cs="Arial" w:eastAsia="Arial" w:hAnsi="Arial"/>
          <w:sz w:val="16"/>
          <w:szCs w:val="16"/>
          <w:color w:val="auto"/>
        </w:rPr>
      </w:pPr>
    </w:p>
    <w:p>
      <w:pPr>
        <w:ind w:left="7" w:right="20" w:firstLine="864"/>
        <w:spacing w:after="0" w:line="252" w:lineRule="auto"/>
        <w:tabs>
          <w:tab w:leader="none" w:pos="1252"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means all direct and indirect costs of any type or nature whatsoever (including, without limitation, all attorneys’ fees and related disbursements, and other out-of-pocket costs), paid or incurred by Indemnitee in connection with either the investigation, defense or appeal of, or being a witness in, a Proceeding (as defined below), or establishing or enforcing a right to indemnification under this Agreement, Section 145 or otherwise; provided, however, that Expenses shall not include any judgments, fines, ERISA excise taxes or penalties or amounts paid in settlement of a Proceeding.</w:t>
      </w:r>
    </w:p>
    <w:p>
      <w:pPr>
        <w:spacing w:after="0" w:line="86" w:lineRule="exact"/>
        <w:rPr>
          <w:rFonts w:ascii="Arial" w:cs="Arial" w:eastAsia="Arial" w:hAnsi="Arial"/>
          <w:sz w:val="18"/>
          <w:szCs w:val="18"/>
          <w:color w:val="auto"/>
        </w:rPr>
      </w:pPr>
    </w:p>
    <w:p>
      <w:pPr>
        <w:ind w:left="7" w:right="40" w:firstLine="864"/>
        <w:spacing w:after="0" w:line="257" w:lineRule="auto"/>
        <w:tabs>
          <w:tab w:leader="none" w:pos="1262"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Indemnifiable Event</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Indemnifiable Event</w:t>
      </w:r>
      <w:r>
        <w:rPr>
          <w:rFonts w:ascii="Arial" w:cs="Arial" w:eastAsia="Arial" w:hAnsi="Arial"/>
          <w:sz w:val="18"/>
          <w:szCs w:val="18"/>
          <w:color w:val="auto"/>
        </w:rPr>
        <w: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81" w:lineRule="exact"/>
        <w:rPr>
          <w:rFonts w:ascii="Arial" w:cs="Arial" w:eastAsia="Arial" w:hAnsi="Arial"/>
          <w:sz w:val="18"/>
          <w:szCs w:val="18"/>
          <w:color w:val="auto"/>
        </w:rPr>
      </w:pPr>
    </w:p>
    <w:p>
      <w:pPr>
        <w:ind w:left="7" w:firstLine="864"/>
        <w:spacing w:after="0" w:line="304" w:lineRule="auto"/>
        <w:tabs>
          <w:tab w:leader="none" w:pos="1252" w:val="left"/>
        </w:tabs>
        <w:numPr>
          <w:ilvl w:val="2"/>
          <w:numId w:val="212"/>
        </w:numPr>
        <w:rPr>
          <w:rFonts w:ascii="Arial" w:cs="Arial" w:eastAsia="Arial" w:hAnsi="Arial"/>
          <w:sz w:val="16"/>
          <w:szCs w:val="16"/>
          <w:color w:val="auto"/>
        </w:rPr>
      </w:pPr>
      <w:r>
        <w:rPr>
          <w:rFonts w:ascii="Arial" w:cs="Arial" w:eastAsia="Arial" w:hAnsi="Arial"/>
          <w:sz w:val="16"/>
          <w:szCs w:val="16"/>
          <w:u w:val="single" w:color="auto"/>
          <w:color w:val="auto"/>
        </w:rPr>
        <w:t>Indemnifiable Person</w:t>
      </w:r>
      <w:r>
        <w:rPr>
          <w:rFonts w:ascii="Arial" w:cs="Arial" w:eastAsia="Arial" w:hAnsi="Arial"/>
          <w:sz w:val="16"/>
          <w:szCs w:val="16"/>
          <w:color w:val="auto"/>
        </w:rPr>
        <w:t>. For the purposes of this Agreement, “</w:t>
      </w:r>
      <w:r>
        <w:rPr>
          <w:rFonts w:ascii="Arial" w:cs="Arial" w:eastAsia="Arial" w:hAnsi="Arial"/>
          <w:sz w:val="16"/>
          <w:szCs w:val="16"/>
          <w:b w:val="1"/>
          <w:bCs w:val="1"/>
          <w:i w:val="1"/>
          <w:iCs w:val="1"/>
          <w:color w:val="auto"/>
        </w:rPr>
        <w:t>Indemnifiable Person</w:t>
      </w:r>
      <w:r>
        <w:rPr>
          <w:rFonts w:ascii="Arial" w:cs="Arial" w:eastAsia="Arial" w:hAnsi="Arial"/>
          <w:sz w:val="16"/>
          <w:szCs w:val="16"/>
          <w:color w:val="auto"/>
        </w:rPr>
        <w:t>” 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spacing w:after="0" w:line="47" w:lineRule="exact"/>
        <w:rPr>
          <w:rFonts w:ascii="Arial" w:cs="Arial" w:eastAsia="Arial" w:hAnsi="Arial"/>
          <w:sz w:val="16"/>
          <w:szCs w:val="16"/>
          <w:color w:val="auto"/>
        </w:rPr>
      </w:pPr>
    </w:p>
    <w:p>
      <w:pPr>
        <w:jc w:val="both"/>
        <w:ind w:left="7" w:firstLine="864"/>
        <w:spacing w:after="0" w:line="257" w:lineRule="auto"/>
        <w:tabs>
          <w:tab w:leader="none" w:pos="1232"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means legal counsel that has not performed services for the Company or Indemnitee in the five years preceding the time in question and that would not, under applicable standards of professional conduct, have a conflict of interest in representing either the Company or Indemnitee.</w:t>
      </w:r>
    </w:p>
    <w:p>
      <w:pPr>
        <w:spacing w:after="0" w:line="81" w:lineRule="exact"/>
        <w:rPr>
          <w:rFonts w:ascii="Arial" w:cs="Arial" w:eastAsia="Arial" w:hAnsi="Arial"/>
          <w:sz w:val="18"/>
          <w:szCs w:val="18"/>
          <w:color w:val="auto"/>
        </w:rPr>
      </w:pPr>
    </w:p>
    <w:p>
      <w:pPr>
        <w:ind w:left="7" w:firstLine="864"/>
        <w:spacing w:after="0" w:line="267" w:lineRule="auto"/>
        <w:tabs>
          <w:tab w:leader="none" w:pos="1262"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Independent Director</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member of the Board who is not a party to the Proceeding for which a claim is made under this Agreement.</w:t>
      </w:r>
    </w:p>
    <w:p>
      <w:pPr>
        <w:spacing w:after="0" w:line="72" w:lineRule="exact"/>
        <w:rPr>
          <w:rFonts w:ascii="Arial" w:cs="Arial" w:eastAsia="Arial" w:hAnsi="Arial"/>
          <w:sz w:val="18"/>
          <w:szCs w:val="18"/>
          <w:color w:val="auto"/>
        </w:rPr>
      </w:pPr>
    </w:p>
    <w:p>
      <w:pPr>
        <w:ind w:left="7" w:right="120" w:firstLine="864"/>
        <w:spacing w:after="0" w:line="254" w:lineRule="auto"/>
        <w:tabs>
          <w:tab w:leader="none" w:pos="1262"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Other Liabilities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Other Liabilities</w:t>
      </w:r>
      <w:r>
        <w:rPr>
          <w:rFonts w:ascii="Arial" w:cs="Arial" w:eastAsia="Arial" w:hAnsi="Arial"/>
          <w:sz w:val="18"/>
          <w:szCs w:val="18"/>
          <w:color w:val="auto"/>
        </w:rPr>
        <w:t>” means any and all liabilities of any type whatsoever (including, but not limited to, judgments, fines, penalties, ERISA (or other benefit plan related) excise taxes or penalties, and amounts paid in settlement and all interest, taxes, assessments and other charges paid or payable in connection with or in respect of any such judgments, fines, ERISA (or other benefit plan related) excise taxes or penalties, or amounts paid in settlement).</w:t>
      </w:r>
    </w:p>
    <w:p>
      <w:pPr>
        <w:spacing w:after="0" w:line="83" w:lineRule="exact"/>
        <w:rPr>
          <w:rFonts w:ascii="Arial" w:cs="Arial" w:eastAsia="Arial" w:hAnsi="Arial"/>
          <w:sz w:val="18"/>
          <w:szCs w:val="18"/>
          <w:color w:val="auto"/>
        </w:rPr>
      </w:pPr>
    </w:p>
    <w:p>
      <w:pPr>
        <w:ind w:left="7" w:right="280" w:firstLine="864"/>
        <w:spacing w:after="0" w:line="257" w:lineRule="auto"/>
        <w:tabs>
          <w:tab w:leader="none" w:pos="1222"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For the purposes of this Agreement,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threatened, pending, or completed action, suit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81" w:lineRule="exact"/>
        <w:rPr>
          <w:rFonts w:ascii="Arial" w:cs="Arial" w:eastAsia="Arial" w:hAnsi="Arial"/>
          <w:sz w:val="18"/>
          <w:szCs w:val="18"/>
          <w:color w:val="auto"/>
        </w:rPr>
      </w:pPr>
    </w:p>
    <w:p>
      <w:pPr>
        <w:ind w:left="7" w:right="640" w:firstLine="864"/>
        <w:spacing w:after="0" w:line="267" w:lineRule="auto"/>
        <w:tabs>
          <w:tab w:leader="none" w:pos="1222"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of which more than 50% of the outstanding voting securities is owned directly or indirectly by the Company.</w:t>
      </w:r>
    </w:p>
    <w:p>
      <w:pPr>
        <w:spacing w:after="0" w:line="72" w:lineRule="exact"/>
        <w:rPr>
          <w:rFonts w:ascii="Arial" w:cs="Arial" w:eastAsia="Arial" w:hAnsi="Arial"/>
          <w:sz w:val="18"/>
          <w:szCs w:val="18"/>
          <w:color w:val="auto"/>
        </w:rPr>
      </w:pPr>
    </w:p>
    <w:p>
      <w:pPr>
        <w:ind w:left="7" w:right="100" w:firstLine="428"/>
        <w:spacing w:after="0" w:line="270" w:lineRule="auto"/>
        <w:tabs>
          <w:tab w:leader="none" w:pos="752" w:val="left"/>
        </w:tabs>
        <w:numPr>
          <w:ilvl w:val="1"/>
          <w:numId w:val="212"/>
        </w:numPr>
        <w:rPr>
          <w:rFonts w:ascii="Arial" w:cs="Arial" w:eastAsia="Arial" w:hAnsi="Arial"/>
          <w:sz w:val="17"/>
          <w:szCs w:val="17"/>
          <w:color w:val="auto"/>
        </w:rPr>
      </w:pPr>
      <w:r>
        <w:rPr>
          <w:rFonts w:ascii="Arial" w:cs="Arial" w:eastAsia="Arial" w:hAnsi="Arial"/>
          <w:sz w:val="17"/>
          <w:szCs w:val="17"/>
          <w:u w:val="single" w:color="auto"/>
          <w:color w:val="auto"/>
        </w:rPr>
        <w:t>Agreement to Serve</w:t>
      </w:r>
      <w:r>
        <w:rPr>
          <w:rFonts w:ascii="Arial" w:cs="Arial" w:eastAsia="Arial" w:hAnsi="Arial"/>
          <w:sz w:val="17"/>
          <w:szCs w:val="17"/>
          <w:color w:val="auto"/>
        </w:rPr>
        <w:t>. The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Nothing contained in this Agreement is intended to create any right to continued employment or other form of service for the Company or a Subsidiary or Affiliate of the Company by Indemnitee.</w:t>
      </w:r>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7"/>
          </w:cols>
          <w:pgMar w:left="513" w:top="273" w:right="519" w:bottom="1440" w:gutter="0" w:footer="0" w:header="0"/>
        </w:sectPr>
      </w:pPr>
    </w:p>
    <w:bookmarkStart w:id="295" w:name="page296"/>
    <w:bookmarkEnd w:id="295"/>
    <w:p>
      <w:pPr>
        <w:ind w:left="747" w:hanging="312"/>
        <w:spacing w:after="0"/>
        <w:tabs>
          <w:tab w:leader="none" w:pos="747"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Mandatory Indemnification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7" w:right="40" w:firstLine="864"/>
        <w:spacing w:after="0" w:line="251" w:lineRule="auto"/>
        <w:tabs>
          <w:tab w:leader="none" w:pos="1252" w:val="left"/>
        </w:tabs>
        <w:numPr>
          <w:ilvl w:val="2"/>
          <w:numId w:val="213"/>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not prohibited by the provisions of the Company’s Bylaws and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as the same may be amended from time to time (but only to the extent that such amendment permits the Company to provide broader indemnification rights than the Bylaws or the DGCL permitted prior to the adoption of such amendment).</w:t>
      </w:r>
    </w:p>
    <w:p>
      <w:pPr>
        <w:spacing w:after="0" w:line="87" w:lineRule="exact"/>
        <w:rPr>
          <w:rFonts w:ascii="Arial" w:cs="Arial" w:eastAsia="Arial" w:hAnsi="Arial"/>
          <w:sz w:val="18"/>
          <w:szCs w:val="18"/>
          <w:color w:val="auto"/>
        </w:rPr>
      </w:pPr>
    </w:p>
    <w:p>
      <w:pPr>
        <w:ind w:left="7" w:right="80" w:firstLine="864"/>
        <w:spacing w:after="0" w:line="288" w:lineRule="auto"/>
        <w:tabs>
          <w:tab w:leader="none" w:pos="1262" w:val="left"/>
        </w:tabs>
        <w:numPr>
          <w:ilvl w:val="2"/>
          <w:numId w:val="213"/>
        </w:numPr>
        <w:rPr>
          <w:rFonts w:ascii="Arial" w:cs="Arial" w:eastAsia="Arial" w:hAnsi="Arial"/>
          <w:sz w:val="16"/>
          <w:szCs w:val="16"/>
          <w:color w:val="auto"/>
        </w:rPr>
      </w:pPr>
      <w:r>
        <w:rPr>
          <w:rFonts w:ascii="Arial" w:cs="Arial" w:eastAsia="Arial" w:hAnsi="Arial"/>
          <w:sz w:val="16"/>
          <w:szCs w:val="16"/>
          <w:u w:val="single" w:color="auto"/>
          <w:color w:val="auto"/>
        </w:rPr>
        <w:t>Exception for Amounts Covered by Insurance and Other Sources</w:t>
      </w:r>
      <w:r>
        <w:rPr>
          <w:rFonts w:ascii="Arial" w:cs="Arial" w:eastAsia="Arial" w:hAnsi="Arial"/>
          <w:sz w:val="16"/>
          <w:szCs w:val="16"/>
          <w:color w:val="auto"/>
        </w:rPr>
        <w:t xml:space="preserve">. Notwithstanding the foregoing, the Company shall not be obligated to indemnify Indemnitee for Expenses or Other Liabilities of any type whatsoever (including, but not limited to judgments, fines, penalties, ERISA excise taxes or penalties and amounts paid in settlement) to the extent such have been paid directly to Indemnitee (or paid directly to a third party on Indemnitee’s behalf) by any directors and officers, or other type, of insurance maintained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62" w:lineRule="exact"/>
        <w:rPr>
          <w:rFonts w:ascii="Arial" w:cs="Arial" w:eastAsia="Arial" w:hAnsi="Arial"/>
          <w:sz w:val="16"/>
          <w:szCs w:val="16"/>
          <w:color w:val="auto"/>
        </w:rPr>
      </w:pPr>
    </w:p>
    <w:p>
      <w:pPr>
        <w:ind w:left="7" w:right="60" w:firstLine="864"/>
        <w:spacing w:after="0" w:line="284" w:lineRule="auto"/>
        <w:tabs>
          <w:tab w:leader="none" w:pos="1252" w:val="left"/>
        </w:tabs>
        <w:numPr>
          <w:ilvl w:val="2"/>
          <w:numId w:val="213"/>
        </w:numPr>
        <w:rPr>
          <w:rFonts w:ascii="Arial" w:cs="Arial" w:eastAsia="Arial" w:hAnsi="Arial"/>
          <w:sz w:val="16"/>
          <w:szCs w:val="16"/>
          <w:color w:val="auto"/>
        </w:rPr>
      </w:pPr>
      <w:r>
        <w:rPr>
          <w:rFonts w:ascii="Arial" w:cs="Arial" w:eastAsia="Arial" w:hAnsi="Arial"/>
          <w:sz w:val="16"/>
          <w:szCs w:val="16"/>
          <w:u w:val="single" w:color="auto"/>
          <w:color w:val="auto"/>
        </w:rPr>
        <w:t>Company Obligations Primary</w:t>
      </w:r>
      <w:r>
        <w:rPr>
          <w:rFonts w:ascii="Arial" w:cs="Arial" w:eastAsia="Arial" w:hAnsi="Arial"/>
          <w:sz w:val="16"/>
          <w:szCs w:val="16"/>
          <w:color w:val="auto"/>
        </w:rPr>
        <w:t>. The Company hereby acknowledges that Indemnitee may have rights to indemnification for Expenses and Other Liabilities provided by a venture capital firm or other sponsoring organization (“</w:t>
      </w:r>
      <w:r>
        <w:rPr>
          <w:rFonts w:ascii="Arial" w:cs="Arial" w:eastAsia="Arial" w:hAnsi="Arial"/>
          <w:sz w:val="16"/>
          <w:szCs w:val="16"/>
          <w:b w:val="1"/>
          <w:bCs w:val="1"/>
          <w:i w:val="1"/>
          <w:iCs w:val="1"/>
          <w:color w:val="auto"/>
        </w:rPr>
        <w:t>Other Indemnitor</w:t>
      </w:r>
      <w:r>
        <w:rPr>
          <w:rFonts w:ascii="Arial" w:cs="Arial" w:eastAsia="Arial" w:hAnsi="Arial"/>
          <w:sz w:val="16"/>
          <w:szCs w:val="16"/>
          <w:color w:val="auto"/>
        </w:rPr>
        <w:t>”). The Company agrees with Indemnitee that the Company is the indemnitor of first resort of Indemnitee with respect to matters for which indemnification is provided under this Agreement and that the Company will be obligated to make all payments due to or for the benefit of Indemnitee under this Agreement without regard to any rights that Indemnitee may have against the Other Indemnitor. The Company hereby waives any equitable rights to contribution or indemnification from the Other Indemnitor in respect of any amounts paid to indemnitee hereunder. The Company further agrees that no reimbursement of Other Liabilities or payment of Expenses by the Other Indemnitor to or for the benefit of Indemnitee shall affect the obligations of the Company hereunder, and that the Company shall be obligated to repay the Other Indemnitor for all amounts so paid or reimbursed to the extent that the Company has an obligation to indemnify Indemnitee for such Expenses or Other Liabilities hereunder.</w:t>
      </w:r>
    </w:p>
    <w:p>
      <w:pPr>
        <w:spacing w:after="0" w:line="67" w:lineRule="exact"/>
        <w:rPr>
          <w:rFonts w:ascii="Arial" w:cs="Arial" w:eastAsia="Arial" w:hAnsi="Arial"/>
          <w:sz w:val="16"/>
          <w:szCs w:val="16"/>
          <w:color w:val="auto"/>
        </w:rPr>
      </w:pPr>
    </w:p>
    <w:p>
      <w:pPr>
        <w:ind w:left="7" w:firstLine="428"/>
        <w:spacing w:after="0" w:line="269" w:lineRule="auto"/>
        <w:tabs>
          <w:tab w:leader="none" w:pos="752" w:val="left"/>
        </w:tabs>
        <w:numPr>
          <w:ilvl w:val="1"/>
          <w:numId w:val="213"/>
        </w:numPr>
        <w:rPr>
          <w:rFonts w:ascii="Arial" w:cs="Arial" w:eastAsia="Arial" w:hAnsi="Arial"/>
          <w:sz w:val="17"/>
          <w:szCs w:val="17"/>
          <w:color w:val="auto"/>
        </w:rPr>
      </w:pPr>
      <w:r>
        <w:rPr>
          <w:rFonts w:ascii="Arial" w:cs="Arial" w:eastAsia="Arial" w:hAnsi="Arial"/>
          <w:sz w:val="17"/>
          <w:szCs w:val="17"/>
          <w:u w:val="single" w:color="auto"/>
          <w:color w:val="auto"/>
        </w:rPr>
        <w:t>Partial Indemnification</w:t>
      </w:r>
      <w:r>
        <w:rPr>
          <w:rFonts w:ascii="Arial" w:cs="Arial" w:eastAsia="Arial" w:hAnsi="Arial"/>
          <w:sz w:val="17"/>
          <w:szCs w:val="17"/>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the provisions of the Company’s Bylaws or the DGCL.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72" w:lineRule="exact"/>
        <w:rPr>
          <w:rFonts w:ascii="Arial" w:cs="Arial" w:eastAsia="Arial" w:hAnsi="Arial"/>
          <w:sz w:val="17"/>
          <w:szCs w:val="17"/>
          <w:color w:val="auto"/>
        </w:rPr>
      </w:pPr>
    </w:p>
    <w:p>
      <w:pPr>
        <w:ind w:left="7" w:right="20" w:firstLine="428"/>
        <w:spacing w:after="0" w:line="283" w:lineRule="auto"/>
        <w:tabs>
          <w:tab w:leader="none" w:pos="752"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Liability Insurance</w:t>
      </w:r>
      <w:r>
        <w:rPr>
          <w:rFonts w:ascii="Arial" w:cs="Arial" w:eastAsia="Arial" w:hAnsi="Arial"/>
          <w:sz w:val="16"/>
          <w:szCs w:val="16"/>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w:t>
      </w:r>
    </w:p>
    <w:p>
      <w:pPr>
        <w:ind w:left="7" w:right="180" w:hanging="7"/>
        <w:spacing w:after="0" w:line="283" w:lineRule="auto"/>
        <w:tabs>
          <w:tab w:leader="none" w:pos="21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replacement or substitute policies issued by one or more reputable insurers providing in all respects coverage at least comparable to and in the same amount as that being 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 In the event of a Change in Control subsequent to the date of this Agreement, or the Company’s becoming insolvent, including being placed into receivership or entering the federal bankruptcy process,</w:t>
      </w:r>
    </w:p>
    <w:p>
      <w:pPr>
        <w:spacing w:after="0" w:line="10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7"/>
          </w:cols>
          <w:pgMar w:left="513" w:top="274" w:right="519" w:bottom="1440" w:gutter="0" w:footer="0" w:header="0"/>
        </w:sectPr>
      </w:pPr>
    </w:p>
    <w:bookmarkStart w:id="296" w:name="page297"/>
    <w:bookmarkEnd w:id="296"/>
    <w:p>
      <w:pPr>
        <w:ind w:left="7"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the Company shall maintain in force any and all insurance policies then maintained by the Company in providing insurance—directors’ and officers’ liability, fiduciary, employment practices or otherwise—in respect of the individual directors and officers of the Company, for a fixed period of six years thereafter. Such coverage shall be non-cancelable and shall be placed and serviced by the Company’s incumbent insurance broker or a broker selected by a majority of the Independent Directors.</w:t>
      </w:r>
    </w:p>
    <w:p>
      <w:pPr>
        <w:spacing w:after="0" w:line="84" w:lineRule="exact"/>
        <w:rPr>
          <w:sz w:val="20"/>
          <w:szCs w:val="20"/>
          <w:color w:val="auto"/>
        </w:rPr>
      </w:pPr>
    </w:p>
    <w:p>
      <w:pPr>
        <w:jc w:val="both"/>
        <w:ind w:left="7" w:right="20" w:firstLine="428"/>
        <w:spacing w:after="0" w:line="285" w:lineRule="auto"/>
        <w:tabs>
          <w:tab w:leader="none" w:pos="752"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Mandatory Advancement of Expenses</w:t>
      </w:r>
      <w:r>
        <w:rPr>
          <w:rFonts w:ascii="Arial" w:cs="Arial" w:eastAsia="Arial" w:hAnsi="Arial"/>
          <w:sz w:val="16"/>
          <w:szCs w:val="16"/>
          <w:color w:val="auto"/>
        </w:rPr>
        <w:t>. If requested by Indemnitee, the Company shall advance prior to the final disposition of the Proceeding all Expenses reasonably incurred by Indemnitee in connection with (including in preparation for) a Proceeding related to an Indemnifiable Event within</w:t>
      </w:r>
    </w:p>
    <w:p>
      <w:pPr>
        <w:ind w:left="7" w:right="80" w:hanging="7"/>
        <w:spacing w:after="0" w:line="264" w:lineRule="auto"/>
        <w:tabs>
          <w:tab w:leader="none" w:pos="347" w:val="left"/>
        </w:tabs>
        <w:numPr>
          <w:ilvl w:val="0"/>
          <w:numId w:val="216"/>
        </w:numPr>
        <w:rPr>
          <w:rFonts w:ascii="Arial" w:cs="Arial" w:eastAsia="Arial" w:hAnsi="Arial"/>
          <w:sz w:val="17"/>
          <w:szCs w:val="17"/>
          <w:color w:val="auto"/>
        </w:rPr>
      </w:pPr>
      <w:r>
        <w:rPr>
          <w:rFonts w:ascii="Arial" w:cs="Arial" w:eastAsia="Arial" w:hAnsi="Arial"/>
          <w:sz w:val="17"/>
          <w:szCs w:val="17"/>
          <w:color w:val="auto"/>
        </w:rPr>
        <w:t>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right to advances under this section shall in all events continue until final disposition of any Proceeding, including any appeal therein. Indemnitee hereby undertakes to repay such amounts advanced if, and only if and to the extent that, it shall ultimately be determined that Indemnitee is not entitled to be indemnified by the Company under the provisions of this Agreement, the Company’s Bylaws or the DGCL, and no additional form of undertaking with respect to such obligation to repay shall be required. Indemnitee’s undertaking to repay any Expenses advanced to Indemnitee hereunder shall be unsecured and shall not be subject to the accrual or payment of any interest thereon. In the event that Indemnitee’s request for the advancement of expenses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w:t>
      </w:r>
    </w:p>
    <w:p>
      <w:pPr>
        <w:spacing w:after="0" w:line="79" w:lineRule="exact"/>
        <w:rPr>
          <w:rFonts w:ascii="Arial" w:cs="Arial" w:eastAsia="Arial" w:hAnsi="Arial"/>
          <w:sz w:val="17"/>
          <w:szCs w:val="17"/>
          <w:color w:val="auto"/>
        </w:rPr>
      </w:pPr>
    </w:p>
    <w:p>
      <w:pPr>
        <w:ind w:left="747" w:hanging="312"/>
        <w:spacing w:after="0"/>
        <w:tabs>
          <w:tab w:leader="none" w:pos="747"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Notice and Other Indemnification Procedures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7" w:right="140" w:firstLine="864"/>
        <w:spacing w:after="0" w:line="251" w:lineRule="auto"/>
        <w:tabs>
          <w:tab w:leader="none" w:pos="1252"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Promptly after receipt by Indemnitee of notice of the commencement of or the threat of commencement of any Proceeding, unless the Company is a named co-defendant with Indemnitee, Indemnitee shall, if Indemnitee believes that indemnification or advancement of Expenses with respect thereto may be sought from the Company under this Agreement, notify the Company of the commencement or threat of commencement thereof. However, a failure so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w:t>
      </w:r>
    </w:p>
    <w:p>
      <w:pPr>
        <w:spacing w:after="0" w:line="87" w:lineRule="exact"/>
        <w:rPr>
          <w:rFonts w:ascii="Arial" w:cs="Arial" w:eastAsia="Arial" w:hAnsi="Arial"/>
          <w:sz w:val="18"/>
          <w:szCs w:val="18"/>
          <w:color w:val="auto"/>
        </w:rPr>
      </w:pPr>
    </w:p>
    <w:p>
      <w:pPr>
        <w:ind w:left="7" w:firstLine="864"/>
        <w:spacing w:after="0" w:line="251" w:lineRule="auto"/>
        <w:tabs>
          <w:tab w:leader="none" w:pos="1262"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Insurance and Other Matters</w:t>
      </w:r>
      <w:r>
        <w:rPr>
          <w:rFonts w:ascii="Arial" w:cs="Arial" w:eastAsia="Arial" w:hAnsi="Arial"/>
          <w:sz w:val="18"/>
          <w:szCs w:val="18"/>
          <w:color w:val="auto"/>
        </w:rPr>
        <w:t>. If, at the time of the receipt of a notice of the commencement of a Proceeding pursuant to Section 7(a) above, the Company has director and officer liability insurance in effect, the Company shall give prompt notice of the commencement of such Proceeding to the issuers in accordance with the procedures set forth in the respective policies. The Company shall thereafter take all reasonable action to cause such insurers to pay, on behalf of Indemnitee, all amounts payable as a result of such Proceeding in accordance with the terms of such insurance policies. In addition, the Company will instruct the insurers and the Company’s insurance broker that they may communicate directly with Indemnitee regarding such claim.</w:t>
      </w:r>
    </w:p>
    <w:p>
      <w:pPr>
        <w:spacing w:after="0" w:line="88" w:lineRule="exact"/>
        <w:rPr>
          <w:rFonts w:ascii="Arial" w:cs="Arial" w:eastAsia="Arial" w:hAnsi="Arial"/>
          <w:sz w:val="18"/>
          <w:szCs w:val="18"/>
          <w:color w:val="auto"/>
        </w:rPr>
      </w:pPr>
    </w:p>
    <w:p>
      <w:pPr>
        <w:ind w:left="7" w:firstLine="864"/>
        <w:spacing w:after="0" w:line="282" w:lineRule="auto"/>
        <w:tabs>
          <w:tab w:leader="none" w:pos="1252" w:val="left"/>
        </w:tabs>
        <w:numPr>
          <w:ilvl w:val="2"/>
          <w:numId w:val="216"/>
        </w:numPr>
        <w:rPr>
          <w:rFonts w:ascii="Arial" w:cs="Arial" w:eastAsia="Arial" w:hAnsi="Arial"/>
          <w:sz w:val="16"/>
          <w:szCs w:val="16"/>
          <w:color w:val="auto"/>
        </w:rPr>
      </w:pPr>
      <w:r>
        <w:rPr>
          <w:rFonts w:ascii="Arial" w:cs="Arial" w:eastAsia="Arial" w:hAnsi="Arial"/>
          <w:sz w:val="16"/>
          <w:szCs w:val="16"/>
          <w:u w:val="single" w:color="auto"/>
          <w:color w:val="auto"/>
        </w:rPr>
        <w:t>Assumption of Defense</w:t>
      </w:r>
      <w:r>
        <w:rPr>
          <w:rFonts w:ascii="Arial" w:cs="Arial" w:eastAsia="Arial" w:hAnsi="Arial"/>
          <w:sz w:val="16"/>
          <w:szCs w:val="16"/>
          <w:color w:val="auto"/>
        </w:rPr>
        <w:t>. In the event the Company shall be obligated to advance the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of counsel designated by the Company and the retention of such counsel by the Company, the Company will not be liable to Indemnitee under this Agreement for any fees and expenses of counsel subsequently incurred by Indemnitee with respect to the same Proceeding. If (A) the employment of counsel by Indemnitee has been previously authorized by the Company, (B) Indemnitee shall have notified the Board in writing that Indemnitee has reasonably concluded that there may be a conflict of interest between the Company and Indemnitee in the conduct of any such defense, (C) the Company fails to employ counsel to assume the defense of such Proceeding, or (D) after a Change in Control, the employment of counsel by Indemnitee has been approved by the Independent Counsel, the Expenses related to work conducted by Indemnitee’s counsel shall be subject to indemnification and/or advancement pursuant to the terms of this Agreement. Nothing herein shall prevent Indemnitee from employing counsel for any such Proceeding at Indemnitee’s expense. Indemnitee agrees that any such separate counsel retained by Indemnitee will be a member of any approved list of panel counsel under the Company’s applicable directors’ and officers’ insurance policy, should the applicable policy provide for a panel of approved counsel.</w:t>
      </w:r>
    </w:p>
    <w:p>
      <w:pPr>
        <w:spacing w:after="0" w:line="10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7"/>
          </w:cols>
          <w:pgMar w:left="513" w:top="274" w:right="519" w:bottom="1440" w:gutter="0" w:footer="0" w:header="0"/>
        </w:sectPr>
      </w:pPr>
    </w:p>
    <w:bookmarkStart w:id="297" w:name="page298"/>
    <w:bookmarkEnd w:id="297"/>
    <w:p>
      <w:pPr>
        <w:ind w:firstLine="864"/>
        <w:spacing w:after="0" w:line="282" w:lineRule="auto"/>
        <w:tabs>
          <w:tab w:leader="none" w:pos="1255"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Settlement</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subsequent to the date of this Agreement, the Company shall be liable for indemnification of Indemnitee for amounts paid in settlement if the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consent from any settlement of any Proceeding. The Company shall promptly notify Indemnitee upon the Company’s receipt of an offer to settle, or if the Company makes an offer to settle, any Proceeding, and provide Indemnitee with a reasonable amount of time to consider such settlement, in the case of any such settlement for which the consent of Indemnitee would be required hereunder. The Company shall not, on its own behalf, settle any part of any Proceeding to which Indemnitee is a party with respect to other parties (including the Company) without the written consent of Indemnitee if any portion of the settlement is to be funded from insurance proceeds unless approved by a majority of the Independent Directors, provided that this sentence shall cease to be of any force and effect if it has been determined in accordance with this Agreement that Indemnitee is not entitled to indemnification hereunder with respect to such Proceeding or if the Company’s obligations hereunder to Indemnitee with respect to such Proceeding have been fully discharged.</w:t>
      </w:r>
    </w:p>
    <w:p>
      <w:pPr>
        <w:spacing w:after="0" w:line="69" w:lineRule="exact"/>
        <w:rPr>
          <w:rFonts w:ascii="Arial" w:cs="Arial" w:eastAsia="Arial" w:hAnsi="Arial"/>
          <w:sz w:val="16"/>
          <w:szCs w:val="16"/>
          <w:color w:val="auto"/>
        </w:rPr>
      </w:pPr>
    </w:p>
    <w:p>
      <w:pPr>
        <w:ind w:left="740" w:hanging="312"/>
        <w:spacing w:after="0"/>
        <w:tabs>
          <w:tab w:leader="none" w:pos="74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120" w:firstLine="864"/>
        <w:spacing w:after="0" w:line="257" w:lineRule="auto"/>
        <w:tabs>
          <w:tab w:leader="none" w:pos="1245"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Success on the Merits or Otherwise</w:t>
      </w:r>
      <w:r>
        <w:rPr>
          <w:rFonts w:ascii="Arial" w:cs="Arial" w:eastAsia="Arial" w:hAnsi="Arial"/>
          <w:sz w:val="18"/>
          <w:szCs w:val="18"/>
          <w:color w:val="auto"/>
        </w:rPr>
        <w:t>. To the extent that Indemnitee has been successful on the merits or otherwise in defense of any Proceeding referred to in Section 3(a) above or in the defense of any claim, issue or matter described therein, the Company shall indemnify Indemnitee against Expenses actually and reasonably incurred in connection therewith.</w:t>
      </w:r>
    </w:p>
    <w:p>
      <w:pPr>
        <w:spacing w:after="0" w:line="81" w:lineRule="exact"/>
        <w:rPr>
          <w:rFonts w:ascii="Arial" w:cs="Arial" w:eastAsia="Arial" w:hAnsi="Arial"/>
          <w:sz w:val="18"/>
          <w:szCs w:val="18"/>
          <w:color w:val="auto"/>
        </w:rPr>
      </w:pPr>
    </w:p>
    <w:p>
      <w:pPr>
        <w:ind w:right="340" w:firstLine="864"/>
        <w:spacing w:after="0" w:line="267" w:lineRule="auto"/>
        <w:tabs>
          <w:tab w:leader="none" w:pos="1255"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Indemnification in Other Situations</w:t>
      </w:r>
      <w:r>
        <w:rPr>
          <w:rFonts w:ascii="Arial" w:cs="Arial" w:eastAsia="Arial" w:hAnsi="Arial"/>
          <w:sz w:val="18"/>
          <w:szCs w:val="18"/>
          <w:color w:val="auto"/>
        </w:rPr>
        <w:t>. In the event that Section 8(a) is inapplicable, the Company shall also indemnify Indemnitee if Indemnitee has not failed to meet the applicable standard of conduct for indemnification.</w:t>
      </w:r>
    </w:p>
    <w:p>
      <w:pPr>
        <w:spacing w:after="0" w:line="72" w:lineRule="exact"/>
        <w:rPr>
          <w:rFonts w:ascii="Arial" w:cs="Arial" w:eastAsia="Arial" w:hAnsi="Arial"/>
          <w:sz w:val="18"/>
          <w:szCs w:val="18"/>
          <w:color w:val="auto"/>
        </w:rPr>
      </w:pPr>
    </w:p>
    <w:p>
      <w:pPr>
        <w:ind w:right="280" w:firstLine="864"/>
        <w:spacing w:after="0" w:line="267" w:lineRule="auto"/>
        <w:tabs>
          <w:tab w:leader="none" w:pos="1245"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Forum</w:t>
      </w:r>
      <w:r>
        <w:rPr>
          <w:rFonts w:ascii="Arial" w:cs="Arial" w:eastAsia="Arial" w:hAnsi="Arial"/>
          <w:sz w:val="18"/>
          <w:szCs w:val="18"/>
          <w:color w:val="auto"/>
        </w:rPr>
        <w:t>. Indemnitee shall be entitled to select the forum in which determination of whether or not Indemnitee has met the applicable standard of conduct shall be decided, and such election will be made from among the following:</w:t>
      </w:r>
    </w:p>
    <w:p>
      <w:pPr>
        <w:spacing w:after="0" w:line="72" w:lineRule="exact"/>
        <w:rPr>
          <w:rFonts w:ascii="Arial" w:cs="Arial" w:eastAsia="Arial" w:hAnsi="Arial"/>
          <w:sz w:val="18"/>
          <w:szCs w:val="18"/>
          <w:color w:val="auto"/>
        </w:rPr>
      </w:pPr>
    </w:p>
    <w:p>
      <w:pPr>
        <w:ind w:left="1700" w:hanging="292"/>
        <w:spacing w:after="0"/>
        <w:tabs>
          <w:tab w:leader="none" w:pos="170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Those members of the Board who are Independent Directors even though less than a quorum;</w:t>
      </w:r>
    </w:p>
    <w:p>
      <w:pPr>
        <w:spacing w:after="0" w:line="113" w:lineRule="exact"/>
        <w:rPr>
          <w:rFonts w:ascii="Arial" w:cs="Arial" w:eastAsia="Arial" w:hAnsi="Arial"/>
          <w:sz w:val="18"/>
          <w:szCs w:val="18"/>
          <w:color w:val="auto"/>
        </w:rPr>
      </w:pPr>
    </w:p>
    <w:p>
      <w:pPr>
        <w:ind w:left="1700" w:hanging="292"/>
        <w:spacing w:after="0"/>
        <w:tabs>
          <w:tab w:leader="none" w:pos="1700" w:val="left"/>
        </w:tabs>
        <w:numPr>
          <w:ilvl w:val="2"/>
          <w:numId w:val="218"/>
        </w:numPr>
        <w:rPr>
          <w:rFonts w:ascii="Arial" w:cs="Arial" w:eastAsia="Arial" w:hAnsi="Arial"/>
          <w:sz w:val="16"/>
          <w:szCs w:val="16"/>
          <w:color w:val="auto"/>
        </w:rPr>
      </w:pPr>
      <w:r>
        <w:rPr>
          <w:rFonts w:ascii="Arial" w:cs="Arial" w:eastAsia="Arial" w:hAnsi="Arial"/>
          <w:sz w:val="16"/>
          <w:szCs w:val="16"/>
          <w:color w:val="auto"/>
        </w:rPr>
        <w:t>A committee of Independent Directors designated by a majority vote of Independent Directors, even though less than a quorum;</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right="260" w:firstLine="1408"/>
        <w:spacing w:after="0" w:line="267" w:lineRule="auto"/>
        <w:tabs>
          <w:tab w:leader="none" w:pos="1716" w:val="left"/>
        </w:tabs>
        <w:numPr>
          <w:ilvl w:val="2"/>
          <w:numId w:val="218"/>
        </w:numPr>
        <w:rPr>
          <w:rFonts w:ascii="Arial" w:cs="Arial" w:eastAsia="Arial" w:hAnsi="Arial"/>
          <w:sz w:val="18"/>
          <w:szCs w:val="18"/>
          <w:color w:val="auto"/>
        </w:rPr>
      </w:pPr>
      <w:r>
        <w:rPr>
          <w:rFonts w:ascii="Arial" w:cs="Arial" w:eastAsia="Arial" w:hAnsi="Arial"/>
          <w:sz w:val="18"/>
          <w:szCs w:val="18"/>
          <w:color w:val="auto"/>
        </w:rPr>
        <w:t>Independent Counsel selected by Indemnitee and approved by the Board, which approval may not be unreasonably withheld, which counsel shall make such determination in a written opinion.</w:t>
      </w:r>
    </w:p>
    <w:p>
      <w:pPr>
        <w:spacing w:after="0" w:line="73" w:lineRule="exact"/>
        <w:rPr>
          <w:sz w:val="20"/>
          <w:szCs w:val="20"/>
          <w:color w:val="auto"/>
        </w:rPr>
      </w:pPr>
    </w:p>
    <w:p>
      <w:pPr>
        <w:ind w:right="80" w:firstLine="1415"/>
        <w:spacing w:after="0" w:line="257" w:lineRule="auto"/>
        <w:rPr>
          <w:sz w:val="20"/>
          <w:szCs w:val="20"/>
          <w:color w:val="auto"/>
        </w:rPr>
      </w:pPr>
      <w:r>
        <w:rPr>
          <w:rFonts w:ascii="Arial" w:cs="Arial" w:eastAsia="Arial" w:hAnsi="Arial"/>
          <w:sz w:val="18"/>
          <w:szCs w:val="18"/>
          <w:color w:val="auto"/>
        </w:rPr>
        <w:t>If Indemnitee is an officer or a director of the Company at the time that Indemnitee is selecting the forum, then Indemnitee shall not select Independent Counsel as such forum unless there are no Independent Directors or unless the Independent Directors agree to the selection of Independent Counsel as the forum.</w:t>
      </w:r>
    </w:p>
    <w:p>
      <w:pPr>
        <w:spacing w:after="0" w:line="82" w:lineRule="exact"/>
        <w:rPr>
          <w:sz w:val="20"/>
          <w:szCs w:val="20"/>
          <w:color w:val="auto"/>
        </w:rPr>
      </w:pPr>
    </w:p>
    <w:p>
      <w:pPr>
        <w:ind w:right="640" w:firstLine="435"/>
        <w:spacing w:after="0" w:line="331" w:lineRule="auto"/>
        <w:rPr>
          <w:sz w:val="20"/>
          <w:szCs w:val="20"/>
          <w:color w:val="auto"/>
        </w:rPr>
      </w:pPr>
      <w:r>
        <w:rPr>
          <w:rFonts w:ascii="Arial" w:cs="Arial" w:eastAsia="Arial" w:hAnsi="Arial"/>
          <w:sz w:val="16"/>
          <w:szCs w:val="16"/>
          <w:color w:val="auto"/>
        </w:rPr>
        <w:t>The selected forum shall be referred to herein as the “Reviewing Party”. Notwithstanding the foregoing, following any Change in Control subsequent to the date of this Agreement, the Reviewing Party shall be Independent Counsel selected in the manner provided in c. above.</w:t>
      </w:r>
    </w:p>
    <w:p>
      <w:pPr>
        <w:spacing w:after="0" w:line="26" w:lineRule="exact"/>
        <w:rPr>
          <w:sz w:val="20"/>
          <w:szCs w:val="20"/>
          <w:color w:val="auto"/>
        </w:rPr>
      </w:pPr>
    </w:p>
    <w:p>
      <w:pPr>
        <w:ind w:right="40" w:firstLine="864"/>
        <w:spacing w:after="0" w:line="267" w:lineRule="auto"/>
        <w:tabs>
          <w:tab w:leader="none" w:pos="1255"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Decision Timing and Expenses</w:t>
      </w:r>
      <w:r>
        <w:rPr>
          <w:rFonts w:ascii="Arial" w:cs="Arial" w:eastAsia="Arial" w:hAnsi="Arial"/>
          <w:sz w:val="17"/>
          <w:szCs w:val="17"/>
          <w:color w:val="auto"/>
        </w:rPr>
        <w:t>. As soon as practicable, and in no event later than thirty (30) days after receipt by the Company of written notice of Indemnitee’s choice of forum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520" w:top="274" w:right="519" w:bottom="1440" w:gutter="0" w:footer="0" w:header="0"/>
        </w:sectPr>
      </w:pPr>
    </w:p>
    <w:bookmarkStart w:id="298" w:name="page299"/>
    <w:bookmarkEnd w:id="298"/>
    <w:p>
      <w:pPr>
        <w:ind w:right="300" w:firstLine="864"/>
        <w:spacing w:after="0" w:line="257" w:lineRule="auto"/>
        <w:tabs>
          <w:tab w:leader="none" w:pos="1245"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Delaware Court of Chancery</w:t>
      </w:r>
      <w:r>
        <w:rPr>
          <w:rFonts w:ascii="Arial" w:cs="Arial" w:eastAsia="Arial" w:hAnsi="Arial"/>
          <w:sz w:val="18"/>
          <w:szCs w:val="18"/>
          <w:color w:val="auto"/>
        </w:rPr>
        <w:t>. Notwithstanding a final determination by any Reviewing Party that Indemnitee is not entitled to indemnification with respect to a specific Proceeding, Indemnitee shall have the right to apply to the Court of Chancery, for the purpose of enforcing Indemnitee’s right to indemnification pursuant to this Agreement.</w:t>
      </w:r>
    </w:p>
    <w:p>
      <w:pPr>
        <w:spacing w:after="0" w:line="81" w:lineRule="exact"/>
        <w:rPr>
          <w:rFonts w:ascii="Arial" w:cs="Arial" w:eastAsia="Arial" w:hAnsi="Arial"/>
          <w:sz w:val="18"/>
          <w:szCs w:val="18"/>
          <w:color w:val="auto"/>
        </w:rPr>
      </w:pPr>
    </w:p>
    <w:p>
      <w:pPr>
        <w:ind w:right="120" w:firstLine="864"/>
        <w:spacing w:after="0" w:line="295" w:lineRule="auto"/>
        <w:tabs>
          <w:tab w:leader="none" w:pos="1226"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shall indemnify Indemnitee against all Expenses incurred by Indemnitee in connection with any hearing or Proceeding under this Section 8 involving Indemnitee and against all Expenses and Other Liabilities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55" w:lineRule="exact"/>
        <w:rPr>
          <w:rFonts w:ascii="Arial" w:cs="Arial" w:eastAsia="Arial" w:hAnsi="Arial"/>
          <w:sz w:val="16"/>
          <w:szCs w:val="16"/>
          <w:color w:val="auto"/>
        </w:rPr>
      </w:pPr>
    </w:p>
    <w:p>
      <w:pPr>
        <w:ind w:firstLine="864"/>
        <w:spacing w:after="0" w:line="282" w:lineRule="auto"/>
        <w:tabs>
          <w:tab w:leader="none" w:pos="1255"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Determination of “Good Faith”</w:t>
      </w:r>
      <w:r>
        <w:rPr>
          <w:rFonts w:ascii="Arial" w:cs="Arial" w:eastAsia="Arial" w:hAnsi="Arial"/>
          <w:sz w:val="16"/>
          <w:szCs w:val="16"/>
          <w:color w:val="auto"/>
        </w:rPr>
        <w:t>. For purposes of any determination of whether Indemnitee acted in “good faith” or acted in “bad faith,” Indemnitee shall be deemed to have acted in good faith or not acted in bad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been selected with reasonable care by or on behalf of the Company or a Subsidiary or Affiliate. In connection with any determination as to whether Indemnitee is entitled to be indemnified hereunder, or to advancement of Expenses, the Reviewing Party or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as an Indemnifiable Person shall not be imputed to Indemnitee for purposes of determining the right to indemnification hereunder.</w:t>
      </w:r>
    </w:p>
    <w:p>
      <w:pPr>
        <w:spacing w:after="0" w:line="64" w:lineRule="exact"/>
        <w:rPr>
          <w:rFonts w:ascii="Arial" w:cs="Arial" w:eastAsia="Arial" w:hAnsi="Arial"/>
          <w:sz w:val="16"/>
          <w:szCs w:val="16"/>
          <w:color w:val="auto"/>
        </w:rPr>
      </w:pPr>
    </w:p>
    <w:p>
      <w:pPr>
        <w:ind w:left="740" w:hanging="312"/>
        <w:spacing w:after="0"/>
        <w:tabs>
          <w:tab w:leader="none" w:pos="74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Any other provision herein to the contrary notwithstanding,</w:t>
      </w:r>
    </w:p>
    <w:p>
      <w:pPr>
        <w:spacing w:after="0" w:line="113" w:lineRule="exact"/>
        <w:rPr>
          <w:rFonts w:ascii="Arial" w:cs="Arial" w:eastAsia="Arial" w:hAnsi="Arial"/>
          <w:sz w:val="18"/>
          <w:szCs w:val="18"/>
          <w:color w:val="auto"/>
        </w:rPr>
      </w:pPr>
    </w:p>
    <w:p>
      <w:pPr>
        <w:ind w:right="80" w:firstLine="864"/>
        <w:spacing w:after="0" w:line="269" w:lineRule="auto"/>
        <w:tabs>
          <w:tab w:leader="none" w:pos="1245"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Claims Initiated by Indemnitee</w:t>
      </w:r>
      <w:r>
        <w:rPr>
          <w:rFonts w:ascii="Arial" w:cs="Arial" w:eastAsia="Arial" w:hAnsi="Arial"/>
          <w:sz w:val="17"/>
          <w:szCs w:val="17"/>
          <w:color w:val="auto"/>
        </w:rPr>
        <w:t>. The Company shall not be obligated pursuant to the terms of this Agreement to indemnify or advance Expenses to Indemnitee with respect to Proceedings or claims initiated or brought voluntarily by Indemnitee and not by way of defense, except (1) with respect to Proceedings brought to establish or enforce a right to indemnification under this Agreement, any other statute or law, as permitted under Section 145, or otherwise, (2) where the Board has consented to the initiation of such Proceeding, or (3) with respect to Proceedings brought to discharge Indemnitee’s fiduciary responsibilities, whether under ERISA or otherwise, but such indemnification or advancement of Expenses may be provided by the Company in specific cases if the Board finds it to be appropriate; or</w:t>
      </w:r>
    </w:p>
    <w:p>
      <w:pPr>
        <w:spacing w:after="0" w:line="72" w:lineRule="exact"/>
        <w:rPr>
          <w:rFonts w:ascii="Arial" w:cs="Arial" w:eastAsia="Arial" w:hAnsi="Arial"/>
          <w:sz w:val="17"/>
          <w:szCs w:val="17"/>
          <w:color w:val="auto"/>
        </w:rPr>
      </w:pPr>
    </w:p>
    <w:p>
      <w:pPr>
        <w:ind w:right="140" w:firstLine="864"/>
        <w:spacing w:after="0" w:line="285" w:lineRule="auto"/>
        <w:tabs>
          <w:tab w:leader="none" w:pos="1255"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Actions Based on Federal Statutes Regarding Profit Recovery and Return of Bonus Payments</w:t>
      </w:r>
      <w:r>
        <w:rPr>
          <w:rFonts w:ascii="Arial" w:cs="Arial" w:eastAsia="Arial" w:hAnsi="Arial"/>
          <w:sz w:val="16"/>
          <w:szCs w:val="16"/>
          <w:color w:val="auto"/>
        </w:rPr>
        <w:t>. The Company shall not be obligated pursuant to the terms of this Agreement to indemnify Indemnitee on account of (i) any suit in which judgment is rendered against Indemnitee for an accounting of profits made from the purchase or sale by Indemnitee of securities of the Company pursuant to the provisions of Section 16(b) of the Securities Exchange Act of l934 and amendments thereto or similar provisions of any federal, state or local statutory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or the payment to the Company of profits arising from the purchase and sale by Indemnitee of securities in violation of Section 306 of the Sarbanes-Oxley Act);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20" w:top="274" w:right="519" w:bottom="1440" w:gutter="0" w:footer="0" w:header="0"/>
        </w:sectPr>
      </w:pPr>
    </w:p>
    <w:bookmarkStart w:id="299" w:name="page300"/>
    <w:bookmarkEnd w:id="299"/>
    <w:p>
      <w:pPr>
        <w:ind w:left="7" w:right="180" w:firstLine="864"/>
        <w:spacing w:after="0" w:line="257" w:lineRule="auto"/>
        <w:tabs>
          <w:tab w:leader="none" w:pos="1252" w:val="left"/>
        </w:tabs>
        <w:numPr>
          <w:ilvl w:val="2"/>
          <w:numId w:val="2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Unlawful Indemnification</w:t>
      </w:r>
      <w:r>
        <w:rPr>
          <w:rFonts w:ascii="Arial" w:cs="Arial" w:eastAsia="Arial" w:hAnsi="Arial"/>
          <w:sz w:val="18"/>
          <w:szCs w:val="18"/>
          <w:color w:val="auto"/>
        </w:rPr>
        <w:t>. The Company shall not be obligated pursuant to the terms of this Agreement to indemnify Indemnitee for Other Liabilities if such indemnification is prohibited by law as determined by a court of competent jurisdiction in a final adjudication not subject to further appeal.</w:t>
      </w:r>
    </w:p>
    <w:p>
      <w:pPr>
        <w:spacing w:after="0" w:line="81" w:lineRule="exact"/>
        <w:rPr>
          <w:rFonts w:ascii="Arial" w:cs="Arial" w:eastAsia="Arial" w:hAnsi="Arial"/>
          <w:sz w:val="18"/>
          <w:szCs w:val="18"/>
          <w:color w:val="auto"/>
        </w:rPr>
      </w:pPr>
    </w:p>
    <w:p>
      <w:pPr>
        <w:ind w:left="7" w:firstLine="428"/>
        <w:spacing w:after="0" w:line="269" w:lineRule="auto"/>
        <w:tabs>
          <w:tab w:leader="none" w:pos="841"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 and Indemnitee’s rights hereunder shall continue after Indemnitee has ceased serving the Company or a Subsidiary or Affiliate as an Indemnifiable Person and shall inure to the benefit of the heirs, executors and administrators of Indemnitee.</w:t>
      </w:r>
    </w:p>
    <w:p>
      <w:pPr>
        <w:spacing w:after="0" w:line="72" w:lineRule="exact"/>
        <w:rPr>
          <w:rFonts w:ascii="Arial" w:cs="Arial" w:eastAsia="Arial" w:hAnsi="Arial"/>
          <w:sz w:val="17"/>
          <w:szCs w:val="17"/>
          <w:color w:val="auto"/>
        </w:rPr>
      </w:pPr>
    </w:p>
    <w:p>
      <w:pPr>
        <w:ind w:left="827" w:hanging="392"/>
        <w:spacing w:after="0"/>
        <w:tabs>
          <w:tab w:leader="none" w:pos="827"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w:t>
      </w:r>
    </w:p>
    <w:p>
      <w:pPr>
        <w:spacing w:after="0" w:line="40" w:lineRule="exact"/>
        <w:rPr>
          <w:rFonts w:ascii="Arial" w:cs="Arial" w:eastAsia="Arial" w:hAnsi="Arial"/>
          <w:sz w:val="16"/>
          <w:szCs w:val="16"/>
          <w:color w:val="auto"/>
        </w:rPr>
      </w:pPr>
    </w:p>
    <w:p>
      <w:pPr>
        <w:jc w:val="both"/>
        <w:ind w:left="7" w:right="60" w:hanging="7"/>
        <w:spacing w:after="0" w:line="287" w:lineRule="auto"/>
        <w:tabs>
          <w:tab w:leader="none" w:pos="21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62" w:lineRule="exact"/>
        <w:rPr>
          <w:rFonts w:ascii="Arial" w:cs="Arial" w:eastAsia="Arial" w:hAnsi="Arial"/>
          <w:sz w:val="16"/>
          <w:szCs w:val="16"/>
          <w:color w:val="auto"/>
        </w:rPr>
      </w:pPr>
    </w:p>
    <w:p>
      <w:pPr>
        <w:ind w:left="7" w:right="40" w:firstLine="428"/>
        <w:spacing w:after="0" w:line="288" w:lineRule="auto"/>
        <w:tabs>
          <w:tab w:leader="none" w:pos="841"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Supersession, Modification and Waiver</w:t>
      </w:r>
      <w:r>
        <w:rPr>
          <w:rFonts w:ascii="Arial" w:cs="Arial" w:eastAsia="Arial" w:hAnsi="Arial"/>
          <w:sz w:val="16"/>
          <w:szCs w:val="16"/>
          <w:color w:val="auto"/>
        </w:rPr>
        <w:t>. This Agreement supersedes any prior indemnification agreement between the Indemnitee and the Company, its Subsidiaries or its Affiliates. If the Company and Indemnitee have previously entered into an indemnification agreement providing for the indemnification of Indemnitee by the Company, parties entry into this Agreement shall be deemed to amend and restate such prior agreement to read in its entirety as, and be superseded by, this Agreement.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62" w:lineRule="exact"/>
        <w:rPr>
          <w:rFonts w:ascii="Arial" w:cs="Arial" w:eastAsia="Arial" w:hAnsi="Arial"/>
          <w:sz w:val="16"/>
          <w:szCs w:val="16"/>
          <w:color w:val="auto"/>
        </w:rPr>
      </w:pPr>
    </w:p>
    <w:p>
      <w:pPr>
        <w:ind w:left="7" w:firstLine="428"/>
        <w:spacing w:after="0" w:line="269" w:lineRule="auto"/>
        <w:tabs>
          <w:tab w:leader="none" w:pos="841"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terms of this Agreement shall bind, and shall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In addition,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and indemnify Indemnitee to the </w:t>
      </w:r>
      <w:r>
        <w:rPr>
          <w:rFonts w:ascii="Arial" w:cs="Arial" w:eastAsia="Arial" w:hAnsi="Arial"/>
          <w:sz w:val="17"/>
          <w:szCs w:val="17"/>
          <w:u w:val="single" w:color="auto"/>
          <w:color w:val="auto"/>
        </w:rPr>
        <w:t>fullest extent permitted by law.</w:t>
      </w:r>
    </w:p>
    <w:p>
      <w:pPr>
        <w:spacing w:after="0" w:line="72" w:lineRule="exact"/>
        <w:rPr>
          <w:rFonts w:ascii="Arial" w:cs="Arial" w:eastAsia="Arial" w:hAnsi="Arial"/>
          <w:sz w:val="17"/>
          <w:szCs w:val="17"/>
          <w:color w:val="auto"/>
        </w:rPr>
      </w:pPr>
    </w:p>
    <w:p>
      <w:pPr>
        <w:ind w:left="827" w:hanging="392"/>
        <w:spacing w:after="0"/>
        <w:tabs>
          <w:tab w:leader="none" w:pos="827"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requests, demands and other communications under this Agreement shall be in writing and shall be deemed duly given</w:t>
      </w:r>
    </w:p>
    <w:p>
      <w:pPr>
        <w:spacing w:after="0" w:line="40" w:lineRule="exact"/>
        <w:rPr>
          <w:rFonts w:ascii="Arial" w:cs="Arial" w:eastAsia="Arial" w:hAnsi="Arial"/>
          <w:sz w:val="16"/>
          <w:szCs w:val="16"/>
          <w:color w:val="auto"/>
        </w:rPr>
      </w:pPr>
    </w:p>
    <w:p>
      <w:pPr>
        <w:ind w:left="7" w:hanging="7"/>
        <w:spacing w:after="0" w:line="266" w:lineRule="auto"/>
        <w:tabs>
          <w:tab w:leader="none" w:pos="21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by personal service by a process server, or (iv) by delivery to the recipient’s address by overnight delivery (e.g., FedEx, UPS or DHL) or other commercial delivery service. Addresses for notice to either party are as shown on the signature page of this Agreement, or as subsequently modified by written notice complying with the provisions of this Section 14. Delivery of communications to the Company with respect to this Agreement shall be sent to the attention of the Company’s Chief Financial Officer.</w:t>
      </w:r>
    </w:p>
    <w:p>
      <w:pPr>
        <w:spacing w:after="0" w:line="75" w:lineRule="exact"/>
        <w:rPr>
          <w:rFonts w:ascii="Arial" w:cs="Arial" w:eastAsia="Arial" w:hAnsi="Arial"/>
          <w:sz w:val="17"/>
          <w:szCs w:val="17"/>
          <w:color w:val="auto"/>
        </w:rPr>
      </w:pPr>
    </w:p>
    <w:p>
      <w:pPr>
        <w:ind w:left="7" w:right="460" w:firstLine="428"/>
        <w:spacing w:after="0" w:line="267" w:lineRule="auto"/>
        <w:tabs>
          <w:tab w:leader="none" w:pos="841"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No Presumptions</w:t>
      </w:r>
      <w:r>
        <w:rPr>
          <w:rFonts w:ascii="Arial" w:cs="Arial" w:eastAsia="Arial" w:hAnsi="Arial"/>
          <w:sz w:val="18"/>
          <w:szCs w:val="18"/>
          <w:color w:val="auto"/>
        </w:rPr>
        <w:t>. For purposes of this Agreement, the termination of any Proceeding, by judgment, order, settlement (whether with or without court approval) or conviction, or upon a plea of nolo contendere or its</w:t>
      </w:r>
    </w:p>
    <w:p>
      <w:pPr>
        <w:spacing w:after="0" w:line="11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7"/>
          </w:cols>
          <w:pgMar w:left="513" w:top="274" w:right="519" w:bottom="1440" w:gutter="0" w:footer="0" w:header="0"/>
        </w:sectPr>
      </w:pPr>
    </w:p>
    <w:bookmarkStart w:id="300" w:name="page301"/>
    <w:bookmarkEnd w:id="30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 did not have any particular belief or is not entitled to indemnification under applicable law or otherwise.</w:t>
      </w:r>
    </w:p>
    <w:p>
      <w:pPr>
        <w:spacing w:after="0" w:line="78" w:lineRule="exact"/>
        <w:rPr>
          <w:sz w:val="20"/>
          <w:szCs w:val="20"/>
          <w:color w:val="auto"/>
        </w:rPr>
      </w:pPr>
    </w:p>
    <w:p>
      <w:pPr>
        <w:ind w:right="20" w:firstLine="428"/>
        <w:spacing w:after="0" w:line="331" w:lineRule="auto"/>
        <w:tabs>
          <w:tab w:leader="none" w:pos="835"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25" w:lineRule="exact"/>
        <w:rPr>
          <w:rFonts w:ascii="Arial" w:cs="Arial" w:eastAsia="Arial" w:hAnsi="Arial"/>
          <w:sz w:val="16"/>
          <w:szCs w:val="16"/>
          <w:color w:val="auto"/>
        </w:rPr>
      </w:pPr>
    </w:p>
    <w:p>
      <w:pPr>
        <w:ind w:left="820" w:hanging="392"/>
        <w:spacing w:after="0"/>
        <w:tabs>
          <w:tab w:leader="none" w:pos="82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Subrogation and Contribution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20" w:right="160" w:firstLine="426"/>
        <w:spacing w:after="0" w:line="279" w:lineRule="auto"/>
        <w:tabs>
          <w:tab w:leader="none" w:pos="1079" w:val="left"/>
        </w:tabs>
        <w:numPr>
          <w:ilvl w:val="1"/>
          <w:numId w:val="226"/>
        </w:numPr>
        <w:rPr>
          <w:rFonts w:ascii="Arial" w:cs="Arial" w:eastAsia="Arial" w:hAnsi="Arial"/>
          <w:sz w:val="17"/>
          <w:szCs w:val="17"/>
          <w:color w:val="auto"/>
        </w:rPr>
      </w:pPr>
      <w:r>
        <w:rPr>
          <w:rFonts w:ascii="Arial" w:cs="Arial" w:eastAsia="Arial" w:hAnsi="Arial"/>
          <w:sz w:val="17"/>
          <w:szCs w:val="17"/>
          <w:color w:val="auto"/>
        </w:rPr>
        <w:t>Except as otherwise expressly provided in this Agreement,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65" w:lineRule="exact"/>
        <w:rPr>
          <w:rFonts w:ascii="Arial" w:cs="Arial" w:eastAsia="Arial" w:hAnsi="Arial"/>
          <w:sz w:val="17"/>
          <w:szCs w:val="17"/>
          <w:color w:val="auto"/>
        </w:rPr>
      </w:pPr>
    </w:p>
    <w:p>
      <w:pPr>
        <w:ind w:right="40" w:firstLine="864"/>
        <w:spacing w:after="0" w:line="267" w:lineRule="auto"/>
        <w:tabs>
          <w:tab w:leader="none" w:pos="1122" w:val="left"/>
        </w:tabs>
        <w:numPr>
          <w:ilvl w:val="2"/>
          <w:numId w:val="226"/>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77" w:lineRule="exact"/>
        <w:rPr>
          <w:rFonts w:ascii="Arial" w:cs="Arial" w:eastAsia="Arial" w:hAnsi="Arial"/>
          <w:sz w:val="17"/>
          <w:szCs w:val="17"/>
          <w:color w:val="auto"/>
        </w:rPr>
      </w:pPr>
    </w:p>
    <w:p>
      <w:pPr>
        <w:ind w:right="320" w:firstLine="428"/>
        <w:spacing w:after="0" w:line="254" w:lineRule="auto"/>
        <w:tabs>
          <w:tab w:leader="none" w:pos="83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83" w:lineRule="exact"/>
        <w:rPr>
          <w:rFonts w:ascii="Arial" w:cs="Arial" w:eastAsia="Arial" w:hAnsi="Arial"/>
          <w:sz w:val="18"/>
          <w:szCs w:val="18"/>
          <w:color w:val="auto"/>
        </w:rPr>
      </w:pPr>
    </w:p>
    <w:p>
      <w:pPr>
        <w:ind w:right="80" w:firstLine="428"/>
        <w:spacing w:after="0" w:line="257" w:lineRule="auto"/>
        <w:tabs>
          <w:tab w:leader="none" w:pos="83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81" w:lineRule="exact"/>
        <w:rPr>
          <w:rFonts w:ascii="Arial" w:cs="Arial" w:eastAsia="Arial" w:hAnsi="Arial"/>
          <w:sz w:val="18"/>
          <w:szCs w:val="18"/>
          <w:color w:val="auto"/>
        </w:rPr>
      </w:pPr>
    </w:p>
    <w:p>
      <w:pPr>
        <w:ind w:right="460" w:firstLine="428"/>
        <w:spacing w:after="0" w:line="267" w:lineRule="auto"/>
        <w:tabs>
          <w:tab w:leader="none" w:pos="83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72" w:lineRule="exact"/>
        <w:rPr>
          <w:rFonts w:ascii="Arial" w:cs="Arial" w:eastAsia="Arial" w:hAnsi="Arial"/>
          <w:sz w:val="18"/>
          <w:szCs w:val="18"/>
          <w:color w:val="auto"/>
        </w:rPr>
      </w:pPr>
    </w:p>
    <w:p>
      <w:pPr>
        <w:ind w:right="140" w:firstLine="428"/>
        <w:spacing w:after="0" w:line="267" w:lineRule="auto"/>
        <w:tabs>
          <w:tab w:leader="none" w:pos="83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exclusively by and construed according to the laws of the State of Delaware, as applied to contracts between Delaware residents entered into and to be performed entirely with Delaware.</w:t>
      </w:r>
    </w:p>
    <w:p>
      <w:pPr>
        <w:spacing w:after="0" w:line="72" w:lineRule="exact"/>
        <w:rPr>
          <w:rFonts w:ascii="Arial" w:cs="Arial" w:eastAsia="Arial" w:hAnsi="Arial"/>
          <w:sz w:val="18"/>
          <w:szCs w:val="18"/>
          <w:color w:val="auto"/>
        </w:rPr>
      </w:pPr>
    </w:p>
    <w:p>
      <w:pPr>
        <w:ind w:right="560" w:firstLine="428"/>
        <w:spacing w:after="0" w:line="267" w:lineRule="auto"/>
        <w:tabs>
          <w:tab w:leader="none" w:pos="83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520" w:top="274" w:right="499" w:bottom="1440" w:gutter="0" w:footer="0" w:header="0"/>
        </w:sectPr>
      </w:pPr>
    </w:p>
    <w:bookmarkStart w:id="301" w:name="page302"/>
    <w:bookmarkEnd w:id="30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The parties hereto have entered into this Indemnity Agreement effective as of the date first above written.</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STOKE THERAPEUTICS,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12065</wp:posOffset>
            </wp:positionV>
            <wp:extent cx="258254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spacing w:after="0" w:line="2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12065</wp:posOffset>
            </wp:positionV>
            <wp:extent cx="258254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spacing w:after="0" w:line="234"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286385</wp:posOffset>
            </wp:positionV>
            <wp:extent cx="260794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282575</wp:posOffset>
            </wp:positionV>
            <wp:extent cx="260794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260794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12065</wp:posOffset>
            </wp:positionV>
            <wp:extent cx="260794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INDEMNIFICATION AGREEMENT</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79"/>
          </w:cols>
          <w:pgMar w:left="1380" w:top="274" w:right="1440"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color w:val="auto"/>
        </w:rPr>
        <w:t>EXHIBIT 10.4</w:t>
      </w:r>
    </w:p>
    <w:p>
      <w:pPr>
        <w:spacing w:after="0" w:line="2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TOKE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2019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0" w:lineRule="exact"/>
        <w:rPr>
          <w:sz w:val="20"/>
          <w:szCs w:val="20"/>
          <w:color w:val="auto"/>
        </w:rPr>
      </w:pPr>
    </w:p>
    <w:p>
      <w:pPr>
        <w:ind w:left="7" w:right="100" w:firstLine="428"/>
        <w:spacing w:after="0" w:line="256" w:lineRule="auto"/>
        <w:tabs>
          <w:tab w:leader="none" w:pos="752" w:val="left"/>
        </w:tabs>
        <w:numPr>
          <w:ilvl w:val="1"/>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29.</w:t>
      </w:r>
    </w:p>
    <w:p>
      <w:pPr>
        <w:spacing w:after="0" w:line="290" w:lineRule="exact"/>
        <w:rPr>
          <w:rFonts w:ascii="Arial" w:cs="Arial" w:eastAsia="Arial" w:hAnsi="Arial"/>
          <w:sz w:val="18"/>
          <w:szCs w:val="18"/>
          <w:b w:val="1"/>
          <w:bCs w:val="1"/>
          <w:color w:val="auto"/>
        </w:rPr>
      </w:pPr>
    </w:p>
    <w:p>
      <w:pPr>
        <w:ind w:left="747" w:hanging="312"/>
        <w:spacing w:after="0"/>
        <w:tabs>
          <w:tab w:leader="none" w:pos="747" w:val="left"/>
        </w:tabs>
        <w:numPr>
          <w:ilvl w:val="1"/>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left="7" w:right="20" w:firstLine="864"/>
        <w:spacing w:after="0" w:line="285" w:lineRule="auto"/>
        <w:tabs>
          <w:tab w:leader="none" w:pos="1252" w:val="left"/>
        </w:tabs>
        <w:numPr>
          <w:ilvl w:val="2"/>
          <w:numId w:val="227"/>
        </w:numPr>
        <w:rPr>
          <w:rFonts w:ascii="Arial" w:cs="Arial" w:eastAsia="Arial" w:hAnsi="Arial"/>
          <w:sz w:val="16"/>
          <w:szCs w:val="16"/>
          <w:color w:val="auto"/>
        </w:rPr>
      </w:pP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Subject to Sections 2.6 and 22 and any other applicable provisions hereof, the total number of Shares reserved and available for grant and issuance pursuant to this Plan as of the date of adoption of the Plan by the Board, is Two Million Two Hundred Thousand (2,200,000) Shares, plus (a) any reserved Shares not issued or subject to outstanding awards granted under the Company’s 2014 Equity Incentive Plan, as amended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on the Effective Date (as defined below), (b) Shares that are subject to awards granted under the Prior Plan that cease to be subject to such awards by forfeiture or otherwise after the Effective Date, (c) Shares issued under the Prior Plan before or after the Effective Date pursuant to the exercise of stock options that are, after the Effective Date, forfeited, (d) Shares issued under the Prior Plan that are repurchased by the Company at the original issue price, and (e) Shares that are subject to stock options or other awards under the Prior Plan that are used to pay the exercise price of an stock option or withheld to satisfy the tax withholding obligations related to any award.</w:t>
      </w:r>
    </w:p>
    <w:p>
      <w:pPr>
        <w:spacing w:after="0" w:line="172" w:lineRule="exact"/>
        <w:rPr>
          <w:rFonts w:ascii="Arial" w:cs="Arial" w:eastAsia="Arial" w:hAnsi="Arial"/>
          <w:sz w:val="16"/>
          <w:szCs w:val="16"/>
          <w:color w:val="auto"/>
        </w:rPr>
      </w:pPr>
    </w:p>
    <w:p>
      <w:pPr>
        <w:ind w:left="7" w:right="300" w:firstLine="864"/>
        <w:spacing w:after="0" w:line="323" w:lineRule="auto"/>
        <w:tabs>
          <w:tab w:leader="none" w:pos="1262" w:val="left"/>
        </w:tabs>
        <w:numPr>
          <w:ilvl w:val="2"/>
          <w:numId w:val="227"/>
        </w:numPr>
        <w:rPr>
          <w:rFonts w:ascii="Arial" w:cs="Arial" w:eastAsia="Arial" w:hAnsi="Arial"/>
          <w:sz w:val="14"/>
          <w:szCs w:val="14"/>
          <w:color w:val="auto"/>
        </w:rPr>
      </w:pPr>
      <w:r>
        <w:rPr>
          <w:rFonts w:ascii="Arial" w:cs="Arial" w:eastAsia="Arial" w:hAnsi="Arial"/>
          <w:sz w:val="14"/>
          <w:szCs w:val="14"/>
          <w:u w:val="single" w:color="auto"/>
          <w:color w:val="auto"/>
        </w:rPr>
        <w:t>Lapsed, Returned Awards</w:t>
      </w:r>
      <w:r>
        <w:rPr>
          <w:rFonts w:ascii="Arial" w:cs="Arial" w:eastAsia="Arial" w:hAnsi="Arial"/>
          <w:sz w:val="14"/>
          <w:szCs w:val="14"/>
          <w:color w:val="auto"/>
        </w:rPr>
        <w:t>. Shares subject to Awards, and Shares issued under the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w:t>
      </w:r>
    </w:p>
    <w:p>
      <w:pPr>
        <w:spacing w:after="0" w:line="1" w:lineRule="exact"/>
        <w:rPr>
          <w:rFonts w:ascii="Arial" w:cs="Arial" w:eastAsia="Arial" w:hAnsi="Arial"/>
          <w:sz w:val="14"/>
          <w:szCs w:val="14"/>
          <w:color w:val="auto"/>
        </w:rPr>
      </w:pPr>
    </w:p>
    <w:p>
      <w:pPr>
        <w:ind w:left="7" w:right="100" w:hanging="7"/>
        <w:spacing w:after="0" w:line="265" w:lineRule="auto"/>
        <w:tabs>
          <w:tab w:leader="none" w:pos="25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rather than Shares, such cash payment will not result in reducing the number of Shares available for issuance under the Plan. Shares used to pay the exercise price of an Award or withheld to satisfy the tax withholding obligations related to an Award will become available for grant and issuance in connection with subsequent Awards under this Plan. For the avoidance of doubt, Shares that otherwise become available for grant and issuance because of the provisions of this Section 2.2 will not include Shares subject to Awards that initially became available because of the substitution clause in Section 22.2 hereof.</w:t>
      </w:r>
    </w:p>
    <w:p>
      <w:pPr>
        <w:spacing w:after="0" w:line="184" w:lineRule="exact"/>
        <w:rPr>
          <w:rFonts w:ascii="Arial" w:cs="Arial" w:eastAsia="Arial" w:hAnsi="Arial"/>
          <w:sz w:val="17"/>
          <w:szCs w:val="17"/>
          <w:color w:val="auto"/>
        </w:rPr>
      </w:pPr>
    </w:p>
    <w:p>
      <w:pPr>
        <w:ind w:left="7" w:right="40" w:firstLine="864"/>
        <w:spacing w:after="0" w:line="267" w:lineRule="auto"/>
        <w:tabs>
          <w:tab w:leader="none" w:pos="1252" w:val="left"/>
        </w:tabs>
        <w:numPr>
          <w:ilvl w:val="2"/>
          <w:numId w:val="228"/>
        </w:numPr>
        <w:rPr>
          <w:rFonts w:ascii="Arial" w:cs="Arial" w:eastAsia="Arial" w:hAnsi="Arial"/>
          <w:sz w:val="18"/>
          <w:szCs w:val="18"/>
          <w:color w:val="auto"/>
        </w:rPr>
      </w:pP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will reserve and keep available a sufficient number of Shares as will be required to satisfy the requirements of all outstanding Awards granted under this Plan.</w:t>
      </w:r>
    </w:p>
    <w:p>
      <w:pPr>
        <w:spacing w:after="0" w:line="179" w:lineRule="exact"/>
        <w:rPr>
          <w:rFonts w:ascii="Arial" w:cs="Arial" w:eastAsia="Arial" w:hAnsi="Arial"/>
          <w:sz w:val="18"/>
          <w:szCs w:val="18"/>
          <w:color w:val="auto"/>
        </w:rPr>
      </w:pPr>
    </w:p>
    <w:p>
      <w:pPr>
        <w:ind w:left="1247" w:hanging="376"/>
        <w:spacing w:after="0"/>
        <w:tabs>
          <w:tab w:leader="none" w:pos="1247" w:val="left"/>
        </w:tabs>
        <w:numPr>
          <w:ilvl w:val="2"/>
          <w:numId w:val="228"/>
        </w:numPr>
        <w:rPr>
          <w:rFonts w:ascii="Arial" w:cs="Arial" w:eastAsia="Arial" w:hAnsi="Arial"/>
          <w:sz w:val="17"/>
          <w:szCs w:val="17"/>
          <w:color w:val="auto"/>
        </w:rPr>
      </w:pPr>
      <w:r>
        <w:rPr>
          <w:rFonts w:ascii="Arial" w:cs="Arial" w:eastAsia="Arial" w:hAnsi="Arial"/>
          <w:sz w:val="17"/>
          <w:szCs w:val="17"/>
          <w:u w:val="single" w:color="auto"/>
          <w:color w:val="auto"/>
        </w:rPr>
        <w:t>Automatic Share Reserve Increase</w:t>
      </w:r>
      <w:r>
        <w:rPr>
          <w:rFonts w:ascii="Arial" w:cs="Arial" w:eastAsia="Arial" w:hAnsi="Arial"/>
          <w:sz w:val="17"/>
          <w:szCs w:val="17"/>
          <w:color w:val="auto"/>
        </w:rPr>
        <w:t>. The number of Shares available for grant and issuance under the Plan will be increased on</w:t>
      </w:r>
    </w:p>
    <w:p>
      <w:pPr>
        <w:spacing w:after="0" w:line="29" w:lineRule="exact"/>
        <w:rPr>
          <w:sz w:val="20"/>
          <w:szCs w:val="20"/>
          <w:color w:val="auto"/>
        </w:rPr>
      </w:pPr>
    </w:p>
    <w:p>
      <w:pPr>
        <w:ind w:left="7" w:right="220"/>
        <w:spacing w:after="0" w:line="251" w:lineRule="auto"/>
        <w:rPr>
          <w:sz w:val="20"/>
          <w:szCs w:val="20"/>
          <w:color w:val="auto"/>
        </w:rPr>
      </w:pPr>
      <w:r>
        <w:rPr>
          <w:rFonts w:ascii="Arial" w:cs="Arial" w:eastAsia="Arial" w:hAnsi="Arial"/>
          <w:sz w:val="18"/>
          <w:szCs w:val="18"/>
          <w:color w:val="auto"/>
        </w:rPr>
        <w:t>January 1 of each of the first ten (10) calendar years during the term of the Plan by the lesser of (a) four percent (4%) of the number of shares of all classes of the Company’s common stock issued and outstanding on each December 31 immediately prior to the date of increase or (b) such number of Shares determined by the Board.</w:t>
      </w:r>
    </w:p>
    <w:p>
      <w:pPr>
        <w:sectPr>
          <w:pgSz w:w="11900" w:h="16838" w:orient="portrait"/>
          <w:cols w:equalWidth="0" w:num="1">
            <w:col w:w="10887"/>
          </w:cols>
          <w:pgMar w:left="513" w:top="127" w:right="499" w:bottom="1440" w:gutter="0" w:footer="0" w:header="0"/>
        </w:sectPr>
      </w:pPr>
    </w:p>
    <w:bookmarkStart w:id="303" w:name="page304"/>
    <w:bookmarkEnd w:id="303"/>
    <w:p>
      <w:pPr>
        <w:ind w:left="860"/>
        <w:spacing w:after="0"/>
        <w:tabs>
          <w:tab w:leader="none" w:pos="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Twenty-Two Million (22,000,000) Shares will be issued pursuant to the exercise of ISOs granted under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09" w:lineRule="exact"/>
        <w:rPr>
          <w:sz w:val="20"/>
          <w:szCs w:val="20"/>
          <w:color w:val="auto"/>
        </w:rPr>
      </w:pPr>
    </w:p>
    <w:p>
      <w:pPr>
        <w:ind w:firstLine="864"/>
        <w:spacing w:after="0" w:line="281" w:lineRule="auto"/>
        <w:tabs>
          <w:tab w:leader="none" w:pos="1226"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including Shares reserved under sub-clauses (a)-(e) of</w:t>
      </w:r>
    </w:p>
    <w:p>
      <w:pPr>
        <w:spacing w:after="0" w:line="2" w:lineRule="exact"/>
        <w:rPr>
          <w:rFonts w:ascii="Arial" w:cs="Arial" w:eastAsia="Arial" w:hAnsi="Arial"/>
          <w:sz w:val="16"/>
          <w:szCs w:val="16"/>
          <w:color w:val="auto"/>
        </w:rPr>
      </w:pPr>
    </w:p>
    <w:p>
      <w:pPr>
        <w:ind w:right="180"/>
        <w:spacing w:after="0" w:line="249" w:lineRule="auto"/>
        <w:rPr>
          <w:rFonts w:ascii="Arial" w:cs="Arial" w:eastAsia="Arial" w:hAnsi="Arial"/>
          <w:sz w:val="16"/>
          <w:szCs w:val="16"/>
          <w:color w:val="auto"/>
        </w:rPr>
      </w:pPr>
      <w:r>
        <w:rPr>
          <w:rFonts w:ascii="Arial" w:cs="Arial" w:eastAsia="Arial" w:hAnsi="Arial"/>
          <w:sz w:val="18"/>
          <w:szCs w:val="18"/>
          <w:color w:val="auto"/>
        </w:rPr>
        <w:t>Section 2.1, (b) the Exercise Prices of and number and class of Shares subject to outstanding Options and SARs, (c) the number and class of Shares subject to other outstanding Awards and (d) the maximum number and class of Shares that may be issued as ISOs set forth in Section 2.5, will be proportionately adjusted, subject to any required action by the Board or the stockholders of the Company and in compliance with applicable securities laws, provided that fractions of a Share will not be issued.</w:t>
      </w:r>
    </w:p>
    <w:p>
      <w:pPr>
        <w:spacing w:after="0" w:line="197" w:lineRule="exact"/>
        <w:rPr>
          <w:sz w:val="20"/>
          <w:szCs w:val="20"/>
          <w:color w:val="auto"/>
        </w:rPr>
      </w:pPr>
    </w:p>
    <w:p>
      <w:pPr>
        <w:ind w:firstLine="435"/>
        <w:spacing w:after="0" w:line="254" w:lineRule="auto"/>
        <w:rPr>
          <w:sz w:val="20"/>
          <w:szCs w:val="20"/>
          <w:color w:val="auto"/>
        </w:rPr>
      </w:pPr>
      <w:r>
        <w:rPr>
          <w:rFonts w:ascii="Arial" w:cs="Arial" w:eastAsia="Arial" w:hAnsi="Arial"/>
          <w:sz w:val="18"/>
          <w:szCs w:val="18"/>
          <w:color w:val="auto"/>
        </w:rPr>
        <w:t>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pacing w:after="0" w:line="185" w:lineRule="exact"/>
        <w:rPr>
          <w:sz w:val="20"/>
          <w:szCs w:val="20"/>
          <w:color w:val="auto"/>
        </w:rPr>
      </w:pPr>
    </w:p>
    <w:p>
      <w:pPr>
        <w:ind w:right="120" w:firstLine="428"/>
        <w:spacing w:after="0" w:line="260" w:lineRule="auto"/>
        <w:tabs>
          <w:tab w:leader="none" w:pos="746"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ISOs may be granted only to Employees. All other Awards may be granted to Employees, Consultants,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Directors, provided that such Consultants, Directors, and Non-Employee Directors render bona fide services not in connection with the offer and sale of securities in a capital-raising transaction.</w:t>
      </w:r>
    </w:p>
    <w:p>
      <w:pPr>
        <w:spacing w:after="0" w:line="287" w:lineRule="exact"/>
        <w:rPr>
          <w:rFonts w:ascii="Arial" w:cs="Arial" w:eastAsia="Arial" w:hAnsi="Arial"/>
          <w:sz w:val="18"/>
          <w:szCs w:val="18"/>
          <w:b w:val="1"/>
          <w:bCs w:val="1"/>
          <w:color w:val="auto"/>
        </w:rPr>
      </w:pPr>
    </w:p>
    <w:p>
      <w:pPr>
        <w:ind w:left="740" w:hanging="312"/>
        <w:spacing w:after="0"/>
        <w:tabs>
          <w:tab w:leader="none" w:pos="74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right="160" w:firstLine="864"/>
        <w:spacing w:after="0" w:line="254" w:lineRule="auto"/>
        <w:tabs>
          <w:tab w:leader="none" w:pos="1245"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Committee Composition; Authority</w:t>
      </w:r>
      <w:r>
        <w:rPr>
          <w:rFonts w:ascii="Arial" w:cs="Arial" w:eastAsia="Arial" w:hAnsi="Arial"/>
          <w:sz w:val="18"/>
          <w:szCs w:val="18"/>
          <w:color w:val="auto"/>
        </w:rPr>
        <w:t>. 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190" w:lineRule="exact"/>
        <w:rPr>
          <w:rFonts w:ascii="Arial" w:cs="Arial" w:eastAsia="Arial" w:hAnsi="Arial"/>
          <w:sz w:val="18"/>
          <w:szCs w:val="18"/>
          <w:color w:val="auto"/>
        </w:rPr>
      </w:pPr>
    </w:p>
    <w:p>
      <w:pPr>
        <w:ind w:left="1760" w:hanging="352"/>
        <w:spacing w:after="0"/>
        <w:tabs>
          <w:tab w:leader="none" w:pos="1760" w:val="left"/>
        </w:tabs>
        <w:numPr>
          <w:ilvl w:val="2"/>
          <w:numId w:val="230"/>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242" w:lineRule="exact"/>
        <w:rPr>
          <w:rFonts w:ascii="Arial" w:cs="Arial" w:eastAsia="Arial" w:hAnsi="Arial"/>
          <w:sz w:val="16"/>
          <w:szCs w:val="16"/>
          <w:color w:val="auto"/>
        </w:rPr>
      </w:pPr>
    </w:p>
    <w:p>
      <w:pPr>
        <w:ind w:left="1800" w:hanging="392"/>
        <w:spacing w:after="0"/>
        <w:tabs>
          <w:tab w:leader="none" w:pos="180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219" w:lineRule="exact"/>
        <w:rPr>
          <w:rFonts w:ascii="Arial" w:cs="Arial" w:eastAsia="Arial" w:hAnsi="Arial"/>
          <w:sz w:val="18"/>
          <w:szCs w:val="18"/>
          <w:color w:val="auto"/>
        </w:rPr>
      </w:pPr>
    </w:p>
    <w:p>
      <w:pPr>
        <w:ind w:left="1860" w:hanging="452"/>
        <w:spacing w:after="0"/>
        <w:tabs>
          <w:tab w:leader="none" w:pos="186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219" w:lineRule="exact"/>
        <w:rPr>
          <w:rFonts w:ascii="Arial" w:cs="Arial" w:eastAsia="Arial" w:hAnsi="Arial"/>
          <w:sz w:val="18"/>
          <w:szCs w:val="18"/>
          <w:color w:val="auto"/>
        </w:rPr>
      </w:pPr>
    </w:p>
    <w:p>
      <w:pPr>
        <w:ind w:right="120" w:firstLine="1408"/>
        <w:spacing w:after="0" w:line="252" w:lineRule="auto"/>
        <w:tabs>
          <w:tab w:leader="none" w:pos="1849" w:val="left"/>
        </w:tabs>
        <w:numPr>
          <w:ilvl w:val="2"/>
          <w:numId w:val="230"/>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93" w:lineRule="exact"/>
        <w:rPr>
          <w:rFonts w:ascii="Arial" w:cs="Arial" w:eastAsia="Arial" w:hAnsi="Arial"/>
          <w:sz w:val="18"/>
          <w:szCs w:val="18"/>
          <w:color w:val="auto"/>
        </w:rPr>
      </w:pPr>
    </w:p>
    <w:p>
      <w:pPr>
        <w:ind w:left="1800" w:hanging="392"/>
        <w:spacing w:after="0"/>
        <w:tabs>
          <w:tab w:leader="none" w:pos="180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520" w:top="274" w:right="539" w:bottom="1440" w:gutter="0" w:footer="0" w:header="0"/>
        </w:sectPr>
      </w:pPr>
    </w:p>
    <w:bookmarkStart w:id="304" w:name="page305"/>
    <w:bookmarkEnd w:id="304"/>
    <w:p>
      <w:pPr>
        <w:ind w:left="-20" w:right="300" w:firstLine="1408"/>
        <w:spacing w:after="0" w:line="267" w:lineRule="auto"/>
        <w:tabs>
          <w:tab w:leader="none" w:pos="1829" w:val="left"/>
        </w:tabs>
        <w:numPr>
          <w:ilvl w:val="1"/>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determine the Fair Market Value in good faith and interpret the applicable provisions of this Plan and the definition of Fair Market Value in connection with circumstances that impact the Fair Market Value, if necessary;</w:t>
      </w:r>
    </w:p>
    <w:p>
      <w:pPr>
        <w:spacing w:after="0" w:line="179" w:lineRule="exact"/>
        <w:rPr>
          <w:rFonts w:ascii="Arial" w:cs="Arial" w:eastAsia="Arial" w:hAnsi="Arial"/>
          <w:sz w:val="18"/>
          <w:szCs w:val="18"/>
          <w:color w:val="auto"/>
        </w:rPr>
      </w:pPr>
    </w:p>
    <w:p>
      <w:pPr>
        <w:ind w:left="-20" w:right="160" w:firstLine="1408"/>
        <w:spacing w:after="0" w:line="331" w:lineRule="auto"/>
        <w:tabs>
          <w:tab w:leader="none" w:pos="1878" w:val="left"/>
        </w:tabs>
        <w:numPr>
          <w:ilvl w:val="1"/>
          <w:numId w:val="231"/>
        </w:numPr>
        <w:rPr>
          <w:rFonts w:ascii="Arial" w:cs="Arial" w:eastAsia="Arial" w:hAnsi="Arial"/>
          <w:sz w:val="16"/>
          <w:szCs w:val="16"/>
          <w:color w:val="auto"/>
        </w:rPr>
      </w:pPr>
      <w:r>
        <w:rPr>
          <w:rFonts w:ascii="Arial" w:cs="Arial" w:eastAsia="Arial" w:hAnsi="Arial"/>
          <w:sz w:val="16"/>
          <w:szCs w:val="16"/>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32" w:lineRule="exact"/>
        <w:rPr>
          <w:rFonts w:ascii="Arial" w:cs="Arial" w:eastAsia="Arial" w:hAnsi="Arial"/>
          <w:sz w:val="16"/>
          <w:szCs w:val="16"/>
          <w:color w:val="auto"/>
        </w:rPr>
      </w:pPr>
    </w:p>
    <w:p>
      <w:pPr>
        <w:ind w:left="1920" w:hanging="532"/>
        <w:spacing w:after="0"/>
        <w:tabs>
          <w:tab w:leader="none" w:pos="19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19" w:lineRule="exact"/>
        <w:rPr>
          <w:rFonts w:ascii="Arial" w:cs="Arial" w:eastAsia="Arial" w:hAnsi="Arial"/>
          <w:sz w:val="18"/>
          <w:szCs w:val="18"/>
          <w:color w:val="auto"/>
        </w:rPr>
      </w:pPr>
    </w:p>
    <w:p>
      <w:pPr>
        <w:ind w:left="1820" w:hanging="432"/>
        <w:spacing w:after="0"/>
        <w:tabs>
          <w:tab w:leader="none" w:pos="18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219" w:lineRule="exact"/>
        <w:rPr>
          <w:rFonts w:ascii="Arial" w:cs="Arial" w:eastAsia="Arial" w:hAnsi="Arial"/>
          <w:sz w:val="18"/>
          <w:szCs w:val="18"/>
          <w:color w:val="auto"/>
        </w:rPr>
      </w:pPr>
    </w:p>
    <w:p>
      <w:pPr>
        <w:ind w:left="1780" w:hanging="392"/>
        <w:spacing w:after="0"/>
        <w:tabs>
          <w:tab w:leader="none" w:pos="178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correct any defect, supply any omission or reconcile any inconsistency in this Plan, any Award or any Award Agreement;</w:t>
      </w:r>
    </w:p>
    <w:p>
      <w:pPr>
        <w:spacing w:after="0" w:line="242" w:lineRule="exact"/>
        <w:rPr>
          <w:rFonts w:ascii="Arial" w:cs="Arial" w:eastAsia="Arial" w:hAnsi="Arial"/>
          <w:sz w:val="16"/>
          <w:szCs w:val="16"/>
          <w:color w:val="auto"/>
        </w:rPr>
      </w:pPr>
    </w:p>
    <w:p>
      <w:pPr>
        <w:ind w:left="1820" w:hanging="432"/>
        <w:spacing w:after="0"/>
        <w:tabs>
          <w:tab w:leader="none" w:pos="18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determine whether an Award has been vested and/or earned;</w:t>
      </w:r>
    </w:p>
    <w:p>
      <w:pPr>
        <w:spacing w:after="0" w:line="219" w:lineRule="exact"/>
        <w:rPr>
          <w:rFonts w:ascii="Arial" w:cs="Arial" w:eastAsia="Arial" w:hAnsi="Arial"/>
          <w:sz w:val="18"/>
          <w:szCs w:val="18"/>
          <w:color w:val="auto"/>
        </w:rPr>
      </w:pPr>
    </w:p>
    <w:p>
      <w:pPr>
        <w:ind w:left="1880" w:hanging="492"/>
        <w:spacing w:after="0"/>
        <w:tabs>
          <w:tab w:leader="none" w:pos="18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219" w:lineRule="exact"/>
        <w:rPr>
          <w:rFonts w:ascii="Arial" w:cs="Arial" w:eastAsia="Arial" w:hAnsi="Arial"/>
          <w:sz w:val="18"/>
          <w:szCs w:val="18"/>
          <w:color w:val="auto"/>
        </w:rPr>
      </w:pPr>
    </w:p>
    <w:p>
      <w:pPr>
        <w:ind w:left="1920" w:hanging="532"/>
        <w:spacing w:after="0"/>
        <w:tabs>
          <w:tab w:leader="none" w:pos="19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219" w:lineRule="exact"/>
        <w:rPr>
          <w:rFonts w:ascii="Arial" w:cs="Arial" w:eastAsia="Arial" w:hAnsi="Arial"/>
          <w:sz w:val="18"/>
          <w:szCs w:val="18"/>
          <w:color w:val="auto"/>
        </w:rPr>
      </w:pPr>
    </w:p>
    <w:p>
      <w:pPr>
        <w:ind w:left="-20" w:right="660" w:firstLine="1408"/>
        <w:spacing w:after="0" w:line="412" w:lineRule="auto"/>
        <w:tabs>
          <w:tab w:leader="none" w:pos="1918" w:val="left"/>
        </w:tabs>
        <w:numPr>
          <w:ilvl w:val="1"/>
          <w:numId w:val="231"/>
        </w:numPr>
        <w:rPr>
          <w:rFonts w:ascii="Arial" w:cs="Arial" w:eastAsia="Arial" w:hAnsi="Arial"/>
          <w:sz w:val="14"/>
          <w:szCs w:val="14"/>
          <w:color w:val="auto"/>
        </w:rPr>
      </w:pPr>
      <w:r>
        <w:rPr>
          <w:rFonts w:ascii="Arial" w:cs="Arial" w:eastAsia="Arial" w:hAnsi="Arial"/>
          <w:sz w:val="14"/>
          <w:szCs w:val="14"/>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87" w:lineRule="exact"/>
        <w:rPr>
          <w:rFonts w:ascii="Arial" w:cs="Arial" w:eastAsia="Arial" w:hAnsi="Arial"/>
          <w:sz w:val="14"/>
          <w:szCs w:val="14"/>
          <w:color w:val="auto"/>
        </w:rPr>
      </w:pPr>
    </w:p>
    <w:p>
      <w:pPr>
        <w:ind w:left="-20" w:right="20" w:firstLine="1408"/>
        <w:spacing w:after="0" w:line="257" w:lineRule="auto"/>
        <w:tabs>
          <w:tab w:leader="none" w:pos="186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adopt terms and conditions, rules, and/or procedures (including the adoption of any subplan under this Plan) relating to the operation and administration of the Plan to accommodate requirements of local law and procedures outside of the United States or to qualify Awards for special tax treatment under laws of jurisdictions other than the United States;</w:t>
      </w:r>
    </w:p>
    <w:p>
      <w:pPr>
        <w:spacing w:after="0" w:line="188" w:lineRule="exact"/>
        <w:rPr>
          <w:rFonts w:ascii="Arial" w:cs="Arial" w:eastAsia="Arial" w:hAnsi="Arial"/>
          <w:sz w:val="18"/>
          <w:szCs w:val="18"/>
          <w:color w:val="auto"/>
        </w:rPr>
      </w:pPr>
    </w:p>
    <w:p>
      <w:pPr>
        <w:ind w:left="1920" w:hanging="532"/>
        <w:spacing w:after="0"/>
        <w:tabs>
          <w:tab w:leader="none" w:pos="19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219" w:lineRule="exact"/>
        <w:rPr>
          <w:rFonts w:ascii="Arial" w:cs="Arial" w:eastAsia="Arial" w:hAnsi="Arial"/>
          <w:sz w:val="18"/>
          <w:szCs w:val="18"/>
          <w:color w:val="auto"/>
        </w:rPr>
      </w:pPr>
    </w:p>
    <w:p>
      <w:pPr>
        <w:ind w:left="1960" w:hanging="572"/>
        <w:spacing w:after="0"/>
        <w:tabs>
          <w:tab w:leader="none" w:pos="19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219" w:lineRule="exact"/>
        <w:rPr>
          <w:rFonts w:ascii="Arial" w:cs="Arial" w:eastAsia="Arial" w:hAnsi="Arial"/>
          <w:sz w:val="18"/>
          <w:szCs w:val="18"/>
          <w:color w:val="auto"/>
        </w:rPr>
      </w:pPr>
    </w:p>
    <w:p>
      <w:pPr>
        <w:ind w:left="-20" w:right="260" w:firstLine="1408"/>
        <w:spacing w:after="0" w:line="267" w:lineRule="auto"/>
        <w:tabs>
          <w:tab w:leader="none" w:pos="201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executive officers pursuant to a specific delegation as permitted by applicable law, including Section 157(c) of the Delaware General Corporation Law.</w:t>
      </w:r>
    </w:p>
    <w:p>
      <w:pPr>
        <w:spacing w:after="0" w:line="179" w:lineRule="exact"/>
        <w:rPr>
          <w:rFonts w:ascii="Arial" w:cs="Arial" w:eastAsia="Arial" w:hAnsi="Arial"/>
          <w:sz w:val="18"/>
          <w:szCs w:val="18"/>
          <w:color w:val="auto"/>
        </w:rPr>
      </w:pPr>
    </w:p>
    <w:p>
      <w:pPr>
        <w:ind w:left="-20" w:firstLine="864"/>
        <w:spacing w:after="0" w:line="250" w:lineRule="auto"/>
        <w:tabs>
          <w:tab w:leader="none" w:pos="1235"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will be made in its sole discretion at the time of grant of the Award or, unless 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540" w:top="274" w:right="539" w:bottom="1440" w:gutter="0" w:footer="0" w:header="0"/>
        </w:sectPr>
      </w:pPr>
    </w:p>
    <w:bookmarkStart w:id="305" w:name="page306"/>
    <w:bookmarkEnd w:id="305"/>
    <w:p>
      <w:pPr>
        <w:ind w:left="7" w:right="140" w:firstLine="864"/>
        <w:spacing w:after="0" w:line="297" w:lineRule="auto"/>
        <w:tabs>
          <w:tab w:leader="none" w:pos="1252" w:val="left"/>
        </w:tabs>
        <w:numPr>
          <w:ilvl w:val="2"/>
          <w:numId w:val="23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Section 16 of the Exchange Act</w:t>
      </w:r>
      <w:r>
        <w:rPr>
          <w:rFonts w:ascii="Arial" w:cs="Arial" w:eastAsia="Arial" w:hAnsi="Arial"/>
          <w:sz w:val="17"/>
          <w:szCs w:val="17"/>
          <w:color w:val="auto"/>
        </w:rPr>
        <w:t>. Awards granted to Participants who are subject to Section 16 of the Exchange Act must be approved by two or more “non-employee directors” (as defined in the regulations promulgated under Section 16 of the Exchange Act).</w:t>
      </w:r>
    </w:p>
    <w:p>
      <w:pPr>
        <w:spacing w:after="0" w:line="156" w:lineRule="exact"/>
        <w:rPr>
          <w:rFonts w:ascii="Arial" w:cs="Arial" w:eastAsia="Arial" w:hAnsi="Arial"/>
          <w:sz w:val="17"/>
          <w:szCs w:val="17"/>
          <w:color w:val="auto"/>
        </w:rPr>
      </w:pPr>
    </w:p>
    <w:p>
      <w:pPr>
        <w:ind w:left="7" w:right="100" w:firstLine="864"/>
        <w:spacing w:after="0" w:line="331" w:lineRule="auto"/>
        <w:tabs>
          <w:tab w:leader="none" w:pos="1262" w:val="left"/>
        </w:tabs>
        <w:numPr>
          <w:ilvl w:val="2"/>
          <w:numId w:val="233"/>
        </w:numPr>
        <w:rPr>
          <w:rFonts w:ascii="Arial" w:cs="Arial" w:eastAsia="Arial" w:hAnsi="Arial"/>
          <w:sz w:val="16"/>
          <w:szCs w:val="16"/>
          <w:color w:val="auto"/>
        </w:rPr>
      </w:pPr>
      <w:r>
        <w:rPr>
          <w:rFonts w:ascii="Arial" w:cs="Arial" w:eastAsia="Arial" w:hAnsi="Arial"/>
          <w:sz w:val="16"/>
          <w:szCs w:val="16"/>
          <w:u w:val="single" w:color="auto"/>
          <w:color w:val="auto"/>
        </w:rPr>
        <w:t>Documentation</w:t>
      </w:r>
      <w:r>
        <w:rPr>
          <w:rFonts w:ascii="Arial" w:cs="Arial" w:eastAsia="Arial" w:hAnsi="Arial"/>
          <w:sz w:val="16"/>
          <w:szCs w:val="16"/>
          <w:color w:val="auto"/>
        </w:rPr>
        <w:t>. The Award Agreement for a given Award, the Plan, and any other documents may be delivered to, and accepted by, a Participant or any other person in any manner (including electronic distribution or posting) that meets applicable legal requirements.</w:t>
      </w:r>
    </w:p>
    <w:p>
      <w:pPr>
        <w:spacing w:after="0" w:line="132" w:lineRule="exact"/>
        <w:rPr>
          <w:rFonts w:ascii="Arial" w:cs="Arial" w:eastAsia="Arial" w:hAnsi="Arial"/>
          <w:sz w:val="16"/>
          <w:szCs w:val="16"/>
          <w:color w:val="auto"/>
        </w:rPr>
      </w:pPr>
    </w:p>
    <w:p>
      <w:pPr>
        <w:ind w:left="7" w:right="20" w:firstLine="864"/>
        <w:spacing w:after="0" w:line="283" w:lineRule="auto"/>
        <w:tabs>
          <w:tab w:leader="none" w:pos="1252" w:val="left"/>
        </w:tabs>
        <w:numPr>
          <w:ilvl w:val="2"/>
          <w:numId w:val="233"/>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 practices in other countries in which the Company, its Subsidiaries, and Affiliates operate or have Employees or other individuals eligible for Awards, the Committee, in its sole discretion, will have the power and authority to: (a) determine which Subsidiaries and Affiliates will be covered by the Plan;</w:t>
      </w:r>
    </w:p>
    <w:p>
      <w:pPr>
        <w:ind w:left="7" w:hanging="7"/>
        <w:spacing w:after="0" w:line="283" w:lineRule="auto"/>
        <w:tabs>
          <w:tab w:leader="none" w:pos="25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164" w:lineRule="exact"/>
        <w:rPr>
          <w:rFonts w:ascii="Arial" w:cs="Arial" w:eastAsia="Arial" w:hAnsi="Arial"/>
          <w:sz w:val="16"/>
          <w:szCs w:val="16"/>
          <w:color w:val="auto"/>
        </w:rPr>
      </w:pPr>
    </w:p>
    <w:p>
      <w:pPr>
        <w:ind w:left="7" w:right="60" w:firstLine="428"/>
        <w:spacing w:after="0" w:line="254" w:lineRule="auto"/>
        <w:tabs>
          <w:tab w:leader="none" w:pos="752"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color w:val="auto"/>
        </w:rPr>
        <w:t>. An Option is the right but not the obligation to purchase a Share, subject to certain conditions, if applicable.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grant Options to eligible Employees, Consultants, and Directors and will determine whether such Options will be Incentive Stock Options within the meaning of the Code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or Nonqualified Stock Options (“</w:t>
      </w:r>
      <w:r>
        <w:rPr>
          <w:rFonts w:ascii="Arial" w:cs="Arial" w:eastAsia="Arial" w:hAnsi="Arial"/>
          <w:sz w:val="18"/>
          <w:szCs w:val="18"/>
          <w:b w:val="1"/>
          <w:bCs w:val="1"/>
          <w:i w:val="1"/>
          <w:iCs w:val="1"/>
          <w:color w:val="auto"/>
        </w:rPr>
        <w:t>NSOs</w:t>
      </w:r>
      <w:r>
        <w:rPr>
          <w:rFonts w:ascii="Arial" w:cs="Arial" w:eastAsia="Arial" w:hAnsi="Arial"/>
          <w:sz w:val="18"/>
          <w:szCs w:val="18"/>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90" w:lineRule="exact"/>
        <w:rPr>
          <w:rFonts w:ascii="Arial" w:cs="Arial" w:eastAsia="Arial" w:hAnsi="Arial"/>
          <w:sz w:val="18"/>
          <w:szCs w:val="18"/>
          <w:b w:val="1"/>
          <w:bCs w:val="1"/>
          <w:color w:val="auto"/>
        </w:rPr>
      </w:pPr>
    </w:p>
    <w:p>
      <w:pPr>
        <w:ind w:left="7" w:right="80" w:firstLine="864"/>
        <w:spacing w:after="0" w:line="251" w:lineRule="auto"/>
        <w:tabs>
          <w:tab w:leader="none" w:pos="1252" w:val="left"/>
        </w:tabs>
        <w:numPr>
          <w:ilvl w:val="2"/>
          <w:numId w:val="234"/>
        </w:numPr>
        <w:rPr>
          <w:rFonts w:ascii="Arial" w:cs="Arial" w:eastAsia="Arial" w:hAnsi="Arial"/>
          <w:sz w:val="18"/>
          <w:szCs w:val="18"/>
          <w:color w:val="auto"/>
        </w:rPr>
      </w:pP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94" w:lineRule="exact"/>
        <w:rPr>
          <w:rFonts w:ascii="Arial" w:cs="Arial" w:eastAsia="Arial" w:hAnsi="Arial"/>
          <w:sz w:val="18"/>
          <w:szCs w:val="18"/>
          <w:color w:val="auto"/>
        </w:rPr>
      </w:pPr>
    </w:p>
    <w:p>
      <w:pPr>
        <w:jc w:val="both"/>
        <w:ind w:left="7" w:right="120" w:firstLine="864"/>
        <w:spacing w:after="0" w:line="257" w:lineRule="auto"/>
        <w:tabs>
          <w:tab w:leader="none" w:pos="1262" w:val="left"/>
        </w:tabs>
        <w:numPr>
          <w:ilvl w:val="2"/>
          <w:numId w:val="234"/>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will be the date on which the Committee makes the determination to grant such Option, or a specified future date. The Award Agreement and a copy of this Plan will be delivered to the Participant within a reasonable time after the granting of the Option.</w:t>
      </w:r>
    </w:p>
    <w:p>
      <w:pPr>
        <w:spacing w:after="0" w:line="188" w:lineRule="exact"/>
        <w:rPr>
          <w:rFonts w:ascii="Arial" w:cs="Arial" w:eastAsia="Arial" w:hAnsi="Arial"/>
          <w:sz w:val="18"/>
          <w:szCs w:val="18"/>
          <w:color w:val="auto"/>
        </w:rPr>
      </w:pPr>
    </w:p>
    <w:p>
      <w:pPr>
        <w:jc w:val="both"/>
        <w:ind w:left="7" w:right="180" w:firstLine="864"/>
        <w:spacing w:after="0" w:line="257" w:lineRule="auto"/>
        <w:tabs>
          <w:tab w:leader="none" w:pos="1252" w:val="left"/>
        </w:tabs>
        <w:numPr>
          <w:ilvl w:val="2"/>
          <w:numId w:val="234"/>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Options may be vested and exercisable within the times or upon the conditions as set forth in the Award Agreement governing such Option, provided, however, that no Option will be exercisable after the expiration of ten (10) years from the date the Option is granted and</w:t>
      </w:r>
    </w:p>
    <w:p>
      <w:pPr>
        <w:spacing w:after="0" w:line="122"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7"/>
          </w:cols>
          <w:pgMar w:left="513" w:top="274" w:right="519" w:bottom="1440" w:gutter="0" w:footer="0" w:header="0"/>
        </w:sectPr>
      </w:pPr>
    </w:p>
    <w:bookmarkStart w:id="306" w:name="page307"/>
    <w:bookmarkEnd w:id="306"/>
    <w:p>
      <w:pPr>
        <w:ind w:left="7" w:right="2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provided further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-455930</wp:posOffset>
            </wp:positionV>
            <wp:extent cx="2794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42" w:lineRule="exact"/>
        <w:rPr>
          <w:sz w:val="20"/>
          <w:szCs w:val="20"/>
          <w:color w:val="auto"/>
        </w:rPr>
      </w:pPr>
    </w:p>
    <w:p>
      <w:pPr>
        <w:ind w:left="1247" w:hanging="376"/>
        <w:spacing w:after="0"/>
        <w:tabs>
          <w:tab w:leader="none" w:pos="1247"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an Option will be determined by the Committee when the Option is granted, provided that:</w:t>
      </w:r>
    </w:p>
    <w:p>
      <w:pPr>
        <w:spacing w:after="0" w:line="28" w:lineRule="exact"/>
        <w:rPr>
          <w:rFonts w:ascii="Arial" w:cs="Arial" w:eastAsia="Arial" w:hAnsi="Arial"/>
          <w:sz w:val="17"/>
          <w:szCs w:val="17"/>
          <w:color w:val="auto"/>
        </w:rPr>
      </w:pPr>
    </w:p>
    <w:p>
      <w:pPr>
        <w:ind w:left="247" w:hanging="247"/>
        <w:spacing w:after="0"/>
        <w:tabs>
          <w:tab w:leader="none" w:pos="24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Exercise Price of an Option will be not less than one hundred percent (100%) of the Fair Market Value of the Shares on the date of grant, and</w:t>
      </w:r>
    </w:p>
    <w:p>
      <w:pPr>
        <w:spacing w:after="0" w:line="29" w:lineRule="exact"/>
        <w:rPr>
          <w:rFonts w:ascii="Arial" w:cs="Arial" w:eastAsia="Arial" w:hAnsi="Arial"/>
          <w:sz w:val="16"/>
          <w:szCs w:val="16"/>
          <w:color w:val="auto"/>
        </w:rPr>
      </w:pPr>
    </w:p>
    <w:p>
      <w:pPr>
        <w:ind w:left="7" w:right="80" w:hanging="7"/>
        <w:spacing w:after="0" w:line="251" w:lineRule="auto"/>
        <w:tabs>
          <w:tab w:leader="none" w:pos="25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Exercise Price of any ISO granted to a Ten Percent Stockholder will not be less than one hundred ten percent (110%) of the Fair Market Value of the Shares on the date of grant. Payment for the Shares purchased may be made in accordance with Section 12 and the Award Agreement and in accordance with any procedures established by the Company.</w:t>
      </w:r>
    </w:p>
    <w:p>
      <w:pPr>
        <w:spacing w:after="0" w:line="192" w:lineRule="exact"/>
        <w:rPr>
          <w:rFonts w:ascii="Arial" w:cs="Arial" w:eastAsia="Arial" w:hAnsi="Arial"/>
          <w:sz w:val="18"/>
          <w:szCs w:val="18"/>
          <w:color w:val="auto"/>
        </w:rPr>
      </w:pPr>
    </w:p>
    <w:p>
      <w:pPr>
        <w:ind w:left="7" w:right="20" w:firstLine="864"/>
        <w:spacing w:after="0" w:line="283" w:lineRule="auto"/>
        <w:tabs>
          <w:tab w:leader="none" w:pos="1252"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Any Option granted hereunder will be vested and exercisable according to the terms of the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70" w:lineRule="exact"/>
        <w:rPr>
          <w:rFonts w:ascii="Arial" w:cs="Arial" w:eastAsia="Arial" w:hAnsi="Arial"/>
          <w:sz w:val="16"/>
          <w:szCs w:val="16"/>
          <w:color w:val="auto"/>
        </w:rPr>
      </w:pPr>
    </w:p>
    <w:p>
      <w:pPr>
        <w:ind w:left="7" w:right="180" w:firstLine="864"/>
        <w:spacing w:after="0" w:line="291" w:lineRule="auto"/>
        <w:tabs>
          <w:tab w:leader="none" w:pos="1232"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Termination of Service</w:t>
      </w:r>
      <w:r>
        <w:rPr>
          <w:rFonts w:ascii="Arial" w:cs="Arial" w:eastAsia="Arial" w:hAnsi="Arial"/>
          <w:sz w:val="16"/>
          <w:szCs w:val="16"/>
          <w:color w:val="auto"/>
        </w:rPr>
        <w:t>. 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no later than three (3) months after the date Participant’s Service terminates (or such shorter time period not less than thirty (30) days or longer time period as may be determined by the Committee, with any exercise beyond three (3) months after the date Participant’s Service terminates deemed to be the exercise of an NSO), but in any event no later than the expiration date of the Options.</w:t>
      </w:r>
    </w:p>
    <w:p>
      <w:pPr>
        <w:spacing w:after="0" w:line="164" w:lineRule="exact"/>
        <w:rPr>
          <w:rFonts w:ascii="Arial" w:cs="Arial" w:eastAsia="Arial" w:hAnsi="Arial"/>
          <w:sz w:val="16"/>
          <w:szCs w:val="16"/>
          <w:color w:val="auto"/>
        </w:rPr>
      </w:pPr>
    </w:p>
    <w:p>
      <w:pPr>
        <w:ind w:left="7" w:firstLine="1408"/>
        <w:spacing w:after="0" w:line="251" w:lineRule="auto"/>
        <w:tabs>
          <w:tab w:leader="none" w:pos="1767" w:val="left"/>
        </w:tabs>
        <w:numPr>
          <w:ilvl w:val="2"/>
          <w:numId w:val="23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not less than six (6) months or longer time period as may be determined by the Committee), but in any event no later than the expiration date of the Options.</w:t>
      </w:r>
    </w:p>
    <w:p>
      <w:pPr>
        <w:spacing w:after="0" w:line="12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7"/>
          </w:cols>
          <w:pgMar w:left="513" w:top="274" w:right="499" w:bottom="1440" w:gutter="0" w:footer="0" w:header="0"/>
        </w:sectPr>
      </w:pPr>
    </w:p>
    <w:bookmarkStart w:id="307" w:name="page308"/>
    <w:bookmarkEnd w:id="307"/>
    <w:p>
      <w:pPr>
        <w:ind w:firstLine="1408"/>
        <w:spacing w:after="0" w:line="267" w:lineRule="auto"/>
        <w:tabs>
          <w:tab w:leader="none" w:pos="1809"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7290435" cy="37465"/>
                    </a:xfrm>
                    <a:prstGeom prst="rect">
                      <a:avLst/>
                    </a:prstGeom>
                    <a:noFill/>
                  </pic:spPr>
                </pic:pic>
              </a:graphicData>
            </a:graphic>
          </wp:anchor>
        </w:drawing>
        <w:t>Disability</w:t>
      </w:r>
      <w:r>
        <w:rPr>
          <w:rFonts w:ascii="Arial" w:cs="Arial" w:eastAsia="Arial" w:hAnsi="Arial"/>
          <w:sz w:val="17"/>
          <w:szCs w:val="17"/>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Service terminates when the termination of Service is for a Disability that is not a “permanent and total disability” as defined in Section 22(e)(3) of the Code or (b) twelve (12) months after the date Participant’s Service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80" w:lineRule="exact"/>
        <w:rPr>
          <w:rFonts w:ascii="Arial" w:cs="Arial" w:eastAsia="Arial" w:hAnsi="Arial"/>
          <w:sz w:val="17"/>
          <w:szCs w:val="17"/>
          <w:color w:val="auto"/>
        </w:rPr>
      </w:pPr>
    </w:p>
    <w:p>
      <w:pPr>
        <w:ind w:right="20" w:firstLine="1408"/>
        <w:spacing w:after="0" w:line="250" w:lineRule="auto"/>
        <w:tabs>
          <w:tab w:leader="none" w:pos="185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Cause. Unless determined otherwise by the Committee,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w:t>
      </w:r>
    </w:p>
    <w:p>
      <w:pPr>
        <w:spacing w:after="0" w:line="197" w:lineRule="exact"/>
        <w:rPr>
          <w:rFonts w:ascii="Arial" w:cs="Arial" w:eastAsia="Arial" w:hAnsi="Arial"/>
          <w:sz w:val="18"/>
          <w:szCs w:val="18"/>
          <w:color w:val="auto"/>
        </w:rPr>
      </w:pPr>
    </w:p>
    <w:p>
      <w:pPr>
        <w:ind w:right="260" w:firstLine="864"/>
        <w:spacing w:after="0" w:line="257" w:lineRule="auto"/>
        <w:tabs>
          <w:tab w:leader="none" w:pos="125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Limitations on Exercise</w:t>
      </w:r>
      <w:r>
        <w:rPr>
          <w:rFonts w:ascii="Arial" w:cs="Arial" w:eastAsia="Arial" w:hAnsi="Arial"/>
          <w:sz w:val="18"/>
          <w:szCs w:val="18"/>
          <w:color w:val="auto"/>
        </w:rPr>
        <w:t xml:space="preserve">. The Committee may specify a minimum number of Shares that may be purchased on any exercise of an Option,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minimum number will not prevent any Participant from exercising the Option for the full number of Shares for which it is then exercisable.</w:t>
      </w:r>
    </w:p>
    <w:p>
      <w:pPr>
        <w:spacing w:after="0" w:line="188" w:lineRule="exact"/>
        <w:rPr>
          <w:rFonts w:ascii="Arial" w:cs="Arial" w:eastAsia="Arial" w:hAnsi="Arial"/>
          <w:sz w:val="18"/>
          <w:szCs w:val="18"/>
          <w:color w:val="auto"/>
        </w:rPr>
      </w:pPr>
    </w:p>
    <w:p>
      <w:pPr>
        <w:ind w:firstLine="864"/>
        <w:spacing w:after="0" w:line="267" w:lineRule="auto"/>
        <w:tabs>
          <w:tab w:leader="none" w:pos="1255"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Limitations on ISOs</w:t>
      </w:r>
      <w:r>
        <w:rPr>
          <w:rFonts w:ascii="Arial" w:cs="Arial" w:eastAsia="Arial" w:hAnsi="Arial"/>
          <w:sz w:val="17"/>
          <w:szCs w:val="17"/>
          <w:color w:val="auto"/>
        </w:rPr>
        <w:t>. 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84" w:lineRule="exact"/>
        <w:rPr>
          <w:rFonts w:ascii="Arial" w:cs="Arial" w:eastAsia="Arial" w:hAnsi="Arial"/>
          <w:sz w:val="17"/>
          <w:szCs w:val="17"/>
          <w:color w:val="auto"/>
        </w:rPr>
      </w:pPr>
    </w:p>
    <w:p>
      <w:pPr>
        <w:ind w:firstLine="864"/>
        <w:spacing w:after="0" w:line="269" w:lineRule="auto"/>
        <w:tabs>
          <w:tab w:leader="none" w:pos="1216"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Modification, Extension or Renewal</w:t>
      </w:r>
      <w:r>
        <w:rPr>
          <w:rFonts w:ascii="Arial" w:cs="Arial" w:eastAsia="Arial" w:hAnsi="Arial"/>
          <w:sz w:val="17"/>
          <w:szCs w:val="17"/>
          <w:color w:val="auto"/>
        </w:rPr>
        <w:t xml:space="preserve">. The Committee may modify, extend, or renew outstanding Options and authorize the grant of new Options in substitution therefor,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19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spacing w:after="0" w:line="178" w:lineRule="exact"/>
        <w:rPr>
          <w:rFonts w:ascii="Arial" w:cs="Arial" w:eastAsia="Arial" w:hAnsi="Arial"/>
          <w:sz w:val="17"/>
          <w:szCs w:val="17"/>
          <w:color w:val="auto"/>
        </w:rPr>
      </w:pPr>
    </w:p>
    <w:p>
      <w:pPr>
        <w:ind w:right="20" w:firstLine="864"/>
        <w:spacing w:after="0" w:line="257" w:lineRule="auto"/>
        <w:tabs>
          <w:tab w:leader="none" w:pos="121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20" w:top="273" w:right="519" w:bottom="1440" w:gutter="0" w:footer="0" w:header="0"/>
        </w:sectPr>
      </w:pPr>
    </w:p>
    <w:bookmarkStart w:id="308" w:name="page309"/>
    <w:bookmarkEnd w:id="308"/>
    <w:p>
      <w:pPr>
        <w:ind w:right="20" w:firstLine="428"/>
        <w:spacing w:after="0" w:line="256" w:lineRule="auto"/>
        <w:tabs>
          <w:tab w:leader="none" w:pos="746"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RESTRICTED STOCK AWARDS</w:t>
      </w:r>
      <w:r>
        <w:rPr>
          <w:rFonts w:ascii="Arial" w:cs="Arial" w:eastAsia="Arial" w:hAnsi="Arial"/>
          <w:sz w:val="18"/>
          <w:szCs w:val="18"/>
          <w:color w:val="auto"/>
        </w:rPr>
        <w:t>. A Restricted Stock Award is an offer by the Company to sell to an eligible Employee, Consultant,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89" w:lineRule="exact"/>
        <w:rPr>
          <w:rFonts w:ascii="Arial" w:cs="Arial" w:eastAsia="Arial" w:hAnsi="Arial"/>
          <w:sz w:val="18"/>
          <w:szCs w:val="18"/>
          <w:b w:val="1"/>
          <w:bCs w:val="1"/>
          <w:color w:val="auto"/>
        </w:rPr>
      </w:pPr>
    </w:p>
    <w:p>
      <w:pPr>
        <w:ind w:firstLine="864"/>
        <w:spacing w:after="0" w:line="252" w:lineRule="auto"/>
        <w:tabs>
          <w:tab w:leader="none" w:pos="1245"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93" w:lineRule="exact"/>
        <w:rPr>
          <w:rFonts w:ascii="Arial" w:cs="Arial" w:eastAsia="Arial" w:hAnsi="Arial"/>
          <w:sz w:val="18"/>
          <w:szCs w:val="18"/>
          <w:color w:val="auto"/>
        </w:rPr>
      </w:pPr>
    </w:p>
    <w:p>
      <w:pPr>
        <w:ind w:right="40" w:firstLine="864"/>
        <w:spacing w:after="0" w:line="257" w:lineRule="auto"/>
        <w:tabs>
          <w:tab w:leader="none" w:pos="1255"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a Restricted Stock Award will be determined by the Committee and may be less than Fair Market Value on the date the Restricted Stock Award is granted. Payment of the Purchase Price must be made in accordance with Section 12 of the Plan, and the Award Agreement and in accordance with any procedures established by the Company.</w:t>
      </w:r>
    </w:p>
    <w:p>
      <w:pPr>
        <w:spacing w:after="0" w:line="188" w:lineRule="exact"/>
        <w:rPr>
          <w:rFonts w:ascii="Arial" w:cs="Arial" w:eastAsia="Arial" w:hAnsi="Arial"/>
          <w:sz w:val="18"/>
          <w:szCs w:val="18"/>
          <w:color w:val="auto"/>
        </w:rPr>
      </w:pPr>
    </w:p>
    <w:p>
      <w:pPr>
        <w:ind w:right="40" w:firstLine="864"/>
        <w:spacing w:after="0" w:line="267" w:lineRule="auto"/>
        <w:tabs>
          <w:tab w:leader="none" w:pos="1245"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84" w:lineRule="exact"/>
        <w:rPr>
          <w:rFonts w:ascii="Arial" w:cs="Arial" w:eastAsia="Arial" w:hAnsi="Arial"/>
          <w:sz w:val="17"/>
          <w:szCs w:val="17"/>
          <w:color w:val="auto"/>
        </w:rPr>
      </w:pPr>
    </w:p>
    <w:p>
      <w:pPr>
        <w:ind w:right="340" w:firstLine="864"/>
        <w:spacing w:after="0" w:line="267" w:lineRule="auto"/>
        <w:tabs>
          <w:tab w:leader="none" w:pos="1255"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 terminates (unless determined otherwise by the Committee).</w:t>
      </w:r>
    </w:p>
    <w:p>
      <w:pPr>
        <w:spacing w:after="0" w:line="173" w:lineRule="exact"/>
        <w:rPr>
          <w:rFonts w:ascii="Arial" w:cs="Arial" w:eastAsia="Arial" w:hAnsi="Arial"/>
          <w:sz w:val="18"/>
          <w:szCs w:val="18"/>
          <w:color w:val="auto"/>
        </w:rPr>
      </w:pPr>
    </w:p>
    <w:p>
      <w:pPr>
        <w:jc w:val="both"/>
        <w:ind w:right="60" w:firstLine="428"/>
        <w:spacing w:after="0" w:line="308" w:lineRule="auto"/>
        <w:tabs>
          <w:tab w:leader="none" w:pos="746"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BONUS AWARDS</w:t>
      </w:r>
      <w:r>
        <w:rPr>
          <w:rFonts w:ascii="Arial" w:cs="Arial" w:eastAsia="Arial" w:hAnsi="Arial"/>
          <w:sz w:val="16"/>
          <w:szCs w:val="16"/>
          <w:color w:val="auto"/>
        </w:rPr>
        <w:t>. A Stock Bonus Award is an award to an eligible Employee, Consultant, or Director of Shares for Services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spacing w:after="0" w:line="151" w:lineRule="exact"/>
        <w:rPr>
          <w:rFonts w:ascii="Arial" w:cs="Arial" w:eastAsia="Arial" w:hAnsi="Arial"/>
          <w:sz w:val="16"/>
          <w:szCs w:val="16"/>
          <w:b w:val="1"/>
          <w:bCs w:val="1"/>
          <w:color w:val="auto"/>
        </w:rPr>
      </w:pPr>
    </w:p>
    <w:p>
      <w:pPr>
        <w:ind w:right="80" w:firstLine="864"/>
        <w:spacing w:after="0" w:line="287" w:lineRule="auto"/>
        <w:tabs>
          <w:tab w:leader="none" w:pos="1245"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Terms of Stock Bonus Awards</w:t>
      </w:r>
      <w:r>
        <w:rPr>
          <w:rFonts w:ascii="Arial" w:cs="Arial" w:eastAsia="Arial" w:hAnsi="Arial"/>
          <w:sz w:val="16"/>
          <w:szCs w:val="16"/>
          <w:color w:val="auto"/>
        </w:rPr>
        <w:t>. The Committee will determine the number of Shares to be awarded to the Participant under a Stock Bonus 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520" w:top="267" w:right="499" w:bottom="1440" w:gutter="0" w:footer="0" w:header="0"/>
        </w:sectPr>
      </w:pPr>
    </w:p>
    <w:bookmarkStart w:id="309" w:name="page310"/>
    <w:bookmarkEnd w:id="309"/>
    <w:p>
      <w:pPr>
        <w:ind w:right="100" w:firstLine="864"/>
        <w:spacing w:after="0" w:line="331" w:lineRule="auto"/>
        <w:tabs>
          <w:tab w:leader="none" w:pos="1255"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Form of Payment to Participant</w:t>
      </w:r>
      <w:r>
        <w:rPr>
          <w:rFonts w:ascii="Arial" w:cs="Arial" w:eastAsia="Arial" w:hAnsi="Arial"/>
          <w:sz w:val="16"/>
          <w:szCs w:val="16"/>
          <w:color w:val="auto"/>
        </w:rPr>
        <w:t>. Payment may be made in the form of cash, whole Shares, or a combination thereof, based on the Fair Market Value of the Shares earned under a Stock Bonus Award on the date of payment, as determined in the sole discretion of the Committee.</w:t>
      </w:r>
    </w:p>
    <w:p>
      <w:pPr>
        <w:spacing w:after="0" w:line="132" w:lineRule="exact"/>
        <w:rPr>
          <w:rFonts w:ascii="Arial" w:cs="Arial" w:eastAsia="Arial" w:hAnsi="Arial"/>
          <w:sz w:val="16"/>
          <w:szCs w:val="16"/>
          <w:color w:val="auto"/>
        </w:rPr>
      </w:pPr>
    </w:p>
    <w:p>
      <w:pPr>
        <w:ind w:right="320" w:firstLine="864"/>
        <w:spacing w:after="0" w:line="267" w:lineRule="auto"/>
        <w:tabs>
          <w:tab w:leader="none" w:pos="1245"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 terminates (unless determined otherwise by the Committee).</w:t>
      </w:r>
    </w:p>
    <w:p>
      <w:pPr>
        <w:spacing w:after="0" w:line="173" w:lineRule="exact"/>
        <w:rPr>
          <w:rFonts w:ascii="Arial" w:cs="Arial" w:eastAsia="Arial" w:hAnsi="Arial"/>
          <w:sz w:val="18"/>
          <w:szCs w:val="18"/>
          <w:color w:val="auto"/>
        </w:rPr>
      </w:pPr>
    </w:p>
    <w:p>
      <w:pPr>
        <w:jc w:val="both"/>
        <w:ind w:firstLine="428"/>
        <w:spacing w:after="0" w:line="298" w:lineRule="auto"/>
        <w:tabs>
          <w:tab w:leader="none" w:pos="746"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APPRECIATION RIGHTS</w:t>
      </w:r>
      <w:r>
        <w:rPr>
          <w:rFonts w:ascii="Arial" w:cs="Arial" w:eastAsia="Arial" w:hAnsi="Arial"/>
          <w:sz w:val="16"/>
          <w:szCs w:val="16"/>
          <w:color w:val="auto"/>
        </w:rPr>
        <w:t>. A Stock Appreciation Right (“</w:t>
      </w:r>
      <w:r>
        <w:rPr>
          <w:rFonts w:ascii="Arial" w:cs="Arial" w:eastAsia="Arial" w:hAnsi="Arial"/>
          <w:sz w:val="16"/>
          <w:szCs w:val="16"/>
          <w:b w:val="1"/>
          <w:bCs w:val="1"/>
          <w:i w:val="1"/>
          <w:iCs w:val="1"/>
          <w:color w:val="auto"/>
        </w:rPr>
        <w:t>SAR</w:t>
      </w:r>
      <w:r>
        <w:rPr>
          <w:rFonts w:ascii="Arial" w:cs="Arial" w:eastAsia="Arial" w:hAnsi="Arial"/>
          <w:sz w:val="16"/>
          <w:szCs w:val="16"/>
          <w:color w:val="auto"/>
        </w:rPr>
        <w:t>”) is an award to an eligible Employee, Consultant, or Director that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spacing w:after="0" w:line="158" w:lineRule="exact"/>
        <w:rPr>
          <w:rFonts w:ascii="Arial" w:cs="Arial" w:eastAsia="Arial" w:hAnsi="Arial"/>
          <w:sz w:val="16"/>
          <w:szCs w:val="16"/>
          <w:b w:val="1"/>
          <w:bCs w:val="1"/>
          <w:color w:val="auto"/>
        </w:rPr>
      </w:pPr>
    </w:p>
    <w:p>
      <w:pPr>
        <w:ind w:firstLine="864"/>
        <w:spacing w:after="0" w:line="249" w:lineRule="auto"/>
        <w:tabs>
          <w:tab w:leader="none" w:pos="1245"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200" w:lineRule="exact"/>
        <w:rPr>
          <w:rFonts w:ascii="Arial" w:cs="Arial" w:eastAsia="Arial" w:hAnsi="Arial"/>
          <w:sz w:val="18"/>
          <w:szCs w:val="18"/>
          <w:color w:val="auto"/>
        </w:rPr>
      </w:pPr>
    </w:p>
    <w:p>
      <w:pPr>
        <w:ind w:right="140" w:firstLine="864"/>
        <w:spacing w:after="0" w:line="287" w:lineRule="auto"/>
        <w:tabs>
          <w:tab w:leader="none" w:pos="1255"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Exercise Period and Expiration Date</w:t>
      </w:r>
      <w:r>
        <w:rPr>
          <w:rFonts w:ascii="Arial" w:cs="Arial" w:eastAsia="Arial" w:hAnsi="Arial"/>
          <w:sz w:val="16"/>
          <w:szCs w:val="16"/>
          <w:color w:val="auto"/>
        </w:rPr>
        <w:t>. A SAR will be exercisable within the times or upon the occurrence of events determined by the 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66" w:lineRule="exact"/>
        <w:rPr>
          <w:rFonts w:ascii="Arial" w:cs="Arial" w:eastAsia="Arial" w:hAnsi="Arial"/>
          <w:sz w:val="16"/>
          <w:szCs w:val="16"/>
          <w:color w:val="auto"/>
        </w:rPr>
      </w:pPr>
    </w:p>
    <w:p>
      <w:pPr>
        <w:ind w:firstLine="864"/>
        <w:spacing w:after="0" w:line="251" w:lineRule="auto"/>
        <w:tabs>
          <w:tab w:leader="none" w:pos="1245"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Form of Settlement</w:t>
      </w:r>
      <w:r>
        <w:rPr>
          <w:rFonts w:ascii="Arial" w:cs="Arial" w:eastAsia="Arial" w:hAnsi="Arial"/>
          <w:sz w:val="18"/>
          <w:szCs w:val="18"/>
          <w:color w:val="auto"/>
        </w:rPr>
        <w:t xml:space="preserve">. Upon exercise of a SAR, a Participant will be entitled to receive payment from the Company in an amount determined 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terms of the SAR and any deferral satisfy the requirements of Section 409A of the Code to the extent applicable.</w:t>
      </w:r>
    </w:p>
    <w:p>
      <w:pPr>
        <w:spacing w:after="0" w:line="194" w:lineRule="exact"/>
        <w:rPr>
          <w:rFonts w:ascii="Arial" w:cs="Arial" w:eastAsia="Arial" w:hAnsi="Arial"/>
          <w:sz w:val="18"/>
          <w:szCs w:val="18"/>
          <w:color w:val="auto"/>
        </w:rPr>
      </w:pPr>
    </w:p>
    <w:p>
      <w:pPr>
        <w:ind w:right="320" w:firstLine="864"/>
        <w:spacing w:after="0" w:line="267" w:lineRule="auto"/>
        <w:tabs>
          <w:tab w:leader="none" w:pos="1255"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 terminates (unless determined otherwise by the Committee).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520" w:top="274" w:right="519" w:bottom="1440" w:gutter="0" w:footer="0" w:header="0"/>
        </w:sectPr>
      </w:pPr>
    </w:p>
    <w:bookmarkStart w:id="310" w:name="page311"/>
    <w:bookmarkEnd w:id="310"/>
    <w:p>
      <w:pPr>
        <w:jc w:val="both"/>
        <w:ind w:left="7" w:right="140" w:firstLine="428"/>
        <w:spacing w:after="0" w:line="260" w:lineRule="auto"/>
        <w:tabs>
          <w:tab w:leader="none" w:pos="752" w:val="left"/>
        </w:tabs>
        <w:numPr>
          <w:ilvl w:val="1"/>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7290435" cy="37465"/>
                    </a:xfrm>
                    <a:prstGeom prst="rect">
                      <a:avLst/>
                    </a:prstGeom>
                    <a:noFill/>
                  </pic:spPr>
                </pic:pic>
              </a:graphicData>
            </a:graphic>
          </wp:anchor>
        </w:drawing>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 Shares (which may consist of Restricted Stock). All RSUs will be made pursuant to an Award Agreement.</w:t>
      </w:r>
    </w:p>
    <w:p>
      <w:pPr>
        <w:spacing w:after="0" w:line="186" w:lineRule="exact"/>
        <w:rPr>
          <w:rFonts w:ascii="Arial" w:cs="Arial" w:eastAsia="Arial" w:hAnsi="Arial"/>
          <w:sz w:val="18"/>
          <w:szCs w:val="18"/>
          <w:b w:val="1"/>
          <w:bCs w:val="1"/>
          <w:color w:val="auto"/>
        </w:rPr>
      </w:pPr>
    </w:p>
    <w:p>
      <w:pPr>
        <w:ind w:left="7" w:firstLine="864"/>
        <w:spacing w:after="0" w:line="280" w:lineRule="auto"/>
        <w:tabs>
          <w:tab w:leader="none" w:pos="1252" w:val="left"/>
        </w:tabs>
        <w:numPr>
          <w:ilvl w:val="2"/>
          <w:numId w:val="242"/>
        </w:numPr>
        <w:rPr>
          <w:rFonts w:ascii="Arial" w:cs="Arial" w:eastAsia="Arial" w:hAnsi="Arial"/>
          <w:sz w:val="16"/>
          <w:szCs w:val="16"/>
          <w:color w:val="auto"/>
        </w:rPr>
      </w:pPr>
      <w:r>
        <w:rPr>
          <w:rFonts w:ascii="Arial" w:cs="Arial" w:eastAsia="Arial" w:hAnsi="Arial"/>
          <w:sz w:val="16"/>
          <w:szCs w:val="16"/>
          <w:u w:val="single" w:color="auto"/>
          <w:color w:val="auto"/>
        </w:rPr>
        <w:t>Terms of RSUs</w:t>
      </w:r>
      <w:r>
        <w:rPr>
          <w:rFonts w:ascii="Arial" w:cs="Arial" w:eastAsia="Arial" w:hAnsi="Arial"/>
          <w:sz w:val="16"/>
          <w:szCs w:val="16"/>
          <w:color w:val="auto"/>
        </w:rPr>
        <w:t>.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w:t>
      </w:r>
    </w:p>
    <w:p>
      <w:pPr>
        <w:spacing w:after="0" w:line="3" w:lineRule="exact"/>
        <w:rPr>
          <w:rFonts w:ascii="Arial" w:cs="Arial" w:eastAsia="Arial" w:hAnsi="Arial"/>
          <w:sz w:val="16"/>
          <w:szCs w:val="16"/>
          <w:color w:val="auto"/>
        </w:rPr>
      </w:pPr>
    </w:p>
    <w:p>
      <w:pPr>
        <w:ind w:left="7" w:hanging="7"/>
        <w:spacing w:after="0" w:line="283" w:lineRule="auto"/>
        <w:tabs>
          <w:tab w:leader="none" w:pos="31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68" w:lineRule="exact"/>
        <w:rPr>
          <w:rFonts w:ascii="Arial" w:cs="Arial" w:eastAsia="Arial" w:hAnsi="Arial"/>
          <w:sz w:val="17"/>
          <w:szCs w:val="17"/>
          <w:color w:val="auto"/>
        </w:rPr>
      </w:pPr>
    </w:p>
    <w:p>
      <w:pPr>
        <w:ind w:left="7" w:right="140" w:firstLine="864"/>
        <w:spacing w:after="0" w:line="273" w:lineRule="auto"/>
        <w:tabs>
          <w:tab w:leader="none" w:pos="1262" w:val="left"/>
        </w:tabs>
        <w:numPr>
          <w:ilvl w:val="2"/>
          <w:numId w:val="243"/>
        </w:numPr>
        <w:rPr>
          <w:rFonts w:ascii="Arial" w:cs="Arial" w:eastAsia="Arial" w:hAnsi="Arial"/>
          <w:sz w:val="17"/>
          <w:szCs w:val="17"/>
          <w:color w:val="auto"/>
        </w:rPr>
      </w:pPr>
      <w:r>
        <w:rPr>
          <w:rFonts w:ascii="Arial" w:cs="Arial" w:eastAsia="Arial" w:hAnsi="Arial"/>
          <w:sz w:val="17"/>
          <w:szCs w:val="17"/>
          <w:u w:val="single" w:color="auto"/>
          <w:color w:val="auto"/>
        </w:rPr>
        <w:t>Form and Timing of Settlement</w:t>
      </w:r>
      <w:r>
        <w:rPr>
          <w:rFonts w:ascii="Arial" w:cs="Arial" w:eastAsia="Arial" w:hAnsi="Arial"/>
          <w:sz w:val="17"/>
          <w:szCs w:val="17"/>
          <w:color w:val="auto"/>
        </w:rPr>
        <w:t xml:space="preserve">. Payment of earned RSUs will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terms of the RSU and any deferral satisfy the requirements of Section 409A of the Code to the extent applicable.</w:t>
      </w:r>
    </w:p>
    <w:p>
      <w:pPr>
        <w:spacing w:after="0" w:line="177" w:lineRule="exact"/>
        <w:rPr>
          <w:rFonts w:ascii="Arial" w:cs="Arial" w:eastAsia="Arial" w:hAnsi="Arial"/>
          <w:sz w:val="17"/>
          <w:szCs w:val="17"/>
          <w:color w:val="auto"/>
        </w:rPr>
      </w:pPr>
    </w:p>
    <w:p>
      <w:pPr>
        <w:ind w:left="7" w:right="320" w:firstLine="864"/>
        <w:spacing w:after="0" w:line="267" w:lineRule="auto"/>
        <w:tabs>
          <w:tab w:leader="none" w:pos="1252" w:val="left"/>
        </w:tabs>
        <w:numPr>
          <w:ilvl w:val="2"/>
          <w:numId w:val="243"/>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 terminates (unless determined otherwise by the Committee).</w:t>
      </w:r>
    </w:p>
    <w:p>
      <w:pPr>
        <w:spacing w:after="0" w:line="280" w:lineRule="exact"/>
        <w:rPr>
          <w:rFonts w:ascii="Arial" w:cs="Arial" w:eastAsia="Arial" w:hAnsi="Arial"/>
          <w:sz w:val="18"/>
          <w:szCs w:val="18"/>
          <w:color w:val="auto"/>
        </w:rPr>
      </w:pPr>
    </w:p>
    <w:p>
      <w:pPr>
        <w:ind w:left="827" w:hanging="392"/>
        <w:spacing w:after="0"/>
        <w:tabs>
          <w:tab w:leader="none" w:pos="827"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left="7" w:right="80" w:firstLine="864"/>
        <w:spacing w:after="0" w:line="273" w:lineRule="auto"/>
        <w:tabs>
          <w:tab w:leader="none" w:pos="1252" w:val="left"/>
        </w:tabs>
        <w:numPr>
          <w:ilvl w:val="2"/>
          <w:numId w:val="244"/>
        </w:numPr>
        <w:rPr>
          <w:rFonts w:ascii="Arial" w:cs="Arial" w:eastAsia="Arial" w:hAnsi="Arial"/>
          <w:sz w:val="17"/>
          <w:szCs w:val="17"/>
          <w:color w:val="auto"/>
        </w:rPr>
      </w:pPr>
      <w:r>
        <w:rPr>
          <w:rFonts w:ascii="Arial" w:cs="Arial" w:eastAsia="Arial" w:hAnsi="Arial"/>
          <w:sz w:val="17"/>
          <w:szCs w:val="17"/>
          <w:u w:val="single" w:color="auto"/>
          <w:color w:val="auto"/>
        </w:rPr>
        <w:t>Types of Performance Awards</w:t>
      </w:r>
      <w:r>
        <w:rPr>
          <w:rFonts w:ascii="Arial" w:cs="Arial" w:eastAsia="Arial" w:hAnsi="Arial"/>
          <w:sz w:val="17"/>
          <w:szCs w:val="17"/>
          <w:color w:val="auto"/>
        </w:rPr>
        <w:t>. A Performance Award is an award to an eligible Employee, Consultant, or Director of the Company or any Parent, Subsidiary, or Affiliate that is 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will be made pursuant to an Award Agreement.</w:t>
      </w:r>
    </w:p>
    <w:p>
      <w:pPr>
        <w:spacing w:after="0" w:line="177" w:lineRule="exact"/>
        <w:rPr>
          <w:rFonts w:ascii="Arial" w:cs="Arial" w:eastAsia="Arial" w:hAnsi="Arial"/>
          <w:sz w:val="17"/>
          <w:szCs w:val="17"/>
          <w:color w:val="auto"/>
        </w:rPr>
      </w:pPr>
    </w:p>
    <w:p>
      <w:pPr>
        <w:ind w:left="7" w:firstLine="1408"/>
        <w:spacing w:after="0" w:line="267" w:lineRule="auto"/>
        <w:tabs>
          <w:tab w:leader="none" w:pos="1767" w:val="left"/>
        </w:tabs>
        <w:numPr>
          <w:ilvl w:val="3"/>
          <w:numId w:val="244"/>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The Committee may grant Awards of Performance Shares, designate the Participants to whom Performance Shares are to be awarded, and determine the number of Performance Shares and the terms and conditions of each such Award. Performance Shares will consist of a unit valued by reference to a designated number of Shares, the value of which may be paid to the Participant by delivery of Shares or, if set forth in the instrument evidencing the Award, of such property as the Committee will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will determine in its sole discretion.</w:t>
      </w:r>
    </w:p>
    <w:p>
      <w:pPr>
        <w:spacing w:after="0" w:line="184" w:lineRule="exact"/>
        <w:rPr>
          <w:rFonts w:ascii="Arial" w:cs="Arial" w:eastAsia="Arial" w:hAnsi="Arial"/>
          <w:sz w:val="17"/>
          <w:szCs w:val="17"/>
          <w:color w:val="auto"/>
        </w:rPr>
      </w:pPr>
    </w:p>
    <w:p>
      <w:pPr>
        <w:ind w:left="7" w:right="80" w:firstLine="1408"/>
        <w:spacing w:after="0" w:line="257" w:lineRule="auto"/>
        <w:tabs>
          <w:tab w:leader="none" w:pos="1816" w:val="left"/>
        </w:tabs>
        <w:numPr>
          <w:ilvl w:val="3"/>
          <w:numId w:val="244"/>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The Committee may grant Awards of Performance Units, designate the Participants to whom Performance Units are to be awarded, and determine the number of Performance Units and the terms and conditions of each such Award. Performance Units will consist of</w:t>
      </w:r>
    </w:p>
    <w:p>
      <w:pPr>
        <w:spacing w:after="0" w:line="12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7"/>
          </w:cols>
          <w:pgMar w:left="513" w:top="267" w:right="519" w:bottom="1440" w:gutter="0" w:footer="0" w:header="0"/>
        </w:sectPr>
      </w:pPr>
    </w:p>
    <w:bookmarkStart w:id="311" w:name="page312"/>
    <w:bookmarkEnd w:id="311"/>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 unit valued by reference to a designated amount of property other than Shares, which value may be paid to the Participant by delivery of such property as the Committee will determine, including, without limitation, cash, Shares, other property, or any combination thereof, upon the attainment of performance goals, as established by the Committee, and other terms and conditions specified by the Committee.</w:t>
      </w:r>
    </w:p>
    <w:p>
      <w:pPr>
        <w:spacing w:after="0" w:line="172" w:lineRule="exact"/>
        <w:rPr>
          <w:sz w:val="20"/>
          <w:szCs w:val="20"/>
          <w:color w:val="auto"/>
        </w:rPr>
      </w:pPr>
    </w:p>
    <w:p>
      <w:pPr>
        <w:ind w:right="20" w:firstLine="1408"/>
        <w:spacing w:after="0" w:line="257" w:lineRule="auto"/>
        <w:tabs>
          <w:tab w:leader="none" w:pos="1859" w:val="left"/>
        </w:tabs>
        <w:numPr>
          <w:ilvl w:val="2"/>
          <w:numId w:val="245"/>
        </w:numPr>
        <w:rPr>
          <w:rFonts w:ascii="Arial" w:cs="Arial" w:eastAsia="Arial" w:hAnsi="Arial"/>
          <w:sz w:val="18"/>
          <w:szCs w:val="18"/>
          <w:color w:val="auto"/>
        </w:rPr>
      </w:pPr>
      <w:r>
        <w:rPr>
          <w:rFonts w:ascii="Arial" w:cs="Arial" w:eastAsia="Arial" w:hAnsi="Arial"/>
          <w:sz w:val="18"/>
          <w:szCs w:val="18"/>
          <w:u w:val="single" w:color="auto"/>
          <w:color w:val="auto"/>
        </w:rPr>
        <w:t>Cash-Settled Performance Awards</w:t>
      </w:r>
      <w:r>
        <w:rPr>
          <w:rFonts w:ascii="Arial" w:cs="Arial" w:eastAsia="Arial" w:hAnsi="Arial"/>
          <w:sz w:val="18"/>
          <w:szCs w:val="18"/>
          <w:color w:val="auto"/>
        </w:rPr>
        <w:t>. The Committee may also grant cash-based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188" w:lineRule="exact"/>
        <w:rPr>
          <w:rFonts w:ascii="Arial" w:cs="Arial" w:eastAsia="Arial" w:hAnsi="Arial"/>
          <w:sz w:val="18"/>
          <w:szCs w:val="18"/>
          <w:color w:val="auto"/>
        </w:rPr>
      </w:pPr>
    </w:p>
    <w:p>
      <w:pPr>
        <w:ind w:firstLine="864"/>
        <w:spacing w:after="0" w:line="265" w:lineRule="auto"/>
        <w:tabs>
          <w:tab w:leader="none" w:pos="1255"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Terms of Performance Awards</w:t>
      </w:r>
      <w:r>
        <w:rPr>
          <w:rFonts w:ascii="Arial" w:cs="Arial" w:eastAsia="Arial" w:hAnsi="Arial"/>
          <w:sz w:val="17"/>
          <w:szCs w:val="17"/>
          <w:color w:val="auto"/>
        </w:rPr>
        <w:t>. The Committee will determine, and each Award Agreement will set forth, the terms of each Performance Award including, without limitation: (a) the amount of any cash bonus, (b) the number of Shares deemed subject to an award of Performance Shares, (c) the Performance Factors and Performance Period that will determine the time and extent to which each award of Performance Shares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88" w:lineRule="exact"/>
        <w:rPr>
          <w:rFonts w:ascii="Arial" w:cs="Arial" w:eastAsia="Arial" w:hAnsi="Arial"/>
          <w:sz w:val="17"/>
          <w:szCs w:val="17"/>
          <w:color w:val="auto"/>
        </w:rPr>
      </w:pPr>
    </w:p>
    <w:p>
      <w:pPr>
        <w:ind w:right="420" w:firstLine="864"/>
        <w:spacing w:after="0" w:line="267" w:lineRule="auto"/>
        <w:tabs>
          <w:tab w:leader="none" w:pos="1245"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Participant’s Service terminates (unless determined otherwise by the Committee).</w:t>
      </w:r>
    </w:p>
    <w:p>
      <w:pPr>
        <w:spacing w:after="0" w:line="173" w:lineRule="exact"/>
        <w:rPr>
          <w:rFonts w:ascii="Arial" w:cs="Arial" w:eastAsia="Arial" w:hAnsi="Arial"/>
          <w:sz w:val="18"/>
          <w:szCs w:val="18"/>
          <w:color w:val="auto"/>
        </w:rPr>
      </w:pPr>
    </w:p>
    <w:p>
      <w:pPr>
        <w:ind w:firstLine="428"/>
        <w:spacing w:after="0" w:line="256" w:lineRule="auto"/>
        <w:tabs>
          <w:tab w:leader="none" w:pos="825"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AWARDS</w:t>
      </w:r>
      <w:r>
        <w:rPr>
          <w:rFonts w:ascii="Arial" w:cs="Arial" w:eastAsia="Arial" w:hAnsi="Arial"/>
          <w:sz w:val="18"/>
          <w:szCs w:val="18"/>
          <w:color w:val="auto"/>
        </w:rPr>
        <w:t>. A Cash Award (“</w:t>
      </w: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is an award that is denominated in, or payable to an eligible Participant solely in, cash, as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by the Committee to be consistent with the purposes of the Plan. Cash Awards shall be subject to the terms, conditions, restrictions and limitations determined by the Committee, in its sole discretion, from time to time. Awards granted pursuant to this Section 11 may be granted with value and payment contingent upon the achievement of Performance Factors.</w:t>
      </w:r>
    </w:p>
    <w:p>
      <w:pPr>
        <w:spacing w:after="0" w:line="183" w:lineRule="exact"/>
        <w:rPr>
          <w:rFonts w:ascii="Arial" w:cs="Arial" w:eastAsia="Arial" w:hAnsi="Arial"/>
          <w:sz w:val="18"/>
          <w:szCs w:val="18"/>
          <w:b w:val="1"/>
          <w:bCs w:val="1"/>
          <w:color w:val="auto"/>
        </w:rPr>
      </w:pPr>
    </w:p>
    <w:p>
      <w:pPr>
        <w:ind w:right="40" w:firstLine="428"/>
        <w:spacing w:after="0" w:line="260" w:lineRule="auto"/>
        <w:tabs>
          <w:tab w:leader="none" w:pos="835"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purchased pursuant to this Plan may be made in cash or</w:t>
      </w:r>
      <w:r>
        <w:rPr>
          <w:rFonts w:ascii="Arial" w:cs="Arial" w:eastAsia="Arial" w:hAnsi="Arial"/>
          <w:sz w:val="18"/>
          <w:szCs w:val="18"/>
          <w:b w:val="1"/>
          <w:bCs w:val="1"/>
          <w:color w:val="auto"/>
        </w:rPr>
        <w:t xml:space="preserve"> </w:t>
      </w:r>
      <w:r>
        <w:rPr>
          <w:rFonts w:ascii="Arial" w:cs="Arial" w:eastAsia="Arial" w:hAnsi="Arial"/>
          <w:sz w:val="18"/>
          <w:szCs w:val="18"/>
          <w:color w:val="auto"/>
        </w:rPr>
        <w:t>by check or, where expressly approved for the Participant by the Committee and where permitted by law (and to the extent not otherwise set forth in the applicable Award Agreement):</w:t>
      </w:r>
    </w:p>
    <w:p>
      <w:pPr>
        <w:spacing w:after="0" w:line="186" w:lineRule="exact"/>
        <w:rPr>
          <w:rFonts w:ascii="Arial" w:cs="Arial" w:eastAsia="Arial" w:hAnsi="Arial"/>
          <w:sz w:val="18"/>
          <w:szCs w:val="18"/>
          <w:b w:val="1"/>
          <w:bCs w:val="1"/>
          <w:color w:val="auto"/>
        </w:rPr>
      </w:pPr>
    </w:p>
    <w:p>
      <w:pPr>
        <w:ind w:left="1760" w:hanging="352"/>
        <w:spacing w:after="0"/>
        <w:tabs>
          <w:tab w:leader="none" w:pos="176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by cancellation of indebtedness of the Company to the Participant;</w:t>
      </w:r>
    </w:p>
    <w:p>
      <w:pPr>
        <w:spacing w:after="0" w:line="220" w:lineRule="exact"/>
        <w:rPr>
          <w:sz w:val="20"/>
          <w:szCs w:val="20"/>
          <w:color w:val="auto"/>
        </w:rPr>
      </w:pPr>
    </w:p>
    <w:p>
      <w:pPr>
        <w:ind w:right="120" w:firstLine="1408"/>
        <w:spacing w:after="0" w:line="267" w:lineRule="auto"/>
        <w:tabs>
          <w:tab w:leader="none" w:pos="180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79" w:lineRule="exact"/>
        <w:rPr>
          <w:rFonts w:ascii="Arial" w:cs="Arial" w:eastAsia="Arial" w:hAnsi="Arial"/>
          <w:sz w:val="18"/>
          <w:szCs w:val="18"/>
          <w:color w:val="auto"/>
        </w:rPr>
      </w:pPr>
    </w:p>
    <w:p>
      <w:pPr>
        <w:ind w:left="1860" w:hanging="452"/>
        <w:spacing w:after="0"/>
        <w:tabs>
          <w:tab w:leader="none" w:pos="18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Parent or Subsidiary;</w:t>
      </w:r>
    </w:p>
    <w:p>
      <w:pPr>
        <w:spacing w:after="0" w:line="208" w:lineRule="exact"/>
        <w:rPr>
          <w:rFonts w:ascii="Arial" w:cs="Arial" w:eastAsia="Arial" w:hAnsi="Arial"/>
          <w:sz w:val="16"/>
          <w:szCs w:val="16"/>
          <w:color w:val="auto"/>
        </w:rPr>
      </w:pPr>
    </w:p>
    <w:p>
      <w:pPr>
        <w:ind w:right="780" w:firstLine="1408"/>
        <w:spacing w:after="0" w:line="267" w:lineRule="auto"/>
        <w:tabs>
          <w:tab w:leader="none" w:pos="184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520" w:top="274" w:right="539" w:bottom="1440" w:gutter="0" w:footer="0" w:header="0"/>
        </w:sectPr>
      </w:pPr>
    </w:p>
    <w:bookmarkStart w:id="312" w:name="page313"/>
    <w:bookmarkEnd w:id="312"/>
    <w:p>
      <w:pPr>
        <w:ind w:left="1800" w:hanging="392"/>
        <w:spacing w:after="0"/>
        <w:tabs>
          <w:tab w:leader="none" w:pos="18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by any combination of the foregoing; or</w:t>
      </w:r>
    </w:p>
    <w:p>
      <w:pPr>
        <w:spacing w:after="0" w:line="219" w:lineRule="exact"/>
        <w:rPr>
          <w:rFonts w:ascii="Arial" w:cs="Arial" w:eastAsia="Arial" w:hAnsi="Arial"/>
          <w:sz w:val="18"/>
          <w:szCs w:val="18"/>
          <w:color w:val="auto"/>
        </w:rPr>
      </w:pPr>
    </w:p>
    <w:p>
      <w:pPr>
        <w:ind w:left="1840" w:hanging="432"/>
        <w:spacing w:after="0"/>
        <w:tabs>
          <w:tab w:leader="none" w:pos="18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220" w:lineRule="exact"/>
        <w:rPr>
          <w:sz w:val="20"/>
          <w:szCs w:val="20"/>
          <w:color w:val="auto"/>
        </w:rPr>
      </w:pPr>
    </w:p>
    <w:p>
      <w:pPr>
        <w:ind w:right="180" w:firstLine="435"/>
        <w:spacing w:after="0" w:line="26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such limitation is necessary or advisable to comply with applicable law or facilitate the administration of the Plan.</w:t>
      </w:r>
    </w:p>
    <w:p>
      <w:pPr>
        <w:spacing w:after="0" w:line="280" w:lineRule="exact"/>
        <w:rPr>
          <w:sz w:val="20"/>
          <w:szCs w:val="20"/>
          <w:color w:val="auto"/>
        </w:rPr>
      </w:pPr>
    </w:p>
    <w:p>
      <w:pPr>
        <w:ind w:left="820" w:hanging="392"/>
        <w:spacing w:after="0"/>
        <w:tabs>
          <w:tab w:leader="none" w:pos="82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GRANTS TO NON-EMPLOYEE DIRECTORS</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right="60" w:firstLine="864"/>
        <w:spacing w:after="0" w:line="265" w:lineRule="auto"/>
        <w:tabs>
          <w:tab w:leader="none" w:pos="1245"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Non-Employee Directors are eligible to receive any type of Award offered under this Plan except ISOs. Awards pursuant to this Section 13 may be automatically made pursuant to policy adopted by the Board, or made from time to time as determined in the discretion of the Board. No Non-Employee Director may receive Awards under the Plan that, when combined with cash compensation received for service as a Non-Employee Director, exceed five hundred thousand ($500,000) in value (as described below) in any calendar year, increased to one million ($1,000,000) in value (as described below) in the calendar year of his or her initial services as a Non-Employee Director. The value of Awards for purposes of complying with this maximum will be determined as follows: (a) for Options and SARs, grant date fair value will be calculated using the Black-Scholes valuation methodology on the date of grant of such Option or SAR,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13.1.</w:t>
      </w:r>
    </w:p>
    <w:p>
      <w:pPr>
        <w:spacing w:after="0" w:line="183" w:lineRule="exact"/>
        <w:rPr>
          <w:rFonts w:ascii="Arial" w:cs="Arial" w:eastAsia="Arial" w:hAnsi="Arial"/>
          <w:sz w:val="17"/>
          <w:szCs w:val="17"/>
          <w:color w:val="auto"/>
        </w:rPr>
      </w:pPr>
    </w:p>
    <w:p>
      <w:pPr>
        <w:ind w:right="340" w:firstLine="864"/>
        <w:spacing w:after="0" w:line="267" w:lineRule="auto"/>
        <w:tabs>
          <w:tab w:leader="none" w:pos="1255"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13 will be granted only to Non-Employee Directors. A Non-Employee Director who is elected or re-elected as a member of the Board will be eligible to receive an Award under this Section 13.</w:t>
      </w:r>
    </w:p>
    <w:p>
      <w:pPr>
        <w:spacing w:after="0" w:line="179" w:lineRule="exact"/>
        <w:rPr>
          <w:rFonts w:ascii="Arial" w:cs="Arial" w:eastAsia="Arial" w:hAnsi="Arial"/>
          <w:sz w:val="18"/>
          <w:szCs w:val="18"/>
          <w:color w:val="auto"/>
        </w:rPr>
      </w:pPr>
    </w:p>
    <w:p>
      <w:pPr>
        <w:ind w:right="20" w:firstLine="864"/>
        <w:spacing w:after="0" w:line="257" w:lineRule="auto"/>
        <w:tabs>
          <w:tab w:leader="none" w:pos="1245"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22, Awards will vest, become exercisable, and be settled as determined by the Board. With respect to Options and SARs, the exercise price granted to Non-Employee Directors will not be less than the Fair Market Value of the Shares at the time that such Option or SAR is granted.</w:t>
      </w:r>
    </w:p>
    <w:p>
      <w:pPr>
        <w:spacing w:after="0" w:line="188" w:lineRule="exact"/>
        <w:rPr>
          <w:rFonts w:ascii="Arial" w:cs="Arial" w:eastAsia="Arial" w:hAnsi="Arial"/>
          <w:sz w:val="18"/>
          <w:szCs w:val="18"/>
          <w:color w:val="auto"/>
        </w:rPr>
      </w:pPr>
    </w:p>
    <w:p>
      <w:pPr>
        <w:ind w:firstLine="864"/>
        <w:spacing w:after="0" w:line="304" w:lineRule="auto"/>
        <w:tabs>
          <w:tab w:leader="none" w:pos="1255"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Election to Receive Awards in Lieu of Cash</w:t>
      </w:r>
      <w:r>
        <w:rPr>
          <w:rFonts w:ascii="Arial" w:cs="Arial" w:eastAsia="Arial" w:hAnsi="Arial"/>
          <w:sz w:val="16"/>
          <w:szCs w:val="16"/>
          <w:color w:val="auto"/>
        </w:rPr>
        <w:t>. A Non-Employee Director may elect to receive his or her annual retainer payments and/or meeting fees from the Company in the form of cash or Awards or a combination thereof, if permitted, and as determined, by the Committee. Such Awards will be issued under the Plan. An election under this Section 13.4 will be filed with the Company on the form prescribed by the Company.</w:t>
      </w:r>
    </w:p>
    <w:p>
      <w:pPr>
        <w:spacing w:after="0" w:line="254" w:lineRule="exact"/>
        <w:rPr>
          <w:rFonts w:ascii="Arial" w:cs="Arial" w:eastAsia="Arial" w:hAnsi="Arial"/>
          <w:sz w:val="16"/>
          <w:szCs w:val="16"/>
          <w:color w:val="auto"/>
        </w:rPr>
      </w:pPr>
    </w:p>
    <w:p>
      <w:pPr>
        <w:ind w:left="820" w:hanging="392"/>
        <w:spacing w:after="0"/>
        <w:tabs>
          <w:tab w:leader="none" w:pos="82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right="40" w:firstLine="864"/>
        <w:spacing w:after="0" w:line="269" w:lineRule="auto"/>
        <w:tabs>
          <w:tab w:leader="none" w:pos="1245"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Withholding Generally</w:t>
      </w:r>
      <w:r>
        <w:rPr>
          <w:rFonts w:ascii="Arial" w:cs="Arial" w:eastAsia="Arial" w:hAnsi="Arial"/>
          <w:sz w:val="17"/>
          <w:szCs w:val="17"/>
          <w:color w:val="auto"/>
        </w:rPr>
        <w:t>. Whenever Shares are to be issued in satisfaction of Awards granted under this Plan or a tax event occurs, the Company may require the Participant to remit to the Company, or to the Parent, Subsidiary, or Affiliate, as applicable, employing the Participant an amount sufficient to satisfy applicable U.S. federal, state, local, and international tax or any other tax or social insurance liability (the “</w:t>
      </w:r>
      <w:r>
        <w:rPr>
          <w:rFonts w:ascii="Arial" w:cs="Arial" w:eastAsia="Arial" w:hAnsi="Arial"/>
          <w:sz w:val="17"/>
          <w:szCs w:val="17"/>
          <w:b w:val="1"/>
          <w:bCs w:val="1"/>
          <w:i w:val="1"/>
          <w:iCs w:val="1"/>
          <w:color w:val="auto"/>
        </w:rPr>
        <w:t>Tax-Related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Items</w:t>
      </w:r>
      <w:r>
        <w:rPr>
          <w:rFonts w:ascii="Arial" w:cs="Arial" w:eastAsia="Arial" w:hAnsi="Arial"/>
          <w:sz w:val="17"/>
          <w:szCs w:val="17"/>
          <w:color w:val="auto"/>
        </w:rPr>
        <w:t>”) legally due from the Participant prior to the delivery of Shares pursuant to exercise or settlement of any Award. Whenever payments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satisfaction of Awards granted under this Plan are to be made in cash, such payment will be net of an amount sufficient to satisfy applicable withholding obligations for Tax-Related Items. Unless otherwise determined by the Committee, the Fair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520" w:top="274" w:right="519" w:bottom="1440" w:gutter="0" w:footer="0" w:header="0"/>
        </w:sectPr>
      </w:pPr>
    </w:p>
    <w:bookmarkStart w:id="313" w:name="page314"/>
    <w:bookmarkEnd w:id="313"/>
    <w:p>
      <w:pPr>
        <w:ind w:right="2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Market Value of the Shares will be determined as of the date that the taxes are required to be withheld and such Shares will be valued based on the value of the actual trade or, if there is none, the Fair Market Value of the Shares as of the previous trading day.</w:t>
      </w:r>
    </w:p>
    <w:p>
      <w:pPr>
        <w:spacing w:after="0" w:line="180" w:lineRule="exact"/>
        <w:rPr>
          <w:sz w:val="20"/>
          <w:szCs w:val="20"/>
          <w:color w:val="auto"/>
        </w:rPr>
      </w:pPr>
    </w:p>
    <w:p>
      <w:pPr>
        <w:ind w:firstLine="864"/>
        <w:spacing w:after="0" w:line="285" w:lineRule="auto"/>
        <w:tabs>
          <w:tab w:leader="none" w:pos="1255"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Stock Withholding</w:t>
      </w:r>
      <w:r>
        <w:rPr>
          <w:rFonts w:ascii="Arial" w:cs="Arial" w:eastAsia="Arial" w:hAnsi="Arial"/>
          <w:sz w:val="16"/>
          <w:szCs w:val="16"/>
          <w:color w:val="auto"/>
        </w:rPr>
        <w:t>. The Committee, or its delegate(s), as permitted by applicable law, in its sole discretion and pursuant to such procedures as it may specify from time to time and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spacing w:after="0" w:line="166" w:lineRule="exact"/>
        <w:rPr>
          <w:rFonts w:ascii="Arial" w:cs="Arial" w:eastAsia="Arial" w:hAnsi="Arial"/>
          <w:sz w:val="16"/>
          <w:szCs w:val="16"/>
          <w:color w:val="auto"/>
        </w:rPr>
      </w:pPr>
    </w:p>
    <w:p>
      <w:pPr>
        <w:ind w:right="160" w:firstLine="428"/>
        <w:spacing w:after="0" w:line="269" w:lineRule="auto"/>
        <w:tabs>
          <w:tab w:leader="none" w:pos="835"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color w:val="auto"/>
        </w:rPr>
        <w:t>. Unless determined otherwise by the Committee, an Award may not be sold, pledged, assigned, hypothecated,</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spacing w:after="0" w:line="279" w:lineRule="exact"/>
        <w:rPr>
          <w:rFonts w:ascii="Arial" w:cs="Arial" w:eastAsia="Arial" w:hAnsi="Arial"/>
          <w:sz w:val="17"/>
          <w:szCs w:val="17"/>
          <w:b w:val="1"/>
          <w:bCs w:val="1"/>
          <w:color w:val="auto"/>
        </w:rPr>
      </w:pPr>
    </w:p>
    <w:p>
      <w:pPr>
        <w:ind w:left="820" w:hanging="392"/>
        <w:spacing w:after="0"/>
        <w:tabs>
          <w:tab w:leader="none" w:pos="82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firstLine="864"/>
        <w:spacing w:after="0" w:line="281" w:lineRule="auto"/>
        <w:tabs>
          <w:tab w:leader="none" w:pos="1245"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Voting and Dividends</w:t>
      </w:r>
      <w:r>
        <w:rPr>
          <w:rFonts w:ascii="Arial" w:cs="Arial" w:eastAsia="Arial" w:hAnsi="Arial"/>
          <w:sz w:val="16"/>
          <w:szCs w:val="16"/>
          <w:color w:val="auto"/>
        </w:rPr>
        <w:t xml:space="preserve">. 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Arial" w:cs="Arial" w:eastAsia="Arial" w:hAnsi="Arial"/>
          <w:sz w:val="16"/>
          <w:szCs w:val="16"/>
          <w:u w:val="single" w:color="auto"/>
          <w:color w:val="auto"/>
        </w:rPr>
        <w:t>provided</w:t>
      </w:r>
      <w:r>
        <w:rPr>
          <w:rFonts w:ascii="Arial" w:cs="Arial" w:eastAsia="Arial" w:hAnsi="Arial"/>
          <w:sz w:val="16"/>
          <w:szCs w:val="16"/>
          <w:color w:val="auto"/>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520" w:top="273" w:right="519" w:bottom="1440" w:gutter="0" w:footer="0" w:header="0"/>
        </w:sectPr>
      </w:pPr>
    </w:p>
    <w:bookmarkStart w:id="314" w:name="page315"/>
    <w:bookmarkEnd w:id="314"/>
    <w:p>
      <w:pPr>
        <w:ind w:left="-20" w:right="120" w:firstLine="864"/>
        <w:spacing w:after="0" w:line="252" w:lineRule="auto"/>
        <w:tabs>
          <w:tab w:leader="none" w:pos="1235"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Restrictions on Shares</w:t>
      </w:r>
      <w:r>
        <w:rPr>
          <w:rFonts w:ascii="Arial" w:cs="Arial" w:eastAsia="Arial" w:hAnsi="Arial"/>
          <w:sz w:val="18"/>
          <w:szCs w:val="18"/>
          <w:color w:val="auto"/>
        </w:rPr>
        <w:t>. At the discretion of the Committee, the Company may reserve to itself and/or its assignee(s) a right to repurchase (a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87" w:lineRule="exact"/>
        <w:rPr>
          <w:rFonts w:ascii="Arial" w:cs="Arial" w:eastAsia="Arial" w:hAnsi="Arial"/>
          <w:sz w:val="18"/>
          <w:szCs w:val="18"/>
          <w:color w:val="auto"/>
        </w:rPr>
      </w:pPr>
    </w:p>
    <w:p>
      <w:pPr>
        <w:ind w:left="-20" w:firstLine="428"/>
        <w:spacing w:after="0" w:line="298" w:lineRule="auto"/>
        <w:tabs>
          <w:tab w:leader="none" w:pos="815" w:val="left"/>
        </w:tabs>
        <w:numPr>
          <w:ilvl w:val="0"/>
          <w:numId w:val="2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CERTIFICATES</w:t>
      </w:r>
      <w:r>
        <w:rPr>
          <w:rFonts w:ascii="Arial" w:cs="Arial" w:eastAsia="Arial" w:hAnsi="Arial"/>
          <w:sz w:val="16"/>
          <w:szCs w:val="16"/>
          <w:color w:val="auto"/>
        </w:rPr>
        <w:t>. All Shares or other securities whether or not certificated, delivered under this Plan will be subject to such stock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52" w:lineRule="exact"/>
        <w:rPr>
          <w:rFonts w:ascii="Arial" w:cs="Arial" w:eastAsia="Arial" w:hAnsi="Arial"/>
          <w:sz w:val="16"/>
          <w:szCs w:val="16"/>
          <w:b w:val="1"/>
          <w:bCs w:val="1"/>
          <w:color w:val="auto"/>
        </w:rPr>
      </w:pPr>
    </w:p>
    <w:p>
      <w:pPr>
        <w:ind w:left="-20" w:firstLine="428"/>
        <w:spacing w:after="0" w:line="266" w:lineRule="auto"/>
        <w:tabs>
          <w:tab w:leader="none" w:pos="815"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ESCROW; PLEDGE OF SHARES</w:t>
      </w:r>
      <w:r>
        <w:rPr>
          <w:rFonts w:ascii="Arial" w:cs="Arial" w:eastAsia="Arial" w:hAnsi="Arial"/>
          <w:sz w:val="17"/>
          <w:szCs w:val="17"/>
          <w:color w:val="auto"/>
        </w:rPr>
        <w:t>. To enforce any restrictions on a Participant’s Shares, the Committee may require the Participant to</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77" w:lineRule="exact"/>
        <w:rPr>
          <w:rFonts w:ascii="Arial" w:cs="Arial" w:eastAsia="Arial" w:hAnsi="Arial"/>
          <w:sz w:val="17"/>
          <w:szCs w:val="17"/>
          <w:b w:val="1"/>
          <w:bCs w:val="1"/>
          <w:color w:val="auto"/>
        </w:rPr>
      </w:pPr>
    </w:p>
    <w:p>
      <w:pPr>
        <w:ind w:left="-20" w:firstLine="428"/>
        <w:spacing w:after="0" w:line="254" w:lineRule="auto"/>
        <w:tabs>
          <w:tab w:leader="none" w:pos="815"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color w:val="auto"/>
        </w:rPr>
        <w:t>. Without prior stockholder approval the Committee may (a) reprice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w:t>
      </w:r>
    </w:p>
    <w:p>
      <w:pPr>
        <w:spacing w:after="0" w:line="184" w:lineRule="exact"/>
        <w:rPr>
          <w:rFonts w:ascii="Arial" w:cs="Arial" w:eastAsia="Arial" w:hAnsi="Arial"/>
          <w:sz w:val="18"/>
          <w:szCs w:val="18"/>
          <w:b w:val="1"/>
          <w:bCs w:val="1"/>
          <w:color w:val="auto"/>
        </w:rPr>
      </w:pPr>
    </w:p>
    <w:p>
      <w:pPr>
        <w:ind w:left="-20" w:right="80" w:firstLine="428"/>
        <w:spacing w:after="0" w:line="251" w:lineRule="auto"/>
        <w:tabs>
          <w:tab w:leader="none" w:pos="815"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 AND OTHER REGULATORY COMPLIANCE</w:t>
      </w:r>
      <w:r>
        <w:rPr>
          <w:rFonts w:ascii="Arial" w:cs="Arial" w:eastAsia="Arial" w:hAnsi="Arial"/>
          <w:sz w:val="18"/>
          <w:szCs w:val="18"/>
          <w:color w:val="auto"/>
        </w:rPr>
        <w:t>. An Award will not be effective unless such Award is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20"/>
          </w:cols>
          <w:pgMar w:left="540" w:top="274" w:right="539" w:bottom="1440" w:gutter="0" w:footer="0" w:header="0"/>
        </w:sectPr>
      </w:pPr>
    </w:p>
    <w:bookmarkStart w:id="315" w:name="page316"/>
    <w:bookmarkEnd w:id="315"/>
    <w:p>
      <w:pPr>
        <w:jc w:val="both"/>
        <w:ind w:right="20"/>
        <w:spacing w:after="0" w:line="30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48" w:lineRule="exact"/>
        <w:rPr>
          <w:sz w:val="20"/>
          <w:szCs w:val="20"/>
          <w:color w:val="auto"/>
        </w:rPr>
      </w:pPr>
    </w:p>
    <w:p>
      <w:pPr>
        <w:ind w:firstLine="428"/>
        <w:spacing w:after="0" w:line="308" w:lineRule="auto"/>
        <w:tabs>
          <w:tab w:leader="none" w:pos="835"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OBLIGATION TO EMPLOY</w:t>
      </w:r>
      <w:r>
        <w:rPr>
          <w:rFonts w:ascii="Arial" w:cs="Arial" w:eastAsia="Arial" w:hAnsi="Arial"/>
          <w:sz w:val="16"/>
          <w:szCs w:val="16"/>
          <w:color w:val="auto"/>
        </w:rPr>
        <w:t>. Nothing in this Plan or any Award granted under this Plan will confer or be deemed to confer on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251" w:lineRule="exact"/>
        <w:rPr>
          <w:rFonts w:ascii="Arial" w:cs="Arial" w:eastAsia="Arial" w:hAnsi="Arial"/>
          <w:sz w:val="16"/>
          <w:szCs w:val="16"/>
          <w:b w:val="1"/>
          <w:bCs w:val="1"/>
          <w:color w:val="auto"/>
        </w:rPr>
      </w:pPr>
    </w:p>
    <w:p>
      <w:pPr>
        <w:ind w:left="820" w:hanging="392"/>
        <w:spacing w:after="0"/>
        <w:tabs>
          <w:tab w:leader="none" w:pos="82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right="40" w:firstLine="864"/>
        <w:spacing w:after="0" w:line="282" w:lineRule="auto"/>
        <w:tabs>
          <w:tab w:leader="none" w:pos="1245"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Assumption or Replacement of Awards by Successor</w:t>
      </w:r>
      <w:r>
        <w:rPr>
          <w:rFonts w:ascii="Arial" w:cs="Arial" w:eastAsia="Arial" w:hAnsi="Arial"/>
          <w:sz w:val="16"/>
          <w:szCs w:val="16"/>
          <w:color w:val="auto"/>
        </w:rPr>
        <w:t>. In the event of a Corporate Transaction any or all outstanding Awards may be assumed, converted, replaced, or substituted by the successor corporation, which assumption, conversion, replacement or substitution will be binding on all Participants. In the event of a substitution, the successor corporation may substitute equivalent Awards or provide substantially similar consideration to Participants as was provided to stockholders (after taking into account the existing provisions of the Awards). The successor corporation may also issue, as replacement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this Plan to the contrary, such Awards shall have their vesting accelerate as to all Shares or cash subject to such Awards (and any applicable right of repurchase shall fully lapse) immediately prior to the Corporate Transaction and all such Awards shall expire on such Corporate Transaction at such time and on such conditions as the Board will determine. In addition, in the event such successor or acquiring corporation (if any) refuses to assume, convert, replace, or substitute Awards, as provided above, pursuant to a Corporate Transaction, the Committee will notify the Participant in writing or electronically that such Participant’s Award will, if exercisable, be exercisable for a period of time determined by the Committee in its sole discretion, and such Award will terminate upon the expiration of such period. Awards need not all be treated in the same manner in a Corporate Transaction, and treatment may vary from Award to Award and/or from Participant to Participant.</w:t>
      </w:r>
    </w:p>
    <w:p>
      <w:pPr>
        <w:spacing w:after="0" w:line="173" w:lineRule="exact"/>
        <w:rPr>
          <w:rFonts w:ascii="Arial" w:cs="Arial" w:eastAsia="Arial" w:hAnsi="Arial"/>
          <w:sz w:val="16"/>
          <w:szCs w:val="16"/>
          <w:color w:val="auto"/>
        </w:rPr>
      </w:pPr>
    </w:p>
    <w:p>
      <w:pPr>
        <w:ind w:right="20" w:firstLine="864"/>
        <w:spacing w:after="0" w:line="284" w:lineRule="auto"/>
        <w:tabs>
          <w:tab w:leader="none" w:pos="1255"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w:t>
      </w:r>
    </w:p>
    <w:p>
      <w:pPr>
        <w:spacing w:after="0" w:line="169" w:lineRule="exact"/>
        <w:rPr>
          <w:rFonts w:ascii="Arial" w:cs="Arial" w:eastAsia="Arial" w:hAnsi="Arial"/>
          <w:sz w:val="16"/>
          <w:szCs w:val="16"/>
          <w:color w:val="auto"/>
        </w:rPr>
      </w:pPr>
    </w:p>
    <w:p>
      <w:pPr>
        <w:ind w:right="160" w:firstLine="864"/>
        <w:spacing w:after="0" w:line="257" w:lineRule="auto"/>
        <w:tabs>
          <w:tab w:leader="none" w:pos="1245"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520" w:top="274" w:right="519" w:bottom="1440" w:gutter="0" w:footer="0" w:header="0"/>
        </w:sectPr>
      </w:pPr>
    </w:p>
    <w:bookmarkStart w:id="316" w:name="page317"/>
    <w:bookmarkEnd w:id="316"/>
    <w:p>
      <w:pPr>
        <w:ind w:right="700" w:firstLine="428"/>
        <w:spacing w:after="0" w:line="304" w:lineRule="auto"/>
        <w:tabs>
          <w:tab w:leader="none" w:pos="835"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ADOPTION AND STOCKHOLDER APPROVAL</w:t>
      </w:r>
      <w:r>
        <w:rPr>
          <w:rFonts w:ascii="Arial" w:cs="Arial" w:eastAsia="Arial" w:hAnsi="Arial"/>
          <w:sz w:val="17"/>
          <w:szCs w:val="17"/>
          <w:color w:val="auto"/>
        </w:rPr>
        <w:t>. This Plan will be submitted for the approval of the Company’s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applicable laws, within twelve (12) months before or after the date this Plan is adopted by the Board.</w:t>
      </w:r>
    </w:p>
    <w:p>
      <w:pPr>
        <w:spacing w:after="0" w:line="144" w:lineRule="exact"/>
        <w:rPr>
          <w:rFonts w:ascii="Arial" w:cs="Arial" w:eastAsia="Arial" w:hAnsi="Arial"/>
          <w:sz w:val="17"/>
          <w:szCs w:val="17"/>
          <w:b w:val="1"/>
          <w:bCs w:val="1"/>
          <w:color w:val="auto"/>
        </w:rPr>
      </w:pPr>
    </w:p>
    <w:p>
      <w:pPr>
        <w:ind w:firstLine="428"/>
        <w:spacing w:after="0" w:line="260" w:lineRule="auto"/>
        <w:tabs>
          <w:tab w:leader="none" w:pos="835"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terminate ten (10) years from the date this Plan is adopted by the Board. This Plan and all Awards granted hereunder will be governed by and construed in accordance with the laws of the State of Delaware (excluding its conflict of laws rules).</w:t>
      </w:r>
    </w:p>
    <w:p>
      <w:pPr>
        <w:spacing w:after="0" w:line="180" w:lineRule="exact"/>
        <w:rPr>
          <w:rFonts w:ascii="Arial" w:cs="Arial" w:eastAsia="Arial" w:hAnsi="Arial"/>
          <w:sz w:val="18"/>
          <w:szCs w:val="18"/>
          <w:b w:val="1"/>
          <w:bCs w:val="1"/>
          <w:color w:val="auto"/>
        </w:rPr>
      </w:pPr>
    </w:p>
    <w:p>
      <w:pPr>
        <w:ind w:right="20" w:firstLine="428"/>
        <w:spacing w:after="0" w:line="269" w:lineRule="auto"/>
        <w:tabs>
          <w:tab w:leader="none" w:pos="835"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OR TERMINATION OF PLAN</w:t>
      </w:r>
      <w:r>
        <w:rPr>
          <w:rFonts w:ascii="Arial" w:cs="Arial" w:eastAsia="Arial" w:hAnsi="Arial"/>
          <w:sz w:val="17"/>
          <w:szCs w:val="17"/>
          <w:color w:val="auto"/>
        </w:rPr>
        <w:t>. The Board may at any time terminate or amend this Plan in any respect,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the Plan will affect any then-outstanding Award unless expressly provided by the Committee. In any event, no termination or amendment of the Plan or any outstanding Award may adversely affect any then outstanding Award without the consent of the Participant, unless such termination or amendment is necessary to comply with applicable law, regulation, or rule.</w:t>
      </w:r>
    </w:p>
    <w:p>
      <w:pPr>
        <w:spacing w:after="0" w:line="173" w:lineRule="exact"/>
        <w:rPr>
          <w:rFonts w:ascii="Arial" w:cs="Arial" w:eastAsia="Arial" w:hAnsi="Arial"/>
          <w:sz w:val="17"/>
          <w:szCs w:val="17"/>
          <w:b w:val="1"/>
          <w:bCs w:val="1"/>
          <w:color w:val="auto"/>
        </w:rPr>
      </w:pPr>
    </w:p>
    <w:p>
      <w:pPr>
        <w:ind w:right="100" w:firstLine="428"/>
        <w:spacing w:after="0" w:line="276" w:lineRule="auto"/>
        <w:tabs>
          <w:tab w:leader="none" w:pos="835"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color w:val="auto"/>
        </w:rPr>
        <w:t>. Neither the adoption of this Plan by the Board, the submission of this Plan to the stockholders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67" w:lineRule="exact"/>
        <w:rPr>
          <w:rFonts w:ascii="Arial" w:cs="Arial" w:eastAsia="Arial" w:hAnsi="Arial"/>
          <w:sz w:val="17"/>
          <w:szCs w:val="17"/>
          <w:b w:val="1"/>
          <w:bCs w:val="1"/>
          <w:color w:val="auto"/>
        </w:rPr>
      </w:pPr>
    </w:p>
    <w:p>
      <w:pPr>
        <w:ind w:right="100" w:firstLine="428"/>
        <w:spacing w:after="0" w:line="260" w:lineRule="auto"/>
        <w:tabs>
          <w:tab w:leader="none" w:pos="835"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will comply with any policy adopted by the Company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covering transactions in the Company’s securities by Employees, officers, and/or Directors of the Company, as well as with any applicable insider trading or market abuse laws to which the Participant may be subject.</w:t>
      </w:r>
    </w:p>
    <w:p>
      <w:pPr>
        <w:spacing w:after="0" w:line="180" w:lineRule="exact"/>
        <w:rPr>
          <w:rFonts w:ascii="Arial" w:cs="Arial" w:eastAsia="Arial" w:hAnsi="Arial"/>
          <w:sz w:val="18"/>
          <w:szCs w:val="18"/>
          <w:b w:val="1"/>
          <w:bCs w:val="1"/>
          <w:color w:val="auto"/>
        </w:rPr>
      </w:pPr>
    </w:p>
    <w:p>
      <w:pPr>
        <w:ind w:right="20" w:firstLine="428"/>
        <w:spacing w:after="0" w:line="254" w:lineRule="auto"/>
        <w:tabs>
          <w:tab w:leader="none" w:pos="835"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subject to applicable law,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84" w:lineRule="exact"/>
        <w:rPr>
          <w:rFonts w:ascii="Arial" w:cs="Arial" w:eastAsia="Arial" w:hAnsi="Arial"/>
          <w:sz w:val="18"/>
          <w:szCs w:val="18"/>
          <w:b w:val="1"/>
          <w:bCs w:val="1"/>
          <w:color w:val="auto"/>
        </w:rPr>
      </w:pPr>
    </w:p>
    <w:p>
      <w:pPr>
        <w:ind w:left="820" w:hanging="392"/>
        <w:spacing w:after="0"/>
        <w:tabs>
          <w:tab w:leader="none" w:pos="820"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As used in this Plan, and except as elsewhere defined herein, the following terms will have the following meanings:</w:t>
      </w:r>
    </w:p>
    <w:p>
      <w:pPr>
        <w:spacing w:after="0" w:line="237" w:lineRule="exact"/>
        <w:rPr>
          <w:rFonts w:ascii="Arial" w:cs="Arial" w:eastAsia="Arial" w:hAnsi="Arial"/>
          <w:sz w:val="17"/>
          <w:szCs w:val="17"/>
          <w:b w:val="1"/>
          <w:bCs w:val="1"/>
          <w:color w:val="auto"/>
        </w:rPr>
      </w:pPr>
    </w:p>
    <w:p>
      <w:pPr>
        <w:ind w:right="200" w:firstLine="864"/>
        <w:spacing w:after="0" w:line="257" w:lineRule="auto"/>
        <w:tabs>
          <w:tab w:leader="none" w:pos="1245"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520" w:top="268" w:right="499" w:bottom="1440" w:gutter="0" w:footer="0" w:header="0"/>
        </w:sectPr>
      </w:pPr>
    </w:p>
    <w:bookmarkStart w:id="317" w:name="page318"/>
    <w:bookmarkEnd w:id="317"/>
    <w:p>
      <w:pPr>
        <w:ind w:left="7" w:right="260" w:firstLine="864"/>
        <w:spacing w:after="0" w:line="267" w:lineRule="auto"/>
        <w:tabs>
          <w:tab w:leader="none" w:pos="1262" w:val="left"/>
        </w:tabs>
        <w:numPr>
          <w:ilvl w:val="1"/>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Cash Award, Restricted Stock, Stock Bonus, Stock Appreciation Right, or Restricted Stock Unit.</w:t>
      </w:r>
    </w:p>
    <w:p>
      <w:pPr>
        <w:spacing w:after="0" w:line="179" w:lineRule="exact"/>
        <w:rPr>
          <w:rFonts w:ascii="Arial" w:cs="Arial" w:eastAsia="Arial" w:hAnsi="Arial"/>
          <w:sz w:val="18"/>
          <w:szCs w:val="18"/>
          <w:color w:val="auto"/>
        </w:rPr>
      </w:pPr>
    </w:p>
    <w:p>
      <w:pPr>
        <w:ind w:left="7" w:right="20" w:firstLine="864"/>
        <w:spacing w:after="0" w:line="295" w:lineRule="auto"/>
        <w:tabs>
          <w:tab w:leader="none" w:pos="1252"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62" w:lineRule="exact"/>
        <w:rPr>
          <w:rFonts w:ascii="Arial" w:cs="Arial" w:eastAsia="Arial" w:hAnsi="Arial"/>
          <w:sz w:val="16"/>
          <w:szCs w:val="16"/>
          <w:color w:val="auto"/>
        </w:rPr>
      </w:pPr>
    </w:p>
    <w:p>
      <w:pPr>
        <w:ind w:left="1307" w:hanging="436"/>
        <w:spacing w:after="0"/>
        <w:tabs>
          <w:tab w:leader="none" w:pos="130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9" w:lineRule="exact"/>
        <w:rPr>
          <w:rFonts w:ascii="Arial" w:cs="Arial" w:eastAsia="Arial" w:hAnsi="Arial"/>
          <w:sz w:val="18"/>
          <w:szCs w:val="18"/>
          <w:color w:val="auto"/>
        </w:rPr>
      </w:pPr>
    </w:p>
    <w:p>
      <w:pPr>
        <w:ind w:left="1247" w:hanging="376"/>
        <w:spacing w:after="0"/>
        <w:tabs>
          <w:tab w:leader="none" w:pos="124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means an award as defined in Section 11 and granted under the Plan.</w:t>
      </w:r>
    </w:p>
    <w:p>
      <w:pPr>
        <w:spacing w:after="0" w:line="219" w:lineRule="exact"/>
        <w:rPr>
          <w:rFonts w:ascii="Arial" w:cs="Arial" w:eastAsia="Arial" w:hAnsi="Arial"/>
          <w:sz w:val="18"/>
          <w:szCs w:val="18"/>
          <w:color w:val="auto"/>
        </w:rPr>
      </w:pPr>
    </w:p>
    <w:p>
      <w:pPr>
        <w:ind w:left="1227" w:hanging="356"/>
        <w:spacing w:after="0"/>
        <w:tabs>
          <w:tab w:leader="none" w:pos="122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a determination by the Company that the Participant has committed an act or acts constituting any of the following:</w:t>
      </w:r>
    </w:p>
    <w:p>
      <w:pPr>
        <w:spacing w:after="0" w:line="40" w:lineRule="exact"/>
        <w:rPr>
          <w:rFonts w:ascii="Arial" w:cs="Arial" w:eastAsia="Arial" w:hAnsi="Arial"/>
          <w:sz w:val="16"/>
          <w:szCs w:val="16"/>
          <w:color w:val="auto"/>
        </w:rPr>
      </w:pPr>
    </w:p>
    <w:p>
      <w:pPr>
        <w:ind w:left="7" w:hanging="7"/>
        <w:spacing w:after="0" w:line="282" w:lineRule="auto"/>
        <w:tabs>
          <w:tab w:leader="none" w:pos="219" w:val="left"/>
        </w:tabs>
        <w:numPr>
          <w:ilvl w:val="0"/>
          <w:numId w:val="258"/>
        </w:numPr>
        <w:rPr>
          <w:rFonts w:ascii="Arial" w:cs="Arial" w:eastAsia="Arial" w:hAnsi="Arial"/>
          <w:sz w:val="16"/>
          <w:szCs w:val="16"/>
          <w:color w:val="auto"/>
        </w:rPr>
      </w:pPr>
      <w:r>
        <w:rPr>
          <w:rFonts w:ascii="Arial" w:cs="Arial" w:eastAsia="Arial" w:hAnsi="Arial"/>
          <w:sz w:val="16"/>
          <w:szCs w:val="16"/>
          <w:color w:val="auto"/>
        </w:rPr>
        <w:t>dishonesty, fraud, misconduct or negligence in connection with Participant’s duties to the Company, (ii) unauthorized disclosure or use of the Company’s confidential or proprietary information, (iii) misappropriation of a business opportunity of the Company, (iv) materially aiding Company competitor, (v) a felony conviction, (vi) failure or refusal to attend to the duties or obligations of the Participant’s position (vii) violation or breach of, or failure to comply with, the Company’s code of ethics or conduct, any of the Company’s rules, policies or procedures applicable to the Participant or any agreement in effect between the Company and the Participant or (viii) other conduct by such Participant that could be expected to be harmful to the business, interests or reputation of the Company. The determination as to whether Cause for a Participant’s termination exists will be made in good faith by the Company and will be final and binding on the Participant. This definition does not in any way limit the Company’s or any Parent’s or Subsidiary’s ability to terminate a Participant’s employment or services at any time as provided in Section 21 above. Notwithstanding the foregoing, the foregoing definition of “Cause” may, in part or in whole, be modified or replaced in each individual employment agreement, Award Agreement, or other applicable agreement with any Participant, provided that such document supersedes the definition provided in this Section 29.6.</w:t>
      </w:r>
    </w:p>
    <w:p>
      <w:pPr>
        <w:spacing w:after="0" w:line="174" w:lineRule="exact"/>
        <w:rPr>
          <w:rFonts w:ascii="Arial" w:cs="Arial" w:eastAsia="Arial" w:hAnsi="Arial"/>
          <w:sz w:val="16"/>
          <w:szCs w:val="16"/>
          <w:color w:val="auto"/>
        </w:rPr>
      </w:pPr>
    </w:p>
    <w:p>
      <w:pPr>
        <w:ind w:left="1247" w:hanging="376"/>
        <w:spacing w:after="0"/>
        <w:tabs>
          <w:tab w:leader="none" w:pos="1247" w:val="left"/>
        </w:tabs>
        <w:numPr>
          <w:ilvl w:val="1"/>
          <w:numId w:val="2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United States Internal Revenue Code of 1986, as amended, and the regulations promulgated thereunder.</w:t>
      </w:r>
    </w:p>
    <w:p>
      <w:pPr>
        <w:spacing w:after="0" w:line="231" w:lineRule="exact"/>
        <w:rPr>
          <w:rFonts w:ascii="Arial" w:cs="Arial" w:eastAsia="Arial" w:hAnsi="Arial"/>
          <w:sz w:val="17"/>
          <w:szCs w:val="17"/>
          <w:color w:val="auto"/>
        </w:rPr>
      </w:pPr>
    </w:p>
    <w:p>
      <w:pPr>
        <w:ind w:left="7" w:right="280" w:firstLine="864"/>
        <w:spacing w:after="0" w:line="267" w:lineRule="auto"/>
        <w:tabs>
          <w:tab w:leader="none" w:pos="126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 been delegated as permitted by law.</w:t>
      </w:r>
    </w:p>
    <w:p>
      <w:pPr>
        <w:spacing w:after="0" w:line="179" w:lineRule="exact"/>
        <w:rPr>
          <w:rFonts w:ascii="Arial" w:cs="Arial" w:eastAsia="Arial" w:hAnsi="Arial"/>
          <w:sz w:val="18"/>
          <w:szCs w:val="18"/>
          <w:color w:val="auto"/>
        </w:rPr>
      </w:pPr>
    </w:p>
    <w:p>
      <w:pPr>
        <w:ind w:left="1207" w:hanging="336"/>
        <w:spacing w:after="0"/>
        <w:tabs>
          <w:tab w:leader="none" w:pos="120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19" w:lineRule="exact"/>
        <w:rPr>
          <w:rFonts w:ascii="Arial" w:cs="Arial" w:eastAsia="Arial" w:hAnsi="Arial"/>
          <w:sz w:val="18"/>
          <w:szCs w:val="18"/>
          <w:color w:val="auto"/>
        </w:rPr>
      </w:pPr>
    </w:p>
    <w:p>
      <w:pPr>
        <w:ind w:left="1207" w:hanging="336"/>
        <w:spacing w:after="0"/>
        <w:tabs>
          <w:tab w:leader="none" w:pos="120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Stoke Therapeutics, Inc., a Delaware corporation, or any successor corporation.</w:t>
      </w:r>
    </w:p>
    <w:p>
      <w:pPr>
        <w:spacing w:after="0" w:line="219" w:lineRule="exact"/>
        <w:rPr>
          <w:rFonts w:ascii="Arial" w:cs="Arial" w:eastAsia="Arial" w:hAnsi="Arial"/>
          <w:sz w:val="18"/>
          <w:szCs w:val="18"/>
          <w:color w:val="auto"/>
        </w:rPr>
      </w:pPr>
    </w:p>
    <w:p>
      <w:pPr>
        <w:ind w:left="7" w:right="600" w:firstLine="864"/>
        <w:spacing w:after="0" w:line="267" w:lineRule="auto"/>
        <w:tabs>
          <w:tab w:leader="none" w:pos="126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 Subsidiary, or Affiliate to render services to such entity.</w:t>
      </w:r>
    </w:p>
    <w:p>
      <w:pPr>
        <w:spacing w:after="0" w:line="179" w:lineRule="exact"/>
        <w:rPr>
          <w:rFonts w:ascii="Arial" w:cs="Arial" w:eastAsia="Arial" w:hAnsi="Arial"/>
          <w:sz w:val="18"/>
          <w:szCs w:val="18"/>
          <w:color w:val="auto"/>
        </w:rPr>
      </w:pPr>
    </w:p>
    <w:p>
      <w:pPr>
        <w:ind w:left="7" w:right="40" w:firstLine="864"/>
        <w:spacing w:after="0" w:line="252" w:lineRule="auto"/>
        <w:tabs>
          <w:tab w:leader="none" w:pos="12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of any of the following events: (a)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w:t>
      </w:r>
    </w:p>
    <w:p>
      <w:pPr>
        <w:spacing w:after="0" w:line="127"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7"/>
          </w:cols>
          <w:pgMar w:left="513" w:top="274" w:right="539" w:bottom="1440" w:gutter="0" w:footer="0" w:header="0"/>
        </w:sectPr>
      </w:pPr>
    </w:p>
    <w:bookmarkStart w:id="318" w:name="page319"/>
    <w:bookmarkEnd w:id="318"/>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76" w:lineRule="exact"/>
        <w:rPr>
          <w:sz w:val="20"/>
          <w:szCs w:val="20"/>
          <w:color w:val="auto"/>
        </w:rPr>
      </w:pPr>
    </w:p>
    <w:p>
      <w:pPr>
        <w:ind w:left="1300" w:hanging="436"/>
        <w:spacing w:after="0"/>
        <w:tabs>
          <w:tab w:leader="none" w:pos="13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19" w:lineRule="exact"/>
        <w:rPr>
          <w:rFonts w:ascii="Arial" w:cs="Arial" w:eastAsia="Arial" w:hAnsi="Arial"/>
          <w:sz w:val="18"/>
          <w:szCs w:val="18"/>
          <w:color w:val="auto"/>
        </w:rPr>
      </w:pPr>
    </w:p>
    <w:p>
      <w:pPr>
        <w:jc w:val="both"/>
        <w:ind w:right="20" w:firstLine="864"/>
        <w:spacing w:after="0" w:line="304" w:lineRule="auto"/>
        <w:tabs>
          <w:tab w:leader="none" w:pos="125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in the case of incentive stock options,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4" w:lineRule="exact"/>
        <w:rPr>
          <w:rFonts w:ascii="Arial" w:cs="Arial" w:eastAsia="Arial" w:hAnsi="Arial"/>
          <w:sz w:val="16"/>
          <w:szCs w:val="16"/>
          <w:color w:val="auto"/>
        </w:rPr>
      </w:pPr>
    </w:p>
    <w:p>
      <w:pPr>
        <w:ind w:right="100" w:firstLine="864"/>
        <w:spacing w:after="0" w:line="279" w:lineRule="auto"/>
        <w:tabs>
          <w:tab w:leader="none" w:pos="125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 Right</w:t>
      </w:r>
      <w:r>
        <w:rPr>
          <w:rFonts w:ascii="Arial" w:cs="Arial" w:eastAsia="Arial" w:hAnsi="Arial"/>
          <w:sz w:val="17"/>
          <w:szCs w:val="17"/>
          <w:color w:val="auto"/>
        </w:rPr>
        <w:t>” means the right of a Participant, granted at the discretion of the Committee or as otherwise provided by the Plan, to receive a credit for the account of such Participant in an amount equal to the cash, stock, or other property dividends in amounts equal equivalent to cash, stock, or other property dividends for each Share represented by an Award held by such Participant.</w:t>
      </w:r>
    </w:p>
    <w:p>
      <w:pPr>
        <w:spacing w:after="0" w:line="171" w:lineRule="exact"/>
        <w:rPr>
          <w:rFonts w:ascii="Arial" w:cs="Arial" w:eastAsia="Arial" w:hAnsi="Arial"/>
          <w:sz w:val="17"/>
          <w:szCs w:val="17"/>
          <w:color w:val="auto"/>
        </w:rPr>
      </w:pPr>
    </w:p>
    <w:p>
      <w:pPr>
        <w:ind w:right="360" w:firstLine="864"/>
        <w:spacing w:after="0" w:line="267" w:lineRule="auto"/>
        <w:tabs>
          <w:tab w:leader="none" w:pos="12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day immediately prior to the Company’s IPO Registration Date, subject to approval of the Plan by the Company’s stockholders.</w:t>
      </w:r>
    </w:p>
    <w:p>
      <w:pPr>
        <w:spacing w:after="0" w:line="179" w:lineRule="exact"/>
        <w:rPr>
          <w:rFonts w:ascii="Arial" w:cs="Arial" w:eastAsia="Arial" w:hAnsi="Arial"/>
          <w:sz w:val="18"/>
          <w:szCs w:val="18"/>
          <w:color w:val="auto"/>
        </w:rPr>
      </w:pPr>
    </w:p>
    <w:p>
      <w:pPr>
        <w:ind w:right="160" w:firstLine="864"/>
        <w:spacing w:after="0" w:line="257" w:lineRule="auto"/>
        <w:tabs>
          <w:tab w:leader="none" w:pos="12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providing services as an employee to the Company or any Parent, Subsidiary, or Affiliate. Neither service as a Director nor payment of a director’s fee by the Company will be sufficient to constitute “employment” by the Company.</w:t>
      </w:r>
    </w:p>
    <w:p>
      <w:pPr>
        <w:spacing w:after="0" w:line="188" w:lineRule="exact"/>
        <w:rPr>
          <w:rFonts w:ascii="Arial" w:cs="Arial" w:eastAsia="Arial" w:hAnsi="Arial"/>
          <w:sz w:val="18"/>
          <w:szCs w:val="18"/>
          <w:color w:val="auto"/>
        </w:rPr>
      </w:pPr>
    </w:p>
    <w:p>
      <w:pPr>
        <w:ind w:left="1220" w:hanging="356"/>
        <w:spacing w:after="0"/>
        <w:tabs>
          <w:tab w:leader="none" w:pos="12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Exchange Act of 1934, as amended.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40"/>
          </w:cols>
          <w:pgMar w:left="520" w:top="273" w:right="539" w:bottom="1440" w:gutter="0" w:footer="0" w:header="0"/>
        </w:sectPr>
      </w:pPr>
    </w:p>
    <w:bookmarkStart w:id="319" w:name="page320"/>
    <w:bookmarkEnd w:id="319"/>
    <w:p>
      <w:pPr>
        <w:ind w:right="160" w:firstLine="864"/>
        <w:spacing w:after="0" w:line="331" w:lineRule="auto"/>
        <w:tabs>
          <w:tab w:leader="none" w:pos="1236" w:val="left"/>
        </w:tabs>
        <w:numPr>
          <w:ilvl w:val="0"/>
          <w:numId w:val="2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w:t>
      </w:r>
      <w:r>
        <w:rPr>
          <w:rFonts w:ascii="Arial" w:cs="Arial" w:eastAsia="Arial" w:hAnsi="Arial"/>
          <w:sz w:val="16"/>
          <w:szCs w:val="16"/>
          <w:b w:val="1"/>
          <w:bCs w:val="1"/>
          <w:i w:val="1"/>
          <w:iCs w:val="1"/>
          <w:color w:val="auto"/>
        </w:rPr>
        <w:t>Exchange Program</w:t>
      </w:r>
      <w:r>
        <w:rPr>
          <w:rFonts w:ascii="Arial" w:cs="Arial" w:eastAsia="Arial" w:hAnsi="Arial"/>
          <w:sz w:val="16"/>
          <w:szCs w:val="16"/>
          <w:color w:val="auto"/>
        </w:rPr>
        <w:t>” means a program pursuant to which (a) outstanding Awards are surrendered, cancelled, or exchanged for cash, the same type of Award, or a different Award (or combination thereof); or (b) the exercise price of an outstanding Award is increased or reduced.</w:t>
      </w:r>
    </w:p>
    <w:p>
      <w:pPr>
        <w:spacing w:after="0" w:line="132" w:lineRule="exact"/>
        <w:rPr>
          <w:rFonts w:ascii="Arial" w:cs="Arial" w:eastAsia="Arial" w:hAnsi="Arial"/>
          <w:sz w:val="16"/>
          <w:szCs w:val="16"/>
          <w:color w:val="auto"/>
        </w:rPr>
      </w:pPr>
    </w:p>
    <w:p>
      <w:pPr>
        <w:ind w:right="220" w:firstLine="864"/>
        <w:spacing w:after="0" w:line="267" w:lineRule="auto"/>
        <w:tabs>
          <w:tab w:leader="none" w:pos="121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 Option and with respect to a SAR, the price at which the SAR is granted to the holder thereof.</w:t>
      </w:r>
    </w:p>
    <w:p>
      <w:pPr>
        <w:spacing w:after="0" w:line="179" w:lineRule="exact"/>
        <w:rPr>
          <w:rFonts w:ascii="Arial" w:cs="Arial" w:eastAsia="Arial" w:hAnsi="Arial"/>
          <w:sz w:val="18"/>
          <w:szCs w:val="18"/>
          <w:color w:val="auto"/>
        </w:rPr>
      </w:pPr>
    </w:p>
    <w:p>
      <w:pPr>
        <w:ind w:left="1240" w:hanging="376"/>
        <w:spacing w:after="0"/>
        <w:tabs>
          <w:tab w:leader="none" w:pos="12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determined as follows:</w:t>
      </w:r>
    </w:p>
    <w:p>
      <w:pPr>
        <w:spacing w:after="0" w:line="219" w:lineRule="exact"/>
        <w:rPr>
          <w:rFonts w:ascii="Arial" w:cs="Arial" w:eastAsia="Arial" w:hAnsi="Arial"/>
          <w:sz w:val="18"/>
          <w:szCs w:val="18"/>
          <w:color w:val="auto"/>
        </w:rPr>
      </w:pPr>
    </w:p>
    <w:p>
      <w:pPr>
        <w:ind w:right="240" w:firstLine="1408"/>
        <w:spacing w:after="0" w:line="257" w:lineRule="auto"/>
        <w:tabs>
          <w:tab w:leader="none" w:pos="17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Journal or such other source as the Committee deems reliable;</w:t>
      </w:r>
    </w:p>
    <w:p>
      <w:pPr>
        <w:spacing w:after="0" w:line="188" w:lineRule="exact"/>
        <w:rPr>
          <w:rFonts w:ascii="Arial" w:cs="Arial" w:eastAsia="Arial" w:hAnsi="Arial"/>
          <w:sz w:val="18"/>
          <w:szCs w:val="18"/>
          <w:color w:val="auto"/>
        </w:rPr>
      </w:pPr>
    </w:p>
    <w:p>
      <w:pPr>
        <w:ind w:right="260" w:firstLine="1408"/>
        <w:spacing w:after="0" w:line="257" w:lineRule="auto"/>
        <w:tabs>
          <w:tab w:leader="none" w:pos="1809"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w:t>
      </w:r>
    </w:p>
    <w:p>
      <w:pPr>
        <w:spacing w:after="0" w:line="188" w:lineRule="exact"/>
        <w:rPr>
          <w:rFonts w:ascii="Arial" w:cs="Arial" w:eastAsia="Arial" w:hAnsi="Arial"/>
          <w:sz w:val="18"/>
          <w:szCs w:val="18"/>
          <w:color w:val="auto"/>
        </w:rPr>
      </w:pPr>
    </w:p>
    <w:p>
      <w:pPr>
        <w:ind w:right="360" w:firstLine="1408"/>
        <w:spacing w:after="0" w:line="279" w:lineRule="auto"/>
        <w:tabs>
          <w:tab w:leader="none" w:pos="185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S-1 filed with the SEC under the Securities Act; or</w:t>
      </w:r>
    </w:p>
    <w:p>
      <w:pPr>
        <w:spacing w:after="0" w:line="171" w:lineRule="exact"/>
        <w:rPr>
          <w:rFonts w:ascii="Arial" w:cs="Arial" w:eastAsia="Arial" w:hAnsi="Arial"/>
          <w:sz w:val="17"/>
          <w:szCs w:val="17"/>
          <w:color w:val="auto"/>
        </w:rPr>
      </w:pPr>
    </w:p>
    <w:p>
      <w:pPr>
        <w:ind w:left="1840" w:hanging="432"/>
        <w:spacing w:after="0"/>
        <w:tabs>
          <w:tab w:leader="none" w:pos="18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by the Board or the Committee in good faith.</w:t>
      </w:r>
    </w:p>
    <w:p>
      <w:pPr>
        <w:spacing w:after="0" w:line="219" w:lineRule="exact"/>
        <w:rPr>
          <w:rFonts w:ascii="Arial" w:cs="Arial" w:eastAsia="Arial" w:hAnsi="Arial"/>
          <w:sz w:val="18"/>
          <w:szCs w:val="18"/>
          <w:color w:val="auto"/>
        </w:rPr>
      </w:pPr>
    </w:p>
    <w:p>
      <w:pPr>
        <w:ind w:right="160" w:firstLine="864"/>
        <w:spacing w:after="0" w:line="267" w:lineRule="auto"/>
        <w:tabs>
          <w:tab w:leader="none" w:pos="12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 Section 16 of the Exchange Act.</w:t>
      </w:r>
    </w:p>
    <w:p>
      <w:pPr>
        <w:spacing w:after="0" w:line="179" w:lineRule="exact"/>
        <w:rPr>
          <w:rFonts w:ascii="Arial" w:cs="Arial" w:eastAsia="Arial" w:hAnsi="Arial"/>
          <w:sz w:val="18"/>
          <w:szCs w:val="18"/>
          <w:color w:val="auto"/>
        </w:rPr>
      </w:pPr>
    </w:p>
    <w:p>
      <w:pPr>
        <w:ind w:right="300" w:firstLine="864"/>
        <w:spacing w:after="0" w:line="267" w:lineRule="auto"/>
        <w:tabs>
          <w:tab w:leader="none" w:pos="12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Registration Date</w:t>
      </w:r>
      <w:r>
        <w:rPr>
          <w:rFonts w:ascii="Arial" w:cs="Arial" w:eastAsia="Arial" w:hAnsi="Arial"/>
          <w:sz w:val="18"/>
          <w:szCs w:val="18"/>
          <w:color w:val="auto"/>
        </w:rPr>
        <w:t>” means the date on which the Company’s registration statement on Form S-1 in connection with its initial public offering of common stock is declared effective by the SEC under the Securities Act.</w:t>
      </w:r>
    </w:p>
    <w:p>
      <w:pPr>
        <w:spacing w:after="0" w:line="179" w:lineRule="exact"/>
        <w:rPr>
          <w:rFonts w:ascii="Arial" w:cs="Arial" w:eastAsia="Arial" w:hAnsi="Arial"/>
          <w:sz w:val="18"/>
          <w:szCs w:val="18"/>
          <w:color w:val="auto"/>
        </w:rPr>
      </w:pPr>
    </w:p>
    <w:p>
      <w:pPr>
        <w:ind w:left="1240" w:hanging="376"/>
        <w:spacing w:after="0"/>
        <w:tabs>
          <w:tab w:leader="none" w:pos="12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19" w:lineRule="exact"/>
        <w:rPr>
          <w:rFonts w:ascii="Arial" w:cs="Arial" w:eastAsia="Arial" w:hAnsi="Arial"/>
          <w:sz w:val="18"/>
          <w:szCs w:val="18"/>
          <w:color w:val="auto"/>
        </w:rPr>
      </w:pPr>
    </w:p>
    <w:p>
      <w:pPr>
        <w:ind w:left="1240" w:hanging="376"/>
        <w:spacing w:after="0"/>
        <w:tabs>
          <w:tab w:leader="none" w:pos="12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means a Director who is not an Employee of the Company or any Parent, Subsidiary, or Affiliate.</w:t>
      </w:r>
    </w:p>
    <w:p>
      <w:pPr>
        <w:spacing w:after="0" w:line="231" w:lineRule="exact"/>
        <w:rPr>
          <w:rFonts w:ascii="Arial" w:cs="Arial" w:eastAsia="Arial" w:hAnsi="Arial"/>
          <w:sz w:val="17"/>
          <w:szCs w:val="17"/>
          <w:color w:val="auto"/>
        </w:rPr>
      </w:pPr>
    </w:p>
    <w:p>
      <w:pPr>
        <w:ind w:left="1240" w:hanging="376"/>
        <w:spacing w:after="0"/>
        <w:tabs>
          <w:tab w:leader="none" w:pos="12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w:t>
      </w:r>
    </w:p>
    <w:p>
      <w:pPr>
        <w:spacing w:after="0" w:line="220" w:lineRule="exact"/>
        <w:rPr>
          <w:sz w:val="20"/>
          <w:szCs w:val="20"/>
          <w:color w:val="auto"/>
        </w:rPr>
      </w:pPr>
    </w:p>
    <w:p>
      <w:pPr>
        <w:jc w:val="both"/>
        <w:ind w:right="80" w:firstLine="864"/>
        <w:spacing w:after="0" w:line="257" w:lineRule="auto"/>
        <w:tabs>
          <w:tab w:leader="none" w:pos="13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88" w:lineRule="exact"/>
        <w:rPr>
          <w:rFonts w:ascii="Arial" w:cs="Arial" w:eastAsia="Arial" w:hAnsi="Arial"/>
          <w:sz w:val="18"/>
          <w:szCs w:val="18"/>
          <w:color w:val="auto"/>
        </w:rPr>
      </w:pPr>
    </w:p>
    <w:p>
      <w:pPr>
        <w:ind w:left="1340" w:hanging="476"/>
        <w:spacing w:after="0"/>
        <w:tabs>
          <w:tab w:leader="none" w:pos="13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holds an Award under this Plan.</w:t>
      </w:r>
    </w:p>
    <w:p>
      <w:pPr>
        <w:spacing w:after="0" w:line="219" w:lineRule="exact"/>
        <w:rPr>
          <w:rFonts w:ascii="Arial" w:cs="Arial" w:eastAsia="Arial" w:hAnsi="Arial"/>
          <w:sz w:val="18"/>
          <w:szCs w:val="18"/>
          <w:color w:val="auto"/>
        </w:rPr>
      </w:pPr>
    </w:p>
    <w:p>
      <w:pPr>
        <w:ind w:firstLine="864"/>
        <w:spacing w:after="0" w:line="267" w:lineRule="auto"/>
        <w:tabs>
          <w:tab w:leader="none" w:pos="13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 Award as defined in Section 10 and granted under the Plan, the payment of which is contingent upon achieving certain performance goals established by the Committee.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520" w:top="274" w:right="519" w:bottom="1440" w:gutter="0" w:footer="0" w:header="0"/>
        </w:sectPr>
      </w:pPr>
    </w:p>
    <w:bookmarkStart w:id="320" w:name="page321"/>
    <w:bookmarkEnd w:id="320"/>
    <w:p>
      <w:pPr>
        <w:ind w:left="-80" w:right="40" w:firstLine="864"/>
        <w:spacing w:after="0" w:line="252" w:lineRule="auto"/>
        <w:tabs>
          <w:tab w:leader="none" w:pos="12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7290435" cy="37465"/>
                    </a:xfrm>
                    <a:prstGeom prst="rect">
                      <a:avLst/>
                    </a:prstGeom>
                    <a:noFill/>
                  </pic:spPr>
                </pic:pic>
              </a:graphicData>
            </a:graphic>
          </wp:anchor>
        </w:drawing>
        <w:t>“</w:t>
      </w:r>
      <w:r>
        <w:rPr>
          <w:rFonts w:ascii="Arial" w:cs="Arial" w:eastAsia="Arial" w:hAnsi="Arial"/>
          <w:sz w:val="18"/>
          <w:szCs w:val="18"/>
          <w:b w:val="1"/>
          <w:bCs w:val="1"/>
          <w:i w:val="1"/>
          <w:iCs w:val="1"/>
          <w:color w:val="auto"/>
        </w:rPr>
        <w:t>Performance Factors</w:t>
      </w:r>
      <w:r>
        <w:rPr>
          <w:rFonts w:ascii="Arial" w:cs="Arial" w:eastAsia="Arial" w:hAnsi="Arial"/>
          <w:sz w:val="18"/>
          <w:szCs w:val="18"/>
          <w:color w:val="auto"/>
        </w:rPr>
        <w:t>” 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93" w:lineRule="exact"/>
        <w:rPr>
          <w:rFonts w:ascii="Arial" w:cs="Arial" w:eastAsia="Arial" w:hAnsi="Arial"/>
          <w:sz w:val="18"/>
          <w:szCs w:val="18"/>
          <w:color w:val="auto"/>
        </w:rPr>
      </w:pPr>
    </w:p>
    <w:p>
      <w:pPr>
        <w:ind w:left="1680" w:hanging="352"/>
        <w:spacing w:after="0"/>
        <w:tabs>
          <w:tab w:leader="none" w:pos="16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219" w:lineRule="exact"/>
        <w:rPr>
          <w:rFonts w:ascii="Arial" w:cs="Arial" w:eastAsia="Arial" w:hAnsi="Arial"/>
          <w:sz w:val="18"/>
          <w:szCs w:val="18"/>
          <w:color w:val="auto"/>
        </w:rPr>
      </w:pPr>
    </w:p>
    <w:p>
      <w:pPr>
        <w:ind w:left="1720" w:hanging="392"/>
        <w:spacing w:after="0"/>
        <w:tabs>
          <w:tab w:leader="none" w:pos="17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billings;</w:t>
      </w:r>
    </w:p>
    <w:p>
      <w:pPr>
        <w:spacing w:after="0" w:line="219" w:lineRule="exact"/>
        <w:rPr>
          <w:rFonts w:ascii="Arial" w:cs="Arial" w:eastAsia="Arial" w:hAnsi="Arial"/>
          <w:sz w:val="18"/>
          <w:szCs w:val="18"/>
          <w:color w:val="auto"/>
        </w:rPr>
      </w:pPr>
    </w:p>
    <w:p>
      <w:pPr>
        <w:ind w:left="1780" w:hanging="452"/>
        <w:spacing w:after="0"/>
        <w:tabs>
          <w:tab w:leader="none" w:pos="17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revenue;</w:t>
      </w:r>
    </w:p>
    <w:p>
      <w:pPr>
        <w:spacing w:after="0" w:line="219" w:lineRule="exact"/>
        <w:rPr>
          <w:rFonts w:ascii="Arial" w:cs="Arial" w:eastAsia="Arial" w:hAnsi="Arial"/>
          <w:sz w:val="18"/>
          <w:szCs w:val="18"/>
          <w:color w:val="auto"/>
        </w:rPr>
      </w:pPr>
    </w:p>
    <w:p>
      <w:pPr>
        <w:ind w:left="1760" w:hanging="432"/>
        <w:spacing w:after="0"/>
        <w:tabs>
          <w:tab w:leader="none" w:pos="17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219" w:lineRule="exact"/>
        <w:rPr>
          <w:rFonts w:ascii="Arial" w:cs="Arial" w:eastAsia="Arial" w:hAnsi="Arial"/>
          <w:sz w:val="18"/>
          <w:szCs w:val="18"/>
          <w:color w:val="auto"/>
        </w:rPr>
      </w:pPr>
    </w:p>
    <w:p>
      <w:pPr>
        <w:ind w:left="-80" w:firstLine="1408"/>
        <w:spacing w:after="0" w:line="267" w:lineRule="auto"/>
        <w:tabs>
          <w:tab w:leader="none" w:pos="1719"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79" w:lineRule="exact"/>
        <w:rPr>
          <w:rFonts w:ascii="Arial" w:cs="Arial" w:eastAsia="Arial" w:hAnsi="Arial"/>
          <w:sz w:val="18"/>
          <w:szCs w:val="18"/>
          <w:color w:val="auto"/>
        </w:rPr>
      </w:pPr>
    </w:p>
    <w:p>
      <w:pPr>
        <w:ind w:left="1760" w:hanging="432"/>
        <w:spacing w:after="0"/>
        <w:tabs>
          <w:tab w:leader="none" w:pos="17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19" w:lineRule="exact"/>
        <w:rPr>
          <w:rFonts w:ascii="Arial" w:cs="Arial" w:eastAsia="Arial" w:hAnsi="Arial"/>
          <w:sz w:val="18"/>
          <w:szCs w:val="18"/>
          <w:color w:val="auto"/>
        </w:rPr>
      </w:pPr>
    </w:p>
    <w:p>
      <w:pPr>
        <w:ind w:left="1820" w:hanging="492"/>
        <w:spacing w:after="0"/>
        <w:tabs>
          <w:tab w:leader="none" w:pos="18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19" w:lineRule="exact"/>
        <w:rPr>
          <w:rFonts w:ascii="Arial" w:cs="Arial" w:eastAsia="Arial" w:hAnsi="Arial"/>
          <w:sz w:val="18"/>
          <w:szCs w:val="18"/>
          <w:color w:val="auto"/>
        </w:rPr>
      </w:pPr>
    </w:p>
    <w:p>
      <w:pPr>
        <w:ind w:left="1860" w:hanging="532"/>
        <w:spacing w:after="0"/>
        <w:tabs>
          <w:tab w:leader="none" w:pos="1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219" w:lineRule="exact"/>
        <w:rPr>
          <w:rFonts w:ascii="Arial" w:cs="Arial" w:eastAsia="Arial" w:hAnsi="Arial"/>
          <w:sz w:val="18"/>
          <w:szCs w:val="18"/>
          <w:color w:val="auto"/>
        </w:rPr>
      </w:pPr>
    </w:p>
    <w:p>
      <w:pPr>
        <w:ind w:left="1760" w:hanging="432"/>
        <w:spacing w:after="0"/>
        <w:tabs>
          <w:tab w:leader="none" w:pos="17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219" w:lineRule="exact"/>
        <w:rPr>
          <w:rFonts w:ascii="Arial" w:cs="Arial" w:eastAsia="Arial" w:hAnsi="Arial"/>
          <w:sz w:val="18"/>
          <w:szCs w:val="18"/>
          <w:color w:val="auto"/>
        </w:rPr>
      </w:pPr>
    </w:p>
    <w:p>
      <w:pPr>
        <w:ind w:left="1720" w:hanging="392"/>
        <w:spacing w:after="0"/>
        <w:tabs>
          <w:tab w:leader="none" w:pos="17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net profit;</w:t>
      </w:r>
    </w:p>
    <w:p>
      <w:pPr>
        <w:spacing w:after="0" w:line="219" w:lineRule="exact"/>
        <w:rPr>
          <w:rFonts w:ascii="Arial" w:cs="Arial" w:eastAsia="Arial" w:hAnsi="Arial"/>
          <w:sz w:val="18"/>
          <w:szCs w:val="18"/>
          <w:color w:val="auto"/>
        </w:rPr>
      </w:pPr>
    </w:p>
    <w:p>
      <w:pPr>
        <w:ind w:left="1760" w:hanging="432"/>
        <w:spacing w:after="0"/>
        <w:tabs>
          <w:tab w:leader="none" w:pos="17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19" w:lineRule="exact"/>
        <w:rPr>
          <w:rFonts w:ascii="Arial" w:cs="Arial" w:eastAsia="Arial" w:hAnsi="Arial"/>
          <w:sz w:val="18"/>
          <w:szCs w:val="18"/>
          <w:color w:val="auto"/>
        </w:rPr>
      </w:pPr>
    </w:p>
    <w:p>
      <w:pPr>
        <w:ind w:left="1820" w:hanging="492"/>
        <w:spacing w:after="0"/>
        <w:tabs>
          <w:tab w:leader="none" w:pos="18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219" w:lineRule="exact"/>
        <w:rPr>
          <w:rFonts w:ascii="Arial" w:cs="Arial" w:eastAsia="Arial" w:hAnsi="Arial"/>
          <w:sz w:val="18"/>
          <w:szCs w:val="18"/>
          <w:color w:val="auto"/>
        </w:rPr>
      </w:pPr>
    </w:p>
    <w:p>
      <w:pPr>
        <w:ind w:left="1900" w:hanging="572"/>
        <w:spacing w:after="0"/>
        <w:tabs>
          <w:tab w:leader="none" w:pos="1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19" w:lineRule="exact"/>
        <w:rPr>
          <w:rFonts w:ascii="Arial" w:cs="Arial" w:eastAsia="Arial" w:hAnsi="Arial"/>
          <w:sz w:val="18"/>
          <w:szCs w:val="18"/>
          <w:color w:val="auto"/>
        </w:rPr>
      </w:pPr>
    </w:p>
    <w:p>
      <w:pPr>
        <w:ind w:left="1860" w:hanging="532"/>
        <w:spacing w:after="0"/>
        <w:tabs>
          <w:tab w:leader="none" w:pos="1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19" w:lineRule="exact"/>
        <w:rPr>
          <w:rFonts w:ascii="Arial" w:cs="Arial" w:eastAsia="Arial" w:hAnsi="Arial"/>
          <w:sz w:val="18"/>
          <w:szCs w:val="18"/>
          <w:color w:val="auto"/>
        </w:rPr>
      </w:pPr>
    </w:p>
    <w:p>
      <w:pPr>
        <w:ind w:left="1800" w:hanging="472"/>
        <w:spacing w:after="0"/>
        <w:tabs>
          <w:tab w:leader="none" w:pos="18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219" w:lineRule="exact"/>
        <w:rPr>
          <w:rFonts w:ascii="Arial" w:cs="Arial" w:eastAsia="Arial" w:hAnsi="Arial"/>
          <w:sz w:val="18"/>
          <w:szCs w:val="18"/>
          <w:color w:val="auto"/>
        </w:rPr>
      </w:pPr>
    </w:p>
    <w:p>
      <w:pPr>
        <w:ind w:left="1860" w:hanging="532"/>
        <w:spacing w:after="0"/>
        <w:tabs>
          <w:tab w:leader="none" w:pos="1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19" w:lineRule="exact"/>
        <w:rPr>
          <w:rFonts w:ascii="Arial" w:cs="Arial" w:eastAsia="Arial" w:hAnsi="Arial"/>
          <w:sz w:val="18"/>
          <w:szCs w:val="18"/>
          <w:color w:val="auto"/>
        </w:rPr>
      </w:pPr>
    </w:p>
    <w:p>
      <w:pPr>
        <w:ind w:left="1900" w:hanging="572"/>
        <w:spacing w:after="0"/>
        <w:tabs>
          <w:tab w:leader="none" w:pos="1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219" w:lineRule="exact"/>
        <w:rPr>
          <w:rFonts w:ascii="Arial" w:cs="Arial" w:eastAsia="Arial" w:hAnsi="Arial"/>
          <w:sz w:val="18"/>
          <w:szCs w:val="18"/>
          <w:color w:val="auto"/>
        </w:rPr>
      </w:pPr>
    </w:p>
    <w:p>
      <w:pPr>
        <w:ind w:left="1940" w:hanging="612"/>
        <w:spacing w:after="0"/>
        <w:tabs>
          <w:tab w:leader="none" w:pos="19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219" w:lineRule="exact"/>
        <w:rPr>
          <w:rFonts w:ascii="Arial" w:cs="Arial" w:eastAsia="Arial" w:hAnsi="Arial"/>
          <w:sz w:val="18"/>
          <w:szCs w:val="18"/>
          <w:color w:val="auto"/>
        </w:rPr>
      </w:pPr>
    </w:p>
    <w:p>
      <w:pPr>
        <w:ind w:left="1860" w:hanging="532"/>
        <w:spacing w:after="0"/>
        <w:tabs>
          <w:tab w:leader="none" w:pos="1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growth in stockholder value relative to a pre-determined index;</w:t>
      </w:r>
    </w:p>
    <w:p>
      <w:pPr>
        <w:spacing w:after="0" w:line="219" w:lineRule="exact"/>
        <w:rPr>
          <w:rFonts w:ascii="Arial" w:cs="Arial" w:eastAsia="Arial" w:hAnsi="Arial"/>
          <w:sz w:val="18"/>
          <w:szCs w:val="18"/>
          <w:color w:val="auto"/>
        </w:rPr>
      </w:pPr>
    </w:p>
    <w:p>
      <w:pPr>
        <w:ind w:left="1800" w:hanging="472"/>
        <w:spacing w:after="0"/>
        <w:tabs>
          <w:tab w:leader="none" w:pos="18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19" w:lineRule="exact"/>
        <w:rPr>
          <w:rFonts w:ascii="Arial" w:cs="Arial" w:eastAsia="Arial" w:hAnsi="Arial"/>
          <w:sz w:val="18"/>
          <w:szCs w:val="18"/>
          <w:color w:val="auto"/>
        </w:rPr>
      </w:pPr>
    </w:p>
    <w:p>
      <w:pPr>
        <w:ind w:left="1860" w:hanging="532"/>
        <w:spacing w:after="0"/>
        <w:tabs>
          <w:tab w:leader="none" w:pos="1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19" w:lineRule="exact"/>
        <w:rPr>
          <w:rFonts w:ascii="Arial" w:cs="Arial" w:eastAsia="Arial" w:hAnsi="Arial"/>
          <w:sz w:val="18"/>
          <w:szCs w:val="18"/>
          <w:color w:val="auto"/>
        </w:rPr>
      </w:pPr>
    </w:p>
    <w:p>
      <w:pPr>
        <w:ind w:left="1900" w:hanging="572"/>
        <w:spacing w:after="0"/>
        <w:tabs>
          <w:tab w:leader="none" w:pos="1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00"/>
          </w:cols>
          <w:pgMar w:left="600" w:top="273" w:right="599" w:bottom="1440" w:gutter="0" w:footer="0" w:header="0"/>
        </w:sectPr>
      </w:pPr>
    </w:p>
    <w:bookmarkStart w:id="321" w:name="page322"/>
    <w:bookmarkEnd w:id="321"/>
    <w:p>
      <w:pPr>
        <w:ind w:left="2020" w:hanging="612"/>
        <w:spacing w:after="0"/>
        <w:tabs>
          <w:tab w:leader="none" w:pos="20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cash conversion cycle;</w:t>
      </w:r>
    </w:p>
    <w:p>
      <w:pPr>
        <w:spacing w:after="0" w:line="219" w:lineRule="exact"/>
        <w:rPr>
          <w:rFonts w:ascii="Arial" w:cs="Arial" w:eastAsia="Arial" w:hAnsi="Arial"/>
          <w:sz w:val="18"/>
          <w:szCs w:val="18"/>
          <w:color w:val="auto"/>
        </w:rPr>
      </w:pPr>
    </w:p>
    <w:p>
      <w:pPr>
        <w:ind w:left="2020" w:hanging="612"/>
        <w:spacing w:after="0"/>
        <w:tabs>
          <w:tab w:leader="none" w:pos="20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219" w:lineRule="exact"/>
        <w:rPr>
          <w:rFonts w:ascii="Arial" w:cs="Arial" w:eastAsia="Arial" w:hAnsi="Arial"/>
          <w:sz w:val="18"/>
          <w:szCs w:val="18"/>
          <w:color w:val="auto"/>
        </w:rPr>
      </w:pPr>
    </w:p>
    <w:p>
      <w:pPr>
        <w:ind w:left="1980" w:hanging="572"/>
        <w:spacing w:after="0"/>
        <w:tabs>
          <w:tab w:leader="none" w:pos="19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219" w:lineRule="exact"/>
        <w:rPr>
          <w:rFonts w:ascii="Arial" w:cs="Arial" w:eastAsia="Arial" w:hAnsi="Arial"/>
          <w:sz w:val="18"/>
          <w:szCs w:val="18"/>
          <w:color w:val="auto"/>
        </w:rPr>
      </w:pPr>
    </w:p>
    <w:p>
      <w:pPr>
        <w:ind w:left="2020" w:hanging="612"/>
        <w:spacing w:after="0"/>
        <w:tabs>
          <w:tab w:leader="none" w:pos="20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219" w:lineRule="exact"/>
        <w:rPr>
          <w:rFonts w:ascii="Arial" w:cs="Arial" w:eastAsia="Arial" w:hAnsi="Arial"/>
          <w:sz w:val="18"/>
          <w:szCs w:val="18"/>
          <w:color w:val="auto"/>
        </w:rPr>
      </w:pPr>
    </w:p>
    <w:p>
      <w:pPr>
        <w:ind w:left="2060" w:hanging="652"/>
        <w:spacing w:after="0"/>
        <w:tabs>
          <w:tab w:leader="none" w:pos="2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219" w:lineRule="exact"/>
        <w:rPr>
          <w:rFonts w:ascii="Arial" w:cs="Arial" w:eastAsia="Arial" w:hAnsi="Arial"/>
          <w:sz w:val="18"/>
          <w:szCs w:val="18"/>
          <w:color w:val="auto"/>
        </w:rPr>
      </w:pPr>
    </w:p>
    <w:p>
      <w:pPr>
        <w:ind w:left="2120" w:hanging="712"/>
        <w:spacing w:after="0"/>
        <w:tabs>
          <w:tab w:leader="none" w:pos="21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219" w:lineRule="exact"/>
        <w:rPr>
          <w:rFonts w:ascii="Arial" w:cs="Arial" w:eastAsia="Arial" w:hAnsi="Arial"/>
          <w:sz w:val="18"/>
          <w:szCs w:val="18"/>
          <w:color w:val="auto"/>
        </w:rPr>
      </w:pPr>
    </w:p>
    <w:p>
      <w:pPr>
        <w:ind w:left="2020" w:hanging="612"/>
        <w:spacing w:after="0"/>
        <w:tabs>
          <w:tab w:leader="none" w:pos="20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219" w:lineRule="exact"/>
        <w:rPr>
          <w:rFonts w:ascii="Arial" w:cs="Arial" w:eastAsia="Arial" w:hAnsi="Arial"/>
          <w:sz w:val="18"/>
          <w:szCs w:val="18"/>
          <w:color w:val="auto"/>
        </w:rPr>
      </w:pPr>
    </w:p>
    <w:p>
      <w:pPr>
        <w:ind w:left="1980" w:hanging="572"/>
        <w:spacing w:after="0"/>
        <w:tabs>
          <w:tab w:leader="none" w:pos="19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219" w:lineRule="exact"/>
        <w:rPr>
          <w:rFonts w:ascii="Arial" w:cs="Arial" w:eastAsia="Arial" w:hAnsi="Arial"/>
          <w:sz w:val="18"/>
          <w:szCs w:val="18"/>
          <w:color w:val="auto"/>
        </w:rPr>
      </w:pPr>
    </w:p>
    <w:p>
      <w:pPr>
        <w:ind w:left="2020" w:hanging="612"/>
        <w:spacing w:after="0"/>
        <w:tabs>
          <w:tab w:leader="none" w:pos="20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219" w:lineRule="exact"/>
        <w:rPr>
          <w:rFonts w:ascii="Arial" w:cs="Arial" w:eastAsia="Arial" w:hAnsi="Arial"/>
          <w:sz w:val="18"/>
          <w:szCs w:val="18"/>
          <w:color w:val="auto"/>
        </w:rPr>
      </w:pPr>
    </w:p>
    <w:p>
      <w:pPr>
        <w:ind w:left="2060" w:hanging="652"/>
        <w:spacing w:after="0"/>
        <w:tabs>
          <w:tab w:leader="none" w:pos="2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219" w:lineRule="exact"/>
        <w:rPr>
          <w:rFonts w:ascii="Arial" w:cs="Arial" w:eastAsia="Arial" w:hAnsi="Arial"/>
          <w:sz w:val="18"/>
          <w:szCs w:val="18"/>
          <w:color w:val="auto"/>
        </w:rPr>
      </w:pPr>
    </w:p>
    <w:p>
      <w:pPr>
        <w:ind w:left="2120" w:hanging="712"/>
        <w:spacing w:after="0"/>
        <w:tabs>
          <w:tab w:leader="none" w:pos="21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219" w:lineRule="exact"/>
        <w:rPr>
          <w:rFonts w:ascii="Arial" w:cs="Arial" w:eastAsia="Arial" w:hAnsi="Arial"/>
          <w:sz w:val="18"/>
          <w:szCs w:val="18"/>
          <w:color w:val="auto"/>
        </w:rPr>
      </w:pPr>
    </w:p>
    <w:p>
      <w:pPr>
        <w:ind w:left="2100" w:hanging="692"/>
        <w:spacing w:after="0"/>
        <w:tabs>
          <w:tab w:leader="none" w:pos="21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219" w:lineRule="exact"/>
        <w:rPr>
          <w:rFonts w:ascii="Arial" w:cs="Arial" w:eastAsia="Arial" w:hAnsi="Arial"/>
          <w:sz w:val="18"/>
          <w:szCs w:val="18"/>
          <w:color w:val="auto"/>
        </w:rPr>
      </w:pPr>
    </w:p>
    <w:p>
      <w:pPr>
        <w:ind w:left="2060" w:hanging="652"/>
        <w:spacing w:after="0"/>
        <w:tabs>
          <w:tab w:leader="none" w:pos="20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219" w:lineRule="exact"/>
        <w:rPr>
          <w:rFonts w:ascii="Arial" w:cs="Arial" w:eastAsia="Arial" w:hAnsi="Arial"/>
          <w:sz w:val="18"/>
          <w:szCs w:val="18"/>
          <w:color w:val="auto"/>
        </w:rPr>
      </w:pPr>
    </w:p>
    <w:p>
      <w:pPr>
        <w:ind w:left="2100" w:hanging="692"/>
        <w:spacing w:after="0"/>
        <w:tabs>
          <w:tab w:leader="none" w:pos="21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bookings;</w:t>
      </w:r>
    </w:p>
    <w:p>
      <w:pPr>
        <w:spacing w:after="0" w:line="219" w:lineRule="exact"/>
        <w:rPr>
          <w:rFonts w:ascii="Arial" w:cs="Arial" w:eastAsia="Arial" w:hAnsi="Arial"/>
          <w:sz w:val="18"/>
          <w:szCs w:val="18"/>
          <w:color w:val="auto"/>
        </w:rPr>
      </w:pPr>
    </w:p>
    <w:p>
      <w:pPr>
        <w:ind w:left="2160" w:hanging="752"/>
        <w:spacing w:after="0"/>
        <w:tabs>
          <w:tab w:leader="none" w:pos="21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219" w:lineRule="exact"/>
        <w:rPr>
          <w:rFonts w:ascii="Arial" w:cs="Arial" w:eastAsia="Arial" w:hAnsi="Arial"/>
          <w:sz w:val="18"/>
          <w:szCs w:val="18"/>
          <w:color w:val="auto"/>
        </w:rPr>
      </w:pPr>
    </w:p>
    <w:p>
      <w:pPr>
        <w:ind w:left="2200" w:hanging="792"/>
        <w:spacing w:after="0"/>
        <w:tabs>
          <w:tab w:leader="none" w:pos="22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sales;</w:t>
      </w:r>
    </w:p>
    <w:p>
      <w:pPr>
        <w:spacing w:after="0" w:line="219" w:lineRule="exact"/>
        <w:rPr>
          <w:rFonts w:ascii="Arial" w:cs="Arial" w:eastAsia="Arial" w:hAnsi="Arial"/>
          <w:sz w:val="18"/>
          <w:szCs w:val="18"/>
          <w:color w:val="auto"/>
        </w:rPr>
      </w:pPr>
    </w:p>
    <w:p>
      <w:pPr>
        <w:ind w:left="2100" w:hanging="692"/>
        <w:spacing w:after="0"/>
        <w:tabs>
          <w:tab w:leader="none" w:pos="21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expenses;</w:t>
      </w:r>
    </w:p>
    <w:p>
      <w:pPr>
        <w:spacing w:after="0" w:line="220" w:lineRule="exact"/>
        <w:rPr>
          <w:sz w:val="20"/>
          <w:szCs w:val="20"/>
          <w:color w:val="auto"/>
        </w:rPr>
      </w:pPr>
    </w:p>
    <w:p>
      <w:pPr>
        <w:ind w:left="1400"/>
        <w:spacing w:after="0"/>
        <w:tabs>
          <w:tab w:leader="none" w:pos="1820" w:val="left"/>
        </w:tabs>
        <w:rPr>
          <w:sz w:val="20"/>
          <w:szCs w:val="20"/>
          <w:color w:val="auto"/>
        </w:rPr>
      </w:pPr>
      <w:r>
        <w:rPr>
          <w:rFonts w:ascii="Arial" w:cs="Arial" w:eastAsia="Arial" w:hAnsi="Arial"/>
          <w:sz w:val="18"/>
          <w:szCs w:val="18"/>
          <w:color w:val="auto"/>
        </w:rPr>
        <w:t>(xl)</w:t>
      </w:r>
      <w:r>
        <w:rPr>
          <w:sz w:val="20"/>
          <w:szCs w:val="20"/>
          <w:color w:val="auto"/>
        </w:rPr>
        <w:tab/>
      </w:r>
      <w:r>
        <w:rPr>
          <w:rFonts w:ascii="Arial" w:cs="Arial" w:eastAsia="Arial" w:hAnsi="Arial"/>
          <w:sz w:val="14"/>
          <w:szCs w:val="14"/>
          <w:color w:val="auto"/>
        </w:rPr>
        <w:t>balance of cash, cash equivalents, and marketable securities;</w:t>
      </w:r>
    </w:p>
    <w:p>
      <w:pPr>
        <w:spacing w:after="0" w:line="220" w:lineRule="exact"/>
        <w:rPr>
          <w:sz w:val="20"/>
          <w:szCs w:val="20"/>
          <w:color w:val="auto"/>
        </w:rPr>
      </w:pPr>
    </w:p>
    <w:p>
      <w:pPr>
        <w:ind w:left="1400"/>
        <w:spacing w:after="0"/>
        <w:tabs>
          <w:tab w:leader="none" w:pos="1880" w:val="left"/>
        </w:tabs>
        <w:rPr>
          <w:sz w:val="20"/>
          <w:szCs w:val="20"/>
          <w:color w:val="auto"/>
        </w:rPr>
      </w:pPr>
      <w:r>
        <w:rPr>
          <w:rFonts w:ascii="Arial" w:cs="Arial" w:eastAsia="Arial" w:hAnsi="Arial"/>
          <w:sz w:val="18"/>
          <w:szCs w:val="18"/>
          <w:color w:val="auto"/>
        </w:rPr>
        <w:t>(xli)</w:t>
      </w:r>
      <w:r>
        <w:rPr>
          <w:sz w:val="20"/>
          <w:szCs w:val="20"/>
          <w:color w:val="auto"/>
        </w:rPr>
        <w:tab/>
      </w:r>
      <w:r>
        <w:rPr>
          <w:rFonts w:ascii="Arial" w:cs="Arial" w:eastAsia="Arial" w:hAnsi="Arial"/>
          <w:sz w:val="16"/>
          <w:szCs w:val="16"/>
          <w:color w:val="auto"/>
        </w:rPr>
        <w:t>completion of an identified special project;</w:t>
      </w:r>
    </w:p>
    <w:p>
      <w:pPr>
        <w:spacing w:after="0" w:line="220" w:lineRule="exact"/>
        <w:rPr>
          <w:sz w:val="20"/>
          <w:szCs w:val="20"/>
          <w:color w:val="auto"/>
        </w:rPr>
      </w:pPr>
    </w:p>
    <w:p>
      <w:pPr>
        <w:ind w:left="1400"/>
        <w:spacing w:after="0"/>
        <w:tabs>
          <w:tab w:leader="none" w:pos="1920" w:val="left"/>
        </w:tabs>
        <w:rPr>
          <w:sz w:val="20"/>
          <w:szCs w:val="20"/>
          <w:color w:val="auto"/>
        </w:rPr>
      </w:pPr>
      <w:r>
        <w:rPr>
          <w:rFonts w:ascii="Arial" w:cs="Arial" w:eastAsia="Arial" w:hAnsi="Arial"/>
          <w:sz w:val="18"/>
          <w:szCs w:val="18"/>
          <w:color w:val="auto"/>
        </w:rPr>
        <w:t>(xlii)</w:t>
      </w:r>
      <w:r>
        <w:rPr>
          <w:sz w:val="20"/>
          <w:szCs w:val="20"/>
          <w:color w:val="auto"/>
        </w:rPr>
        <w:tab/>
      </w:r>
      <w:r>
        <w:rPr>
          <w:rFonts w:ascii="Arial" w:cs="Arial" w:eastAsia="Arial" w:hAnsi="Arial"/>
          <w:sz w:val="16"/>
          <w:szCs w:val="16"/>
          <w:color w:val="auto"/>
        </w:rPr>
        <w:t>completion of a joint venture or other corporate transaction;</w:t>
      </w:r>
    </w:p>
    <w:p>
      <w:pPr>
        <w:spacing w:after="0" w:line="220" w:lineRule="exact"/>
        <w:rPr>
          <w:sz w:val="20"/>
          <w:szCs w:val="20"/>
          <w:color w:val="auto"/>
        </w:rPr>
      </w:pPr>
    </w:p>
    <w:p>
      <w:pPr>
        <w:ind w:left="1400"/>
        <w:spacing w:after="0"/>
        <w:tabs>
          <w:tab w:leader="none" w:pos="1980" w:val="left"/>
        </w:tabs>
        <w:rPr>
          <w:sz w:val="20"/>
          <w:szCs w:val="20"/>
          <w:color w:val="auto"/>
        </w:rPr>
      </w:pPr>
      <w:r>
        <w:rPr>
          <w:rFonts w:ascii="Arial" w:cs="Arial" w:eastAsia="Arial" w:hAnsi="Arial"/>
          <w:sz w:val="18"/>
          <w:szCs w:val="18"/>
          <w:color w:val="auto"/>
        </w:rPr>
        <w:t>(xliii)</w:t>
      </w:r>
      <w:r>
        <w:rPr>
          <w:sz w:val="20"/>
          <w:szCs w:val="20"/>
          <w:color w:val="auto"/>
        </w:rPr>
        <w:tab/>
      </w:r>
      <w:r>
        <w:rPr>
          <w:rFonts w:ascii="Arial" w:cs="Arial" w:eastAsia="Arial" w:hAnsi="Arial"/>
          <w:sz w:val="16"/>
          <w:szCs w:val="16"/>
          <w:color w:val="auto"/>
        </w:rPr>
        <w:t>employee satisfaction and/or retention;</w:t>
      </w:r>
    </w:p>
    <w:p>
      <w:pPr>
        <w:spacing w:after="0" w:line="220" w:lineRule="exact"/>
        <w:rPr>
          <w:sz w:val="20"/>
          <w:szCs w:val="20"/>
          <w:color w:val="auto"/>
        </w:rPr>
      </w:pPr>
    </w:p>
    <w:p>
      <w:pPr>
        <w:ind w:left="1400"/>
        <w:spacing w:after="0"/>
        <w:tabs>
          <w:tab w:leader="none" w:pos="1960" w:val="left"/>
        </w:tabs>
        <w:rPr>
          <w:sz w:val="20"/>
          <w:szCs w:val="20"/>
          <w:color w:val="auto"/>
        </w:rPr>
      </w:pPr>
      <w:r>
        <w:rPr>
          <w:rFonts w:ascii="Arial" w:cs="Arial" w:eastAsia="Arial" w:hAnsi="Arial"/>
          <w:sz w:val="18"/>
          <w:szCs w:val="18"/>
          <w:color w:val="auto"/>
        </w:rPr>
        <w:t>(xliv)</w:t>
      </w:r>
      <w:r>
        <w:rPr>
          <w:sz w:val="20"/>
          <w:szCs w:val="20"/>
          <w:color w:val="auto"/>
        </w:rPr>
        <w:tab/>
      </w:r>
      <w:r>
        <w:rPr>
          <w:rFonts w:ascii="Arial" w:cs="Arial" w:eastAsia="Arial" w:hAnsi="Arial"/>
          <w:sz w:val="14"/>
          <w:szCs w:val="14"/>
          <w:color w:val="auto"/>
        </w:rPr>
        <w:t>research and development expenses;</w:t>
      </w:r>
    </w:p>
    <w:p>
      <w:pPr>
        <w:spacing w:after="0" w:line="220" w:lineRule="exact"/>
        <w:rPr>
          <w:sz w:val="20"/>
          <w:szCs w:val="20"/>
          <w:color w:val="auto"/>
        </w:rPr>
      </w:pPr>
    </w:p>
    <w:p>
      <w:pPr>
        <w:ind w:left="1400"/>
        <w:spacing w:after="0"/>
        <w:tabs>
          <w:tab w:leader="none" w:pos="1920" w:val="left"/>
        </w:tabs>
        <w:rPr>
          <w:sz w:val="20"/>
          <w:szCs w:val="20"/>
          <w:color w:val="auto"/>
        </w:rPr>
      </w:pPr>
      <w:r>
        <w:rPr>
          <w:rFonts w:ascii="Arial" w:cs="Arial" w:eastAsia="Arial" w:hAnsi="Arial"/>
          <w:sz w:val="18"/>
          <w:szCs w:val="18"/>
          <w:color w:val="auto"/>
        </w:rPr>
        <w:t>(xlv)</w:t>
      </w:r>
      <w:r>
        <w:rPr>
          <w:sz w:val="20"/>
          <w:szCs w:val="20"/>
          <w:color w:val="auto"/>
        </w:rPr>
        <w:tab/>
      </w:r>
      <w:r>
        <w:rPr>
          <w:rFonts w:ascii="Arial" w:cs="Arial" w:eastAsia="Arial" w:hAnsi="Arial"/>
          <w:sz w:val="16"/>
          <w:szCs w:val="16"/>
          <w:color w:val="auto"/>
        </w:rPr>
        <w:t>working capital targets and changes in working capital; and</w:t>
      </w:r>
    </w:p>
    <w:p>
      <w:pPr>
        <w:spacing w:after="0" w:line="220" w:lineRule="exact"/>
        <w:rPr>
          <w:sz w:val="20"/>
          <w:szCs w:val="20"/>
          <w:color w:val="auto"/>
        </w:rPr>
      </w:pPr>
    </w:p>
    <w:p>
      <w:pPr>
        <w:ind w:left="1400"/>
        <w:spacing w:after="0"/>
        <w:tabs>
          <w:tab w:leader="none" w:pos="1960" w:val="left"/>
        </w:tabs>
        <w:rPr>
          <w:sz w:val="20"/>
          <w:szCs w:val="20"/>
          <w:color w:val="auto"/>
        </w:rPr>
      </w:pPr>
      <w:r>
        <w:rPr>
          <w:rFonts w:ascii="Arial" w:cs="Arial" w:eastAsia="Arial" w:hAnsi="Arial"/>
          <w:sz w:val="18"/>
          <w:szCs w:val="18"/>
          <w:color w:val="auto"/>
        </w:rPr>
        <w:t>(xlvi)</w:t>
      </w:r>
      <w:r>
        <w:rPr>
          <w:sz w:val="20"/>
          <w:szCs w:val="20"/>
          <w:color w:val="auto"/>
        </w:rPr>
        <w:tab/>
      </w:r>
      <w:r>
        <w:rPr>
          <w:rFonts w:ascii="Arial" w:cs="Arial" w:eastAsia="Arial" w:hAnsi="Arial"/>
          <w:sz w:val="14"/>
          <w:szCs w:val="14"/>
          <w:color w:val="auto"/>
        </w:rPr>
        <w:t>any other metric that is capable of measurement as determined by the Committee.</w:t>
      </w:r>
    </w:p>
    <w:p>
      <w:pPr>
        <w:spacing w:after="0" w:line="220" w:lineRule="exact"/>
        <w:rPr>
          <w:sz w:val="20"/>
          <w:szCs w:val="20"/>
          <w:color w:val="auto"/>
        </w:rPr>
      </w:pPr>
    </w:p>
    <w:p>
      <w:pPr>
        <w:ind w:firstLine="435"/>
        <w:spacing w:after="0" w:line="254"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40"/>
          </w:cols>
          <w:pgMar w:left="520" w:top="273" w:right="739" w:bottom="1440" w:gutter="0" w:footer="0" w:header="0"/>
        </w:sectPr>
      </w:pPr>
    </w:p>
    <w:bookmarkStart w:id="322" w:name="page323"/>
    <w:bookmarkEnd w:id="322"/>
    <w:p>
      <w:pPr>
        <w:ind w:right="140" w:firstLine="864"/>
        <w:spacing w:after="0" w:line="257" w:lineRule="auto"/>
        <w:tabs>
          <w:tab w:leader="none" w:pos="13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w:t>
      </w:r>
    </w:p>
    <w:p>
      <w:pPr>
        <w:spacing w:after="0" w:line="188" w:lineRule="exact"/>
        <w:rPr>
          <w:rFonts w:ascii="Arial" w:cs="Arial" w:eastAsia="Arial" w:hAnsi="Arial"/>
          <w:sz w:val="18"/>
          <w:szCs w:val="18"/>
          <w:color w:val="auto"/>
        </w:rPr>
      </w:pPr>
    </w:p>
    <w:p>
      <w:pPr>
        <w:ind w:right="100" w:firstLine="864"/>
        <w:spacing w:after="0" w:line="267" w:lineRule="auto"/>
        <w:tabs>
          <w:tab w:leader="none" w:pos="128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 Award as defined in Section 10 and granted under the Plan, the payment of which is contingent upon achieving certain performance goals established by the Committee.</w:t>
      </w:r>
    </w:p>
    <w:p>
      <w:pPr>
        <w:spacing w:after="0" w:line="179" w:lineRule="exact"/>
        <w:rPr>
          <w:rFonts w:ascii="Arial" w:cs="Arial" w:eastAsia="Arial" w:hAnsi="Arial"/>
          <w:sz w:val="18"/>
          <w:szCs w:val="18"/>
          <w:color w:val="auto"/>
        </w:rPr>
      </w:pPr>
    </w:p>
    <w:p>
      <w:pPr>
        <w:ind w:right="140" w:firstLine="864"/>
        <w:spacing w:after="0" w:line="267" w:lineRule="auto"/>
        <w:tabs>
          <w:tab w:leader="none" w:pos="134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as defined in Section 10 and granted under the Plan, the payment of which is contingent upon achieving certain performance goals established by the Committee.</w:t>
      </w:r>
    </w:p>
    <w:p>
      <w:pPr>
        <w:spacing w:after="0" w:line="179" w:lineRule="exact"/>
        <w:rPr>
          <w:rFonts w:ascii="Arial" w:cs="Arial" w:eastAsia="Arial" w:hAnsi="Arial"/>
          <w:sz w:val="18"/>
          <w:szCs w:val="18"/>
          <w:color w:val="auto"/>
        </w:rPr>
      </w:pPr>
    </w:p>
    <w:p>
      <w:pPr>
        <w:ind w:right="20" w:firstLine="864"/>
        <w:spacing w:after="0" w:line="270" w:lineRule="auto"/>
        <w:tabs>
          <w:tab w:leader="none" w:pos="1344"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80" w:lineRule="exact"/>
        <w:rPr>
          <w:rFonts w:ascii="Arial" w:cs="Arial" w:eastAsia="Arial" w:hAnsi="Arial"/>
          <w:sz w:val="17"/>
          <w:szCs w:val="17"/>
          <w:color w:val="auto"/>
        </w:rPr>
      </w:pPr>
    </w:p>
    <w:p>
      <w:pPr>
        <w:ind w:left="1260" w:hanging="396"/>
        <w:spacing w:after="0"/>
        <w:tabs>
          <w:tab w:leader="none" w:pos="12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Stoke Therapeutics, Inc., 2019 Equity Incentive Plan.</w:t>
      </w:r>
    </w:p>
    <w:p>
      <w:pPr>
        <w:spacing w:after="0" w:line="219" w:lineRule="exact"/>
        <w:rPr>
          <w:rFonts w:ascii="Arial" w:cs="Arial" w:eastAsia="Arial" w:hAnsi="Arial"/>
          <w:sz w:val="18"/>
          <w:szCs w:val="18"/>
          <w:color w:val="auto"/>
        </w:rPr>
      </w:pPr>
    </w:p>
    <w:p>
      <w:pPr>
        <w:ind w:left="1260" w:hanging="396"/>
        <w:spacing w:after="0"/>
        <w:tabs>
          <w:tab w:leader="none" w:pos="12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means the price to be paid for Shares acquired under the Plan, other than Shares acquired upon exercise of an</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 or SAR.</w:t>
      </w:r>
    </w:p>
    <w:p>
      <w:pPr>
        <w:spacing w:after="0" w:line="208" w:lineRule="exact"/>
        <w:rPr>
          <w:rFonts w:ascii="Arial" w:cs="Arial" w:eastAsia="Arial" w:hAnsi="Arial"/>
          <w:sz w:val="16"/>
          <w:szCs w:val="16"/>
          <w:color w:val="auto"/>
        </w:rPr>
      </w:pPr>
    </w:p>
    <w:p>
      <w:pPr>
        <w:ind w:left="1340" w:hanging="476"/>
        <w:spacing w:after="0"/>
        <w:tabs>
          <w:tab w:leader="none" w:pos="134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Restricted Stock Award</w:t>
      </w:r>
      <w:r>
        <w:rPr>
          <w:rFonts w:ascii="Arial" w:cs="Arial" w:eastAsia="Arial" w:hAnsi="Arial"/>
          <w:sz w:val="14"/>
          <w:szCs w:val="14"/>
          <w:color w:val="auto"/>
        </w:rPr>
        <w:t>” means an Award as defined in Section 6 and granted under the Plan, or issued pursuant to the early exercise</w:t>
      </w:r>
    </w:p>
    <w:p>
      <w:pPr>
        <w:spacing w:after="0" w:line="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of an Option.</w:t>
      </w:r>
    </w:p>
    <w:p>
      <w:pPr>
        <w:spacing w:after="0" w:line="208" w:lineRule="exact"/>
        <w:rPr>
          <w:rFonts w:ascii="Arial" w:cs="Arial" w:eastAsia="Arial" w:hAnsi="Arial"/>
          <w:sz w:val="14"/>
          <w:szCs w:val="14"/>
          <w:color w:val="auto"/>
        </w:rPr>
      </w:pPr>
    </w:p>
    <w:p>
      <w:pPr>
        <w:ind w:left="1260" w:hanging="396"/>
        <w:spacing w:after="0"/>
        <w:tabs>
          <w:tab w:leader="none" w:pos="12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as defined in Section 9 and granted under the Plan.</w:t>
      </w:r>
    </w:p>
    <w:p>
      <w:pPr>
        <w:spacing w:after="0" w:line="219" w:lineRule="exact"/>
        <w:rPr>
          <w:rFonts w:ascii="Arial" w:cs="Arial" w:eastAsia="Arial" w:hAnsi="Arial"/>
          <w:sz w:val="18"/>
          <w:szCs w:val="18"/>
          <w:color w:val="auto"/>
        </w:rPr>
      </w:pPr>
    </w:p>
    <w:p>
      <w:pPr>
        <w:ind w:left="1440" w:hanging="576"/>
        <w:spacing w:after="0"/>
        <w:tabs>
          <w:tab w:leader="none" w:pos="14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19" w:lineRule="exact"/>
        <w:rPr>
          <w:rFonts w:ascii="Arial" w:cs="Arial" w:eastAsia="Arial" w:hAnsi="Arial"/>
          <w:sz w:val="18"/>
          <w:szCs w:val="18"/>
          <w:color w:val="auto"/>
        </w:rPr>
      </w:pPr>
    </w:p>
    <w:p>
      <w:pPr>
        <w:ind w:left="1340" w:hanging="476"/>
        <w:spacing w:after="0"/>
        <w:tabs>
          <w:tab w:leader="none" w:pos="1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p>
      <w:pPr>
        <w:spacing w:after="0" w:line="219" w:lineRule="exact"/>
        <w:rPr>
          <w:rFonts w:ascii="Arial" w:cs="Arial" w:eastAsia="Arial" w:hAnsi="Arial"/>
          <w:sz w:val="18"/>
          <w:szCs w:val="18"/>
          <w:color w:val="auto"/>
        </w:rPr>
      </w:pPr>
    </w:p>
    <w:p>
      <w:pPr>
        <w:ind w:firstLine="864"/>
        <w:spacing w:after="0" w:line="266" w:lineRule="auto"/>
        <w:tabs>
          <w:tab w:leader="none" w:pos="1344"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color w:val="auto"/>
        </w:rPr>
        <w:t>” will mean service as an Employee, Consultant, Director, or Non-Employee Director, to the Company or a Parent, Subsidiary, or Affiliate, subject to such further limitations as may be set forth in the Plan or the applicable Award Agreement. An Employee will not be deemed to have ceased to provide Service in the case of (a) sick leave, (b) military leave, or (c) any other leave of absence approved by the Company, provided that such leave is for a period of not more than ninety (90) days unless reemployment upon the expiration of such leave is guaranteed by contract or statute. Notwithstanding anything to the contrary, an Employee will not be deemed to have ceased to provide Service if a formal policy adopted from time to time by the Company and issued and promulgated to employees in writing provides otherwise.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from the employ of the Company or a Parent, Subsidiary, or Affiliate or during such change 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520" w:top="274" w:right="499" w:bottom="1440" w:gutter="0" w:footer="0" w:header="0"/>
        </w:sectPr>
      </w:pPr>
    </w:p>
    <w:bookmarkStart w:id="323" w:name="page324"/>
    <w:bookmarkEnd w:id="32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 approved leave of absence and, upon a Participant’s returning from military leave, he or she will be given vesting credit with respect to Awards to the same extent as would have applied had the Participant continued to provide Service to the Company throughout the leave on the same terms as he or she was providing Service immediately prior to such leave. An employee will have terminated employment as of the date he or she ceases to provide Service (regardless of whether the termination is in breach of local employment laws or is later found to be invalid) and employment will not be extended by any notice period or garden leave mandated by local law,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 change in status from an Employee to a Consultant or Non-Employee Director (or vice versa)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spacing w:after="0" w:line="170" w:lineRule="exact"/>
        <w:rPr>
          <w:sz w:val="20"/>
          <w:szCs w:val="20"/>
          <w:color w:val="auto"/>
        </w:rPr>
      </w:pPr>
    </w:p>
    <w:p>
      <w:pPr>
        <w:ind w:left="1340" w:hanging="476"/>
        <w:spacing w:after="0"/>
        <w:tabs>
          <w:tab w:leader="none" w:pos="1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Common Stock and the common stock of any successor entity of the Company.</w:t>
      </w:r>
    </w:p>
    <w:p>
      <w:pPr>
        <w:spacing w:after="0" w:line="219" w:lineRule="exact"/>
        <w:rPr>
          <w:rFonts w:ascii="Arial" w:cs="Arial" w:eastAsia="Arial" w:hAnsi="Arial"/>
          <w:sz w:val="18"/>
          <w:szCs w:val="18"/>
          <w:color w:val="auto"/>
        </w:rPr>
      </w:pPr>
    </w:p>
    <w:p>
      <w:pPr>
        <w:ind w:left="1340" w:hanging="476"/>
        <w:spacing w:after="0"/>
        <w:tabs>
          <w:tab w:leader="none" w:pos="1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an Award defined in Section 8 and granted under the Plan.</w:t>
      </w:r>
    </w:p>
    <w:p>
      <w:pPr>
        <w:spacing w:after="0" w:line="219" w:lineRule="exact"/>
        <w:rPr>
          <w:rFonts w:ascii="Arial" w:cs="Arial" w:eastAsia="Arial" w:hAnsi="Arial"/>
          <w:sz w:val="18"/>
          <w:szCs w:val="18"/>
          <w:color w:val="auto"/>
        </w:rPr>
      </w:pPr>
    </w:p>
    <w:p>
      <w:pPr>
        <w:ind w:left="1280" w:hanging="416"/>
        <w:spacing w:after="0"/>
        <w:tabs>
          <w:tab w:leader="none" w:pos="12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means an Award defined in Section 7 and granted under the Plan.</w:t>
      </w:r>
    </w:p>
    <w:p>
      <w:pPr>
        <w:spacing w:after="0" w:line="219" w:lineRule="exact"/>
        <w:rPr>
          <w:rFonts w:ascii="Arial" w:cs="Arial" w:eastAsia="Arial" w:hAnsi="Arial"/>
          <w:sz w:val="18"/>
          <w:szCs w:val="18"/>
          <w:color w:val="auto"/>
        </w:rPr>
      </w:pPr>
    </w:p>
    <w:p>
      <w:pPr>
        <w:jc w:val="both"/>
        <w:ind w:right="60" w:firstLine="864"/>
        <w:spacing w:after="0" w:line="257" w:lineRule="auto"/>
        <w:tabs>
          <w:tab w:leader="none" w:pos="13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88" w:lineRule="exact"/>
        <w:rPr>
          <w:rFonts w:ascii="Arial" w:cs="Arial" w:eastAsia="Arial" w:hAnsi="Arial"/>
          <w:sz w:val="18"/>
          <w:szCs w:val="18"/>
          <w:color w:val="auto"/>
        </w:rPr>
      </w:pPr>
    </w:p>
    <w:p>
      <w:pPr>
        <w:ind w:left="1260" w:hanging="396"/>
        <w:spacing w:after="0"/>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regulations promulgated by the United States Treasury Department.</w:t>
      </w:r>
    </w:p>
    <w:p>
      <w:pPr>
        <w:spacing w:after="0" w:line="219" w:lineRule="exact"/>
        <w:rPr>
          <w:rFonts w:ascii="Arial" w:cs="Arial" w:eastAsia="Arial" w:hAnsi="Arial"/>
          <w:sz w:val="18"/>
          <w:szCs w:val="18"/>
          <w:color w:val="auto"/>
        </w:rPr>
      </w:pPr>
    </w:p>
    <w:p>
      <w:pPr>
        <w:ind w:left="1380" w:hanging="516"/>
        <w:spacing w:after="0"/>
        <w:tabs>
          <w:tab w:leader="none" w:pos="13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Unvested Shares</w:t>
      </w:r>
      <w:r>
        <w:rPr>
          <w:rFonts w:ascii="Arial" w:cs="Arial" w:eastAsia="Arial" w:hAnsi="Arial"/>
          <w:sz w:val="16"/>
          <w:szCs w:val="16"/>
          <w:color w:val="auto"/>
        </w:rPr>
        <w:t>” means Shares that have not yet vested or are subject to a right of repurchase in favor of the Company (or any</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successor thereto).</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60"/>
          </w:cols>
          <w:pgMar w:left="520" w:top="273" w:right="61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STOKE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Unless otherwise defined herein, the terms defined in the Stoke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2019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will have the same meanings in this Notice of Stock Option Grant and the electronic representation of this Notice of Stock Option Grant established and maintained by the Company or a third party designated by the Company (this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w:t>
      </w:r>
    </w:p>
    <w:p>
      <w:pPr>
        <w:spacing w:after="0" w:line="22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You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have been granted an option to purchase shares of Common Stock of the Company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under the Plan subject to the terms and conditions of the Plan, this Notice, and the Stock Option Award Agreement (the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including any applicable country-specific provisions in any appendix attached hereto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which constitutes part of the Option Agreement.</w:t>
      </w:r>
    </w:p>
    <w:p>
      <w:pPr>
        <w:sectPr>
          <w:pgSz w:w="11900" w:h="16838" w:orient="portrait"/>
          <w:cols w:equalWidth="0" w:num="1">
            <w:col w:w="10860"/>
          </w:cols>
          <w:pgMar w:left="520" w:top="268" w:right="519" w:bottom="1440" w:gutter="0" w:footer="0" w:header="0"/>
        </w:sectPr>
      </w:pP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Grant Number</w:t>
      </w:r>
      <w:r>
        <w:rPr>
          <w:rFonts w:ascii="Arial" w:cs="Arial" w:eastAsia="Arial" w:hAnsi="Arial"/>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Vesting Commencement Date</w:t>
      </w:r>
      <w:r>
        <w:rPr>
          <w:rFonts w:ascii="Arial" w:cs="Arial" w:eastAsia="Arial" w:hAnsi="Arial"/>
          <w:sz w:val="14"/>
          <w:szCs w:val="14"/>
          <w:color w:val="auto"/>
        </w:rPr>
        <w: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Exercise Price per Share</w:t>
      </w:r>
      <w:r>
        <w:rPr>
          <w:rFonts w:ascii="Arial" w:cs="Arial" w:eastAsia="Arial" w:hAnsi="Arial"/>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Total Number of Shares</w:t>
      </w:r>
      <w:r>
        <w:rPr>
          <w:rFonts w:ascii="Arial" w:cs="Arial" w:eastAsia="Arial" w:hAnsi="Arial"/>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Type of Option:</w:t>
      </w:r>
    </w:p>
    <w:p>
      <w:pPr>
        <w:spacing w:after="0" w:line="200" w:lineRule="exact"/>
        <w:rPr>
          <w:sz w:val="20"/>
          <w:szCs w:val="20"/>
          <w:color w:val="auto"/>
        </w:rPr>
      </w:pP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Expiration Date:</w:t>
      </w: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Non-Qualified Stock Option</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Incentive Stock Option</w:t>
      </w:r>
    </w:p>
    <w:p>
      <w:pPr>
        <w:spacing w:after="0" w:line="113" w:lineRule="exact"/>
        <w:rPr>
          <w:sz w:val="20"/>
          <w:szCs w:val="20"/>
          <w:color w:val="auto"/>
        </w:rPr>
      </w:pPr>
    </w:p>
    <w:p>
      <w:pPr>
        <w:ind w:right="440" w:firstLine="571"/>
        <w:spacing w:after="0" w:line="267" w:lineRule="auto"/>
        <w:tabs>
          <w:tab w:leader="none" w:pos="66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20 ; the Option expires earlier if Participant’s Service terminates earlier, as described in the Option Agreement.</w:t>
      </w:r>
    </w:p>
    <w:p>
      <w:pPr>
        <w:spacing w:after="0" w:line="73"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Subject to the limitations set forth in this Notice, the Plan, and the Agreement, the Option will vest in accordance with the following schedule: [</w:t>
      </w:r>
      <w:r>
        <w:rPr>
          <w:rFonts w:ascii="Arial" w:cs="Arial" w:eastAsia="Arial" w:hAnsi="Arial"/>
          <w:sz w:val="18"/>
          <w:szCs w:val="18"/>
          <w:i w:val="1"/>
          <w:iCs w:val="1"/>
          <w:color w:val="auto"/>
        </w:rPr>
        <w:t>insert applicable vesting schedule</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2720" w:space="440"/>
            <w:col w:w="7700"/>
          </w:cols>
          <w:pgMar w:left="520" w:top="268" w:right="519" w:bottom="1440" w:gutter="0" w:footer="0" w:header="0"/>
          <w:type w:val="continuous"/>
        </w:sectPr>
      </w:pPr>
    </w:p>
    <w:p>
      <w:pPr>
        <w:spacing w:after="0"/>
        <w:rPr>
          <w:sz w:val="20"/>
          <w:szCs w:val="20"/>
          <w:color w:val="auto"/>
        </w:rPr>
      </w:pPr>
      <w:r>
        <w:rPr>
          <w:rFonts w:ascii="Arial" w:cs="Arial" w:eastAsia="Arial" w:hAnsi="Arial"/>
          <w:sz w:val="18"/>
          <w:szCs w:val="18"/>
          <w:color w:val="auto"/>
        </w:rPr>
        <w:t>By accepting (whether in writing, electronically, or otherwise) the Option, Participant acknowledges and agrees to the following:</w:t>
      </w:r>
    </w:p>
    <w:p>
      <w:pPr>
        <w:spacing w:after="0" w:line="126" w:lineRule="exact"/>
        <w:rPr>
          <w:sz w:val="20"/>
          <w:szCs w:val="20"/>
          <w:color w:val="auto"/>
        </w:rPr>
      </w:pPr>
    </w:p>
    <w:p>
      <w:pPr>
        <w:ind w:left="840" w:hanging="420"/>
        <w:spacing w:after="0" w:line="267" w:lineRule="auto"/>
        <w:tabs>
          <w:tab w:leader="none" w:pos="84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Participant understands that Participant’s Service with the Company or a Parent, Subsidiary, or Affiliate is for an unspecified duration, can be terminated at any time (</w:t>
      </w:r>
      <w:r>
        <w:rPr>
          <w:rFonts w:ascii="Arial" w:cs="Arial" w:eastAsia="Arial" w:hAnsi="Arial"/>
          <w:sz w:val="17"/>
          <w:szCs w:val="17"/>
          <w:i w:val="1"/>
          <w:iCs w:val="1"/>
          <w:color w:val="auto"/>
        </w:rPr>
        <w:t>i.e.</w:t>
      </w:r>
      <w:r>
        <w:rPr>
          <w:rFonts w:ascii="Arial" w:cs="Arial" w:eastAsia="Arial" w:hAnsi="Arial"/>
          <w:sz w:val="17"/>
          <w:szCs w:val="17"/>
          <w:color w:val="auto"/>
        </w:rPr>
        <w:t>, is “at-will”) except where otherwise prohibited by applicable law, and that nothing in this Notice, the Option Agreement, or the Plan changes the nature of that relationship. Participant acknowledges that the vesting of the Option pursuant to this Notice is subject to Participant’s continuing Service as an Employee, Director, or Consultant. Participant agrees and acknowledges that the Vesting Schedule may change prospectively in the event that Participant’s Service status changes between full- and part-time and/or in the event the Participant is on a leave of absence, in accordance with Company policies relating to work schedules and vesting of Awards or as determined by the Committee. Furthermore, the period during which Participant may exercise the Option after termination of Service, if any, will commence on the Termination Date (as defined in the Option Agreement).</w:t>
      </w:r>
    </w:p>
    <w:p>
      <w:pPr>
        <w:spacing w:after="0" w:line="87" w:lineRule="exact"/>
        <w:rPr>
          <w:rFonts w:ascii="Arial" w:cs="Arial" w:eastAsia="Arial" w:hAnsi="Arial"/>
          <w:sz w:val="17"/>
          <w:szCs w:val="17"/>
          <w:color w:val="auto"/>
        </w:rPr>
      </w:pPr>
    </w:p>
    <w:p>
      <w:pPr>
        <w:jc w:val="both"/>
        <w:ind w:left="840" w:right="40" w:hanging="420"/>
        <w:spacing w:after="0" w:line="257" w:lineRule="auto"/>
        <w:tabs>
          <w:tab w:leader="none" w:pos="8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This grant is made under and governed by the Plan, the Agreement, and this Notice, and this Notice is subject to the terms and conditions of the Agreement and the Plan, both of which are incorporated herein by reference. Participant has read the Notice, the Option Agreement and, the Plan.</w:t>
      </w:r>
    </w:p>
    <w:p>
      <w:pPr>
        <w:spacing w:after="0" w:line="95" w:lineRule="exact"/>
        <w:rPr>
          <w:rFonts w:ascii="Arial" w:cs="Arial" w:eastAsia="Arial" w:hAnsi="Arial"/>
          <w:sz w:val="18"/>
          <w:szCs w:val="18"/>
          <w:color w:val="auto"/>
        </w:rPr>
      </w:pPr>
    </w:p>
    <w:p>
      <w:pPr>
        <w:ind w:left="840" w:right="100" w:hanging="420"/>
        <w:spacing w:after="0" w:line="267" w:lineRule="auto"/>
        <w:tabs>
          <w:tab w:leader="none" w:pos="8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Participant has read the Company’s Insider Trading Policy, and agrees to comply with such policy, as it may be amended from time to time, whenever Participant acquires or disposes of the Company’s securities.</w:t>
      </w:r>
    </w:p>
    <w:p>
      <w:pPr>
        <w:spacing w:after="0" w:line="86" w:lineRule="exact"/>
        <w:rPr>
          <w:rFonts w:ascii="Arial" w:cs="Arial" w:eastAsia="Arial" w:hAnsi="Arial"/>
          <w:sz w:val="18"/>
          <w:szCs w:val="18"/>
          <w:color w:val="auto"/>
        </w:rPr>
      </w:pPr>
    </w:p>
    <w:p>
      <w:pPr>
        <w:ind w:left="840" w:hanging="420"/>
        <w:spacing w:after="0"/>
        <w:tabs>
          <w:tab w:leader="none" w:pos="8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By accepting the Option, Participant consents to electronic delivery and participation as set forth in the Option Agreement.</w:t>
      </w:r>
    </w:p>
    <w:p>
      <w:pPr>
        <w:sectPr>
          <w:pgSz w:w="11900" w:h="16838" w:orient="portrait"/>
          <w:cols w:equalWidth="0" w:num="1">
            <w:col w:w="10860"/>
          </w:cols>
          <w:pgMar w:left="520" w:top="268" w:right="519" w:bottom="1440" w:gutter="0" w:footer="0" w:header="0"/>
          <w:type w:val="continuous"/>
        </w:sectPr>
      </w:pPr>
    </w:p>
    <w:bookmarkStart w:id="325" w:name="page326"/>
    <w:bookmarkEnd w:id="325"/>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5480" w:type="dxa"/>
            <w:vAlign w:val="bottom"/>
            <w:gridSpan w:val="2"/>
          </w:tcPr>
          <w:p>
            <w:pPr>
              <w:ind w:left="640"/>
              <w:spacing w:after="0"/>
              <w:rPr>
                <w:sz w:val="20"/>
                <w:szCs w:val="20"/>
                <w:color w:val="auto"/>
              </w:rPr>
            </w:pPr>
            <w:r>
              <w:rPr>
                <w:rFonts w:ascii="Arial" w:cs="Arial" w:eastAsia="Arial" w:hAnsi="Arial"/>
                <w:sz w:val="18"/>
                <w:szCs w:val="18"/>
                <w:b w:val="1"/>
                <w:bCs w:val="1"/>
                <w:color w:val="auto"/>
              </w:rPr>
              <w:t>STOKE THERAPEUTICS, INC.</w:t>
            </w:r>
          </w:p>
        </w:tc>
      </w:tr>
      <w:tr>
        <w:trPr>
          <w:trHeight w:val="427"/>
        </w:trPr>
        <w:tc>
          <w:tcPr>
            <w:tcW w:w="1060" w:type="dxa"/>
            <w:vAlign w:val="bottom"/>
          </w:tcPr>
          <w:p>
            <w:pPr>
              <w:spacing w:after="0"/>
              <w:rPr>
                <w:sz w:val="20"/>
                <w:szCs w:val="20"/>
                <w:color w:val="auto"/>
              </w:rPr>
            </w:pPr>
            <w:r>
              <w:rPr>
                <w:rFonts w:ascii="Arial" w:cs="Arial" w:eastAsia="Arial" w:hAnsi="Arial"/>
                <w:sz w:val="18"/>
                <w:szCs w:val="18"/>
                <w:color w:val="auto"/>
              </w:rPr>
              <w:t>Signature:</w:t>
            </w:r>
          </w:p>
        </w:tc>
        <w:tc>
          <w:tcPr>
            <w:tcW w:w="4340" w:type="dxa"/>
            <w:vAlign w:val="bottom"/>
            <w:tcBorders>
              <w:bottom w:val="single" w:sz="8" w:color="auto"/>
            </w:tcBorders>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4"/>
                <w:szCs w:val="24"/>
                <w:color w:val="auto"/>
              </w:rPr>
            </w:pPr>
          </w:p>
        </w:tc>
      </w:tr>
      <w:tr>
        <w:trPr>
          <w:trHeight w:val="434"/>
        </w:trPr>
        <w:tc>
          <w:tcPr>
            <w:tcW w:w="1060" w:type="dxa"/>
            <w:vAlign w:val="bottom"/>
          </w:tcPr>
          <w:p>
            <w:pPr>
              <w:spacing w:after="0"/>
              <w:rPr>
                <w:sz w:val="20"/>
                <w:szCs w:val="20"/>
                <w:color w:val="auto"/>
              </w:rPr>
            </w:pPr>
            <w:r>
              <w:rPr>
                <w:rFonts w:ascii="Arial" w:cs="Arial" w:eastAsia="Arial" w:hAnsi="Arial"/>
                <w:sz w:val="18"/>
                <w:szCs w:val="18"/>
                <w:color w:val="auto"/>
              </w:rPr>
              <w:t>Print Name:</w:t>
            </w:r>
          </w:p>
        </w:tc>
        <w:tc>
          <w:tcPr>
            <w:tcW w:w="4340" w:type="dxa"/>
            <w:vAlign w:val="bottom"/>
            <w:tcBorders>
              <w:bottom w:val="single" w:sz="8" w:color="auto"/>
            </w:tcBorders>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rPr>
              <w:t>Its:</w:t>
            </w:r>
          </w:p>
        </w:tc>
        <w:tc>
          <w:tcPr>
            <w:tcW w:w="44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0880"/>
          </w:cols>
          <w:pgMar w:left="520" w:top="268" w:right="499"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bookmarkStart w:id="326" w:name="page327"/>
    <w:bookmarkEnd w:id="326"/>
    <w:p>
      <w:pPr>
        <w:jc w:val="center"/>
        <w:ind w:right="-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STOKE THERAPEUTICS, INC.</w:t>
      </w:r>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2019 EQUITY INCENTIVE PLAN</w:t>
      </w:r>
    </w:p>
    <w:p>
      <w:pPr>
        <w:spacing w:after="0" w:line="6"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STOCK OPTION AWARD AGREEMENT</w:t>
      </w:r>
    </w:p>
    <w:p>
      <w:pPr>
        <w:spacing w:after="0" w:line="209" w:lineRule="exact"/>
        <w:rPr>
          <w:sz w:val="20"/>
          <w:szCs w:val="20"/>
          <w:color w:val="auto"/>
        </w:rPr>
      </w:pPr>
    </w:p>
    <w:p>
      <w:pPr>
        <w:ind w:left="7" w:right="20" w:firstLine="435"/>
        <w:spacing w:after="0" w:line="267" w:lineRule="auto"/>
        <w:rPr>
          <w:sz w:val="20"/>
          <w:szCs w:val="20"/>
          <w:color w:val="auto"/>
        </w:rPr>
      </w:pPr>
      <w:r>
        <w:rPr>
          <w:rFonts w:ascii="Arial" w:cs="Arial" w:eastAsia="Arial" w:hAnsi="Arial"/>
          <w:sz w:val="18"/>
          <w:szCs w:val="18"/>
          <w:color w:val="auto"/>
        </w:rPr>
        <w:t>Unless otherwise defined in this Stock Option Award Agreement (this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any capitalized terms used herein will have the same meaning ascribed to them in the Stoke Therapeutics, Inc. 2019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0" w:lineRule="exact"/>
        <w:rPr>
          <w:sz w:val="20"/>
          <w:szCs w:val="20"/>
          <w:color w:val="auto"/>
        </w:rPr>
      </w:pPr>
    </w:p>
    <w:p>
      <w:pPr>
        <w:ind w:left="7" w:right="100" w:firstLine="435"/>
        <w:spacing w:after="0" w:line="252" w:lineRule="auto"/>
        <w:rPr>
          <w:sz w:val="20"/>
          <w:szCs w:val="20"/>
          <w:color w:val="auto"/>
        </w:rPr>
      </w:pPr>
      <w:r>
        <w:rPr>
          <w:rFonts w:ascii="Arial" w:cs="Arial" w:eastAsia="Arial" w:hAnsi="Arial"/>
          <w:sz w:val="18"/>
          <w:szCs w:val="18"/>
          <w:color w:val="auto"/>
        </w:rPr>
        <w:t>Participant has been granted an option to purchase Shares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of Stoke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subject to the terms, restrictions, and conditions of the Plan, the Notice of Stock Option Grant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this Option Agreement, including any applicable country-specific provisions in any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which constitutes part of this Option Agreement. In the event of a conflict between the terms and conditions of the Plan and the terms and conditions of the Notice or this Option Agreement, the terms and conditions of the Plan will prevail.</w:t>
      </w:r>
    </w:p>
    <w:p>
      <w:pPr>
        <w:spacing w:after="0" w:line="187" w:lineRule="exact"/>
        <w:rPr>
          <w:sz w:val="20"/>
          <w:szCs w:val="20"/>
          <w:color w:val="auto"/>
        </w:rPr>
      </w:pPr>
    </w:p>
    <w:p>
      <w:pPr>
        <w:ind w:left="7" w:right="40" w:firstLine="428"/>
        <w:spacing w:after="0" w:line="293" w:lineRule="auto"/>
        <w:tabs>
          <w:tab w:leader="none" w:pos="752" w:val="left"/>
        </w:tabs>
        <w:numPr>
          <w:ilvl w:val="1"/>
          <w:numId w:val="2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 Rights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applicable provisions of the Plan and this Option Agreement, the Option may be exercised, in whole or in part,</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Vesting Schedule set forth in the Notice. Participant acknowledges and agrees that the Vesting Schedule may change prospectively in the event Participant’s Service status changes between full and part-time and/or in the event Participant is on a leave of absence, in accordance with Company policies relating to work schedules and vesting of Awards or as determined by the Committee. Participant acknowledges that the vesting of the Option pursuant to this Notice and Agreement is subject to Participant’s continuing Service as an Employee, Director, or Consultant.</w:t>
      </w:r>
    </w:p>
    <w:p>
      <w:pPr>
        <w:spacing w:after="0" w:line="157" w:lineRule="exact"/>
        <w:rPr>
          <w:rFonts w:ascii="Arial" w:cs="Arial" w:eastAsia="Arial" w:hAnsi="Arial"/>
          <w:sz w:val="16"/>
          <w:szCs w:val="16"/>
          <w:b w:val="1"/>
          <w:bCs w:val="1"/>
          <w:color w:val="auto"/>
        </w:rPr>
      </w:pPr>
    </w:p>
    <w:p>
      <w:pPr>
        <w:jc w:val="both"/>
        <w:ind w:left="7" w:right="220" w:firstLine="428"/>
        <w:spacing w:after="0" w:line="276" w:lineRule="auto"/>
        <w:tabs>
          <w:tab w:leader="none" w:pos="752" w:val="left"/>
        </w:tabs>
        <w:numPr>
          <w:ilvl w:val="1"/>
          <w:numId w:val="2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has been granted an Option for the number of Shares set forth in the Notice at the exercise price per Share in</w:t>
      </w:r>
      <w:r>
        <w:rPr>
          <w:rFonts w:ascii="Arial" w:cs="Arial" w:eastAsia="Arial" w:hAnsi="Arial"/>
          <w:sz w:val="17"/>
          <w:szCs w:val="17"/>
          <w:b w:val="1"/>
          <w:bCs w:val="1"/>
          <w:color w:val="auto"/>
        </w:rPr>
        <w:t xml:space="preserve"> </w:t>
      </w:r>
      <w:r>
        <w:rPr>
          <w:rFonts w:ascii="Arial" w:cs="Arial" w:eastAsia="Arial" w:hAnsi="Arial"/>
          <w:sz w:val="17"/>
          <w:szCs w:val="17"/>
          <w:color w:val="auto"/>
        </w:rPr>
        <w:t>U.S. Dollars set forth in the Notice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If designated in the Notice as an Incentive Stock Option (“</w:t>
      </w:r>
      <w:r>
        <w:rPr>
          <w:rFonts w:ascii="Arial" w:cs="Arial" w:eastAsia="Arial" w:hAnsi="Arial"/>
          <w:sz w:val="17"/>
          <w:szCs w:val="17"/>
          <w:b w:val="1"/>
          <w:bCs w:val="1"/>
          <w:i w:val="1"/>
          <w:iCs w:val="1"/>
          <w:color w:val="auto"/>
        </w:rPr>
        <w:t>ISO</w:t>
      </w:r>
      <w:r>
        <w:rPr>
          <w:rFonts w:ascii="Arial" w:cs="Arial" w:eastAsia="Arial" w:hAnsi="Arial"/>
          <w:sz w:val="17"/>
          <w:szCs w:val="17"/>
          <w:color w:val="auto"/>
        </w:rPr>
        <w:t>”), the Option is intended to qualify as an Incentive Stock Option under Section 422 of the Code. However, if the Option is intended to be an ISO, to the extent that it exceeds the U.S. $100,000 rule of Code Section 422(d) it will be treated as a Nonqualified Stock Option (“</w:t>
      </w:r>
      <w:r>
        <w:rPr>
          <w:rFonts w:ascii="Arial" w:cs="Arial" w:eastAsia="Arial" w:hAnsi="Arial"/>
          <w:sz w:val="17"/>
          <w:szCs w:val="17"/>
          <w:b w:val="1"/>
          <w:bCs w:val="1"/>
          <w:i w:val="1"/>
          <w:iCs w:val="1"/>
          <w:color w:val="auto"/>
        </w:rPr>
        <w:t>NSO</w:t>
      </w:r>
      <w:r>
        <w:rPr>
          <w:rFonts w:ascii="Arial" w:cs="Arial" w:eastAsia="Arial" w:hAnsi="Arial"/>
          <w:sz w:val="17"/>
          <w:szCs w:val="17"/>
          <w:color w:val="auto"/>
        </w:rPr>
        <w:t>”).</w:t>
      </w:r>
    </w:p>
    <w:p>
      <w:pPr>
        <w:spacing w:after="0" w:line="274" w:lineRule="exact"/>
        <w:rPr>
          <w:rFonts w:ascii="Arial" w:cs="Arial" w:eastAsia="Arial" w:hAnsi="Arial"/>
          <w:sz w:val="17"/>
          <w:szCs w:val="17"/>
          <w:b w:val="1"/>
          <w:bCs w:val="1"/>
          <w:color w:val="auto"/>
        </w:rPr>
      </w:pPr>
    </w:p>
    <w:p>
      <w:pPr>
        <w:ind w:left="747" w:hanging="312"/>
        <w:spacing w:after="0"/>
        <w:tabs>
          <w:tab w:leader="none" w:pos="747" w:val="left"/>
        </w:tabs>
        <w:numPr>
          <w:ilvl w:val="1"/>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Period</w:t>
      </w:r>
      <w:r>
        <w:rPr>
          <w:rFonts w:ascii="Arial" w:cs="Arial" w:eastAsia="Arial" w:hAnsi="Arial"/>
          <w:sz w:val="18"/>
          <w:szCs w:val="18"/>
          <w:b w:val="1"/>
          <w:bCs w:val="1"/>
          <w:color w:val="auto"/>
        </w:rPr>
        <w:t>.</w:t>
      </w:r>
    </w:p>
    <w:p>
      <w:pPr>
        <w:spacing w:after="0" w:line="119" w:lineRule="exact"/>
        <w:rPr>
          <w:rFonts w:ascii="Arial" w:cs="Arial" w:eastAsia="Arial" w:hAnsi="Arial"/>
          <w:sz w:val="18"/>
          <w:szCs w:val="18"/>
          <w:b w:val="1"/>
          <w:bCs w:val="1"/>
          <w:color w:val="auto"/>
        </w:rPr>
      </w:pPr>
    </w:p>
    <w:p>
      <w:pPr>
        <w:ind w:left="7" w:right="20" w:firstLine="1408"/>
        <w:spacing w:after="0" w:line="283" w:lineRule="auto"/>
        <w:tabs>
          <w:tab w:leader="none" w:pos="1796" w:val="left"/>
        </w:tabs>
        <w:numPr>
          <w:ilvl w:val="2"/>
          <w:numId w:val="268"/>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If Participant’s Service terminates for any reason except death or Disability, and other than for Cause, then the Option will expire at the close of business at Company headquarters on the date three (3) months after Participant’s Termination Date (as defined below) (or such shorter time period not less than thirty (30) days or longer time period as may be determined by the Committee, with any exercise beyond three</w:t>
      </w:r>
    </w:p>
    <w:p>
      <w:pPr>
        <w:ind w:left="7" w:right="220" w:hanging="7"/>
        <w:spacing w:after="0" w:line="254" w:lineRule="auto"/>
        <w:tabs>
          <w:tab w:leader="none" w:pos="25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months after the date Participant’s Service terminates deemed to be the exercise of an NSO). The Company determines when Participant’s Service terminates for all purposes under this Option Agreement.</w:t>
      </w:r>
    </w:p>
    <w:p>
      <w:pPr>
        <w:spacing w:after="0" w:line="190" w:lineRule="exact"/>
        <w:rPr>
          <w:rFonts w:ascii="Arial" w:cs="Arial" w:eastAsia="Arial" w:hAnsi="Arial"/>
          <w:sz w:val="18"/>
          <w:szCs w:val="18"/>
          <w:color w:val="auto"/>
        </w:rPr>
      </w:pPr>
    </w:p>
    <w:p>
      <w:pPr>
        <w:ind w:left="7" w:right="20" w:firstLine="1408"/>
        <w:spacing w:after="0" w:line="288" w:lineRule="auto"/>
        <w:tabs>
          <w:tab w:leader="none" w:pos="1806" w:val="left"/>
        </w:tabs>
        <w:numPr>
          <w:ilvl w:val="2"/>
          <w:numId w:val="269"/>
        </w:numPr>
        <w:rPr>
          <w:rFonts w:ascii="Arial" w:cs="Arial" w:eastAsia="Arial" w:hAnsi="Arial"/>
          <w:sz w:val="16"/>
          <w:szCs w:val="16"/>
          <w:color w:val="auto"/>
        </w:rPr>
      </w:pPr>
      <w:r>
        <w:rPr>
          <w:rFonts w:ascii="Arial" w:cs="Arial" w:eastAsia="Arial" w:hAnsi="Arial"/>
          <w:sz w:val="16"/>
          <w:szCs w:val="16"/>
          <w:u w:val="single" w:color="auto"/>
          <w:color w:val="auto"/>
        </w:rPr>
        <w:t>Death; Disability</w:t>
      </w:r>
      <w:r>
        <w:rPr>
          <w:rFonts w:ascii="Arial" w:cs="Arial" w:eastAsia="Arial" w:hAnsi="Arial"/>
          <w:sz w:val="16"/>
          <w:szCs w:val="16"/>
          <w:color w:val="auto"/>
        </w:rPr>
        <w:t>. If Participant dies before Participant’s Service terminates (or Participant dies within three (3) months of Participant’s termination of Service other than for Cause), then the Option will expire at the close of business at Company headquarters on the date twelve (12) months after the date of death (or such shorter time period not less than six (6) months or longer time period as may be determined by the Committee, subject to the expiration details in Section 7). If Participant’s Service terminates because of Participant’s Disability, then the Option will expire at the close of business at Company headquarters on the date twelve (12) months after Participant’s Termination Date (or such shorter time period not less than six (6) months or longer time period as may be determined by the Committee, subject to the expiration details in Section 7).</w:t>
      </w:r>
    </w:p>
    <w:p>
      <w:pPr>
        <w:spacing w:after="0" w:line="168" w:lineRule="exact"/>
        <w:rPr>
          <w:rFonts w:ascii="Arial" w:cs="Arial" w:eastAsia="Arial" w:hAnsi="Arial"/>
          <w:sz w:val="16"/>
          <w:szCs w:val="16"/>
          <w:color w:val="auto"/>
        </w:rPr>
      </w:pPr>
    </w:p>
    <w:p>
      <w:pPr>
        <w:jc w:val="both"/>
        <w:ind w:left="7" w:firstLine="1408"/>
        <w:spacing w:after="0" w:line="257" w:lineRule="auto"/>
        <w:tabs>
          <w:tab w:leader="none" w:pos="1796" w:val="left"/>
        </w:tabs>
        <w:numPr>
          <w:ilvl w:val="2"/>
          <w:numId w:val="269"/>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Unless otherwise determined by the Committee, the Option (whether or not vested) will terminate immediately upon the Participant’s cessation of Services if the Company reasonably determines in good faith that such cessation of Services has resulted in connection with an act</w:t>
      </w:r>
    </w:p>
    <w:p>
      <w:pPr>
        <w:sectPr>
          <w:pgSz w:w="11900" w:h="16838" w:orient="portrait"/>
          <w:cols w:equalWidth="0" w:num="1">
            <w:col w:w="10867"/>
          </w:cols>
          <w:pgMar w:left="513" w:top="267" w:right="519" w:bottom="1440" w:gutter="0" w:footer="0" w:header="0"/>
        </w:sectPr>
      </w:pPr>
    </w:p>
    <w:bookmarkStart w:id="327" w:name="page328"/>
    <w:bookmarkEnd w:id="327"/>
    <w:p>
      <w:pPr>
        <w:ind w:right="32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or failure to act constituting Cause (or the Participant’s Services could have been terminated for Cause (without regard to the lapsing of any required notice or cure periods in connection therewith) at the time the Participant terminated Services).</w:t>
      </w:r>
    </w:p>
    <w:p>
      <w:pPr>
        <w:spacing w:after="0" w:line="180" w:lineRule="exact"/>
        <w:rPr>
          <w:sz w:val="20"/>
          <w:szCs w:val="20"/>
          <w:color w:val="auto"/>
        </w:rPr>
      </w:pPr>
    </w:p>
    <w:p>
      <w:pPr>
        <w:ind w:right="660" w:firstLine="1408"/>
        <w:spacing w:after="0" w:line="257" w:lineRule="auto"/>
        <w:tabs>
          <w:tab w:leader="none" w:pos="1799"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No Notification of Exercise Periods</w:t>
      </w:r>
      <w:r>
        <w:rPr>
          <w:rFonts w:ascii="Arial" w:cs="Arial" w:eastAsia="Arial" w:hAnsi="Arial"/>
          <w:sz w:val="18"/>
          <w:szCs w:val="18"/>
          <w:color w:val="auto"/>
        </w:rPr>
        <w:t>. Participant is responsible for keeping track of these exercise periods following Participant’s termination of Service for any reason. The Company will not provide further notice of such periods. In no event will the Option be exercised later than the Expiration Date set forth in the Notice.</w:t>
      </w:r>
    </w:p>
    <w:p>
      <w:pPr>
        <w:spacing w:after="0" w:line="188" w:lineRule="exact"/>
        <w:rPr>
          <w:rFonts w:ascii="Arial" w:cs="Arial" w:eastAsia="Arial" w:hAnsi="Arial"/>
          <w:sz w:val="18"/>
          <w:szCs w:val="18"/>
          <w:color w:val="auto"/>
        </w:rPr>
      </w:pPr>
    </w:p>
    <w:p>
      <w:pPr>
        <w:ind w:right="20" w:firstLine="1408"/>
        <w:spacing w:after="0" w:line="282" w:lineRule="auto"/>
        <w:tabs>
          <w:tab w:leader="none" w:pos="1789"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For purposes of this Option, Participant’s Service will be considered terminated as of the date Participant is no longer providing Services to the Company, its Parent or one of its Subsidiaries or Affiliates (regardless of the reason for such termination and whether or not later found to be invalid or in breach of employment laws in the jurisdiction where Participant is employed or the terms of Participant’s employment agreement, if any)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The Committee will have the exclusive discretion to determine when Participant is no longer actively providing services for purposes of Participant’s Option (including whether Participant may still be considered to be providing services while on an approved leave of absence). Unless otherwise provided in this Option Agreement or determined by the Company, Participant’s right to vest in this Option under the Plan, if any, will terminate as of the Termination Date and will not be extended by any notice period (</w:t>
      </w:r>
      <w:r>
        <w:rPr>
          <w:rFonts w:ascii="Arial" w:cs="Arial" w:eastAsia="Arial" w:hAnsi="Arial"/>
          <w:sz w:val="16"/>
          <w:szCs w:val="16"/>
          <w:i w:val="1"/>
          <w:iCs w:val="1"/>
          <w:color w:val="auto"/>
        </w:rPr>
        <w:t>e.g.</w:t>
      </w:r>
      <w:r>
        <w:rPr>
          <w:rFonts w:ascii="Arial" w:cs="Arial" w:eastAsia="Arial" w:hAnsi="Arial"/>
          <w:sz w:val="16"/>
          <w:szCs w:val="16"/>
          <w:color w:val="auto"/>
        </w:rPr>
        <w:t>, Participant’s period of services would not include any contractual notice period or any period of “garden leave” or similar period mandated under employment laws in the jurisdiction where Participant is employed or the terms of Participant’s employment agreement, if any). Following the Termination Date, Participant may exercise the Option only as set forth in the Notice and this Section, provided that the period (if any) during which Participant may exercise the Option after the Termination Date, if any, will commence on the date Participant ceases to provide services and will not be extended by any notice period mandated under employment laws in the jurisdiction where Participant is employed or terms of Participant’s employment agreement, if any. If Participant does not exercise this Option within the termination period set forth in the Notice or the termination periods set forth above, the Option will terminate in its entirety. In no event, may any Option be exercised after the Expiration Date of the Option as set forth in the Notice.</w:t>
      </w:r>
    </w:p>
    <w:p>
      <w:pPr>
        <w:spacing w:after="0" w:line="274" w:lineRule="exact"/>
        <w:rPr>
          <w:rFonts w:ascii="Arial" w:cs="Arial" w:eastAsia="Arial" w:hAnsi="Arial"/>
          <w:sz w:val="16"/>
          <w:szCs w:val="16"/>
          <w:color w:val="auto"/>
        </w:rPr>
      </w:pPr>
    </w:p>
    <w:p>
      <w:pPr>
        <w:ind w:left="740" w:hanging="312"/>
        <w:spacing w:after="0"/>
        <w:tabs>
          <w:tab w:leader="none" w:pos="74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w:t>
      </w:r>
    </w:p>
    <w:p>
      <w:pPr>
        <w:spacing w:after="0" w:line="119" w:lineRule="exact"/>
        <w:rPr>
          <w:rFonts w:ascii="Arial" w:cs="Arial" w:eastAsia="Arial" w:hAnsi="Arial"/>
          <w:sz w:val="18"/>
          <w:szCs w:val="18"/>
          <w:b w:val="1"/>
          <w:bCs w:val="1"/>
          <w:color w:val="auto"/>
        </w:rPr>
      </w:pPr>
    </w:p>
    <w:p>
      <w:pPr>
        <w:jc w:val="both"/>
        <w:ind w:right="40" w:firstLine="1408"/>
        <w:spacing w:after="0" w:line="254" w:lineRule="auto"/>
        <w:tabs>
          <w:tab w:leader="none" w:pos="1789" w:val="left"/>
        </w:tabs>
        <w:numPr>
          <w:ilvl w:val="1"/>
          <w:numId w:val="271"/>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The Option is exercisable during its term in accordance with the Vesting Schedule set forth in the Notice and the applicable provisions of the Plan and this Option Agreement. In the event of Participant’s death, Disability, termination for Cause, or other cessation of Service, the exercisability of the Option is governed by the applicable provisions of the Plan, the Notice, and this Option Agreement. The Option may not be exercised for a fraction of a Share.</w:t>
      </w:r>
    </w:p>
    <w:p>
      <w:pPr>
        <w:spacing w:after="0" w:line="190" w:lineRule="exact"/>
        <w:rPr>
          <w:rFonts w:ascii="Arial" w:cs="Arial" w:eastAsia="Arial" w:hAnsi="Arial"/>
          <w:sz w:val="18"/>
          <w:szCs w:val="18"/>
          <w:color w:val="auto"/>
        </w:rPr>
      </w:pPr>
    </w:p>
    <w:p>
      <w:pPr>
        <w:ind w:left="1800" w:hanging="392"/>
        <w:spacing w:after="0"/>
        <w:tabs>
          <w:tab w:leader="none" w:pos="1800" w:val="left"/>
        </w:tabs>
        <w:numPr>
          <w:ilvl w:val="1"/>
          <w:numId w:val="271"/>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Option is exercisable by delivery of an exercise notice in a form specified by the Company (the</w:t>
      </w:r>
    </w:p>
    <w:p>
      <w:pPr>
        <w:spacing w:after="0" w:line="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which will state the election to exercise the Option, the number of Shares in respect of which the Option is being exercised (the “</w:t>
      </w:r>
      <w:r>
        <w:rPr>
          <w:rFonts w:ascii="Arial" w:cs="Arial" w:eastAsia="Arial" w:hAnsi="Arial"/>
          <w:sz w:val="16"/>
          <w:szCs w:val="16"/>
          <w:b w:val="1"/>
          <w:bCs w:val="1"/>
          <w:i w:val="1"/>
          <w:iCs w:val="1"/>
          <w:color w:val="auto"/>
        </w:rPr>
        <w:t>Exercised Shares</w:t>
      </w:r>
      <w:r>
        <w:rPr>
          <w:rFonts w:ascii="Arial" w:cs="Arial" w:eastAsia="Arial" w:hAnsi="Arial"/>
          <w:sz w:val="16"/>
          <w:szCs w:val="16"/>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No Shares will be issued pursuant to the exercise of the Option unless such issuance and exercise complies with all relevant provisions of law and the requirements of any stock exchange or quotation service upon which the Shares are then listed. Assuming such compliance, for United States income tax purposes the Exercised Shares will be considered transferred to Participant on the date the Option is exercised with respect to such Exercised Shares.</w:t>
      </w:r>
    </w:p>
    <w:p>
      <w:pPr>
        <w:sectPr>
          <w:pgSz w:w="11900" w:h="16838" w:orient="portrait"/>
          <w:cols w:equalWidth="0" w:num="1">
            <w:col w:w="10880"/>
          </w:cols>
          <w:pgMar w:left="520" w:top="274" w:right="499" w:bottom="1440" w:gutter="0" w:footer="0" w:header="0"/>
        </w:sectPr>
      </w:pPr>
    </w:p>
    <w:bookmarkStart w:id="328" w:name="page329"/>
    <w:bookmarkEnd w:id="328"/>
    <w:p>
      <w:pPr>
        <w:ind w:firstLine="1408"/>
        <w:spacing w:after="0" w:line="254" w:lineRule="auto"/>
        <w:tabs>
          <w:tab w:leader="none" w:pos="1789"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Exercise by Another</w:t>
      </w:r>
      <w:r>
        <w:rPr>
          <w:rFonts w:ascii="Arial" w:cs="Arial" w:eastAsia="Arial" w:hAnsi="Arial"/>
          <w:sz w:val="18"/>
          <w:szCs w:val="18"/>
          <w:color w:val="auto"/>
        </w:rPr>
        <w:t>. If another person wants to exercise the Option after it has been transferred to him or her in compliance with this Option Agreement, that person must prove to the Company’s satisfaction that he or she is entitled to exercise the Option. That person must also complete the proper Exercise Notice form (as described above) and pay the Exercise Price (as described below) and any applicable Tax-Related Items (as described below).</w:t>
      </w:r>
    </w:p>
    <w:p>
      <w:pPr>
        <w:spacing w:after="0" w:line="184" w:lineRule="exact"/>
        <w:rPr>
          <w:rFonts w:ascii="Arial" w:cs="Arial" w:eastAsia="Arial" w:hAnsi="Arial"/>
          <w:sz w:val="18"/>
          <w:szCs w:val="18"/>
          <w:color w:val="auto"/>
        </w:rPr>
      </w:pPr>
    </w:p>
    <w:p>
      <w:pPr>
        <w:ind w:right="260" w:firstLine="428"/>
        <w:spacing w:after="0" w:line="274" w:lineRule="auto"/>
        <w:tabs>
          <w:tab w:leader="none" w:pos="746"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aggregate Exercise Price will be by any of the following, or a combination thereof, at the 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w:t>
      </w:r>
    </w:p>
    <w:p>
      <w:pPr>
        <w:spacing w:after="0" w:line="173" w:lineRule="exact"/>
        <w:rPr>
          <w:rFonts w:ascii="Arial" w:cs="Arial" w:eastAsia="Arial" w:hAnsi="Arial"/>
          <w:sz w:val="18"/>
          <w:szCs w:val="18"/>
          <w:b w:val="1"/>
          <w:bCs w:val="1"/>
          <w:color w:val="auto"/>
        </w:rPr>
      </w:pPr>
    </w:p>
    <w:p>
      <w:pPr>
        <w:ind w:left="1780" w:hanging="372"/>
        <w:spacing w:after="0"/>
        <w:tabs>
          <w:tab w:leader="none" w:pos="17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Participant’s personal check (or readily available funds), wire transfer, or a cashier’s check;</w:t>
      </w:r>
    </w:p>
    <w:p>
      <w:pPr>
        <w:spacing w:after="0" w:line="219" w:lineRule="exact"/>
        <w:rPr>
          <w:rFonts w:ascii="Arial" w:cs="Arial" w:eastAsia="Arial" w:hAnsi="Arial"/>
          <w:sz w:val="18"/>
          <w:szCs w:val="18"/>
          <w:color w:val="auto"/>
        </w:rPr>
      </w:pPr>
    </w:p>
    <w:p>
      <w:pPr>
        <w:ind w:right="40" w:firstLine="1408"/>
        <w:spacing w:after="0" w:line="288" w:lineRule="auto"/>
        <w:tabs>
          <w:tab w:leader="none" w:pos="179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certificates for shares of Company stock that Participant owns, along with any forms needed to effect a transfer of those shares to the Company; the value of the shares, determined as of the effective date of the Option exercise, will be applied to the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this Option for financial reporting purposes;</w:t>
      </w:r>
    </w:p>
    <w:p>
      <w:pPr>
        <w:spacing w:after="0" w:line="168" w:lineRule="exact"/>
        <w:rPr>
          <w:rFonts w:ascii="Arial" w:cs="Arial" w:eastAsia="Arial" w:hAnsi="Arial"/>
          <w:sz w:val="16"/>
          <w:szCs w:val="16"/>
          <w:color w:val="auto"/>
        </w:rPr>
      </w:pPr>
    </w:p>
    <w:p>
      <w:pPr>
        <w:ind w:right="20" w:firstLine="1408"/>
        <w:spacing w:after="0" w:line="254" w:lineRule="auto"/>
        <w:tabs>
          <w:tab w:leader="none" w:pos="178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The balance of the sale proceeds, if any, will be delivered to Participant. The directions must be given by signing a special notice of exercise form provided by the Company; or</w:t>
      </w:r>
    </w:p>
    <w:p>
      <w:pPr>
        <w:spacing w:after="0" w:line="190" w:lineRule="exact"/>
        <w:rPr>
          <w:rFonts w:ascii="Arial" w:cs="Arial" w:eastAsia="Arial" w:hAnsi="Arial"/>
          <w:sz w:val="18"/>
          <w:szCs w:val="18"/>
          <w:color w:val="auto"/>
        </w:rPr>
      </w:pPr>
    </w:p>
    <w:p>
      <w:pPr>
        <w:ind w:left="1800" w:hanging="392"/>
        <w:spacing w:after="0"/>
        <w:tabs>
          <w:tab w:leader="none" w:pos="18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other method authorized by the Company;</w:t>
      </w:r>
    </w:p>
    <w:p>
      <w:pPr>
        <w:spacing w:after="0" w:line="220"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provided, however, that the Company may restrict the available methods of payment due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82" w:lineRule="exact"/>
        <w:rPr>
          <w:sz w:val="20"/>
          <w:szCs w:val="20"/>
          <w:color w:val="auto"/>
        </w:rPr>
      </w:pPr>
    </w:p>
    <w:p>
      <w:pPr>
        <w:ind w:right="80" w:firstLine="428"/>
        <w:spacing w:after="0" w:line="256" w:lineRule="auto"/>
        <w:tabs>
          <w:tab w:leader="none" w:pos="746"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may not be sold, assigned, transferred, pledged, hypothecated, or otherwise disposed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by will or by the laws of descent or distribution or court order and may be exercised during the lifetime of Participant only by Participant or unless otherwise permitted by the Committee on a case-by-case basis. The terms of the Plan and this Option Agreement will be binding upon the executors, administrators, heirs, successors, and assigns of Participant.</w:t>
      </w:r>
    </w:p>
    <w:p>
      <w:pPr>
        <w:spacing w:after="0" w:line="183" w:lineRule="exact"/>
        <w:rPr>
          <w:rFonts w:ascii="Arial" w:cs="Arial" w:eastAsia="Arial" w:hAnsi="Arial"/>
          <w:sz w:val="18"/>
          <w:szCs w:val="18"/>
          <w:b w:val="1"/>
          <w:bCs w:val="1"/>
          <w:color w:val="auto"/>
        </w:rPr>
      </w:pPr>
    </w:p>
    <w:p>
      <w:pPr>
        <w:ind w:right="60" w:firstLine="428"/>
        <w:spacing w:after="0" w:line="260" w:lineRule="auto"/>
        <w:tabs>
          <w:tab w:leader="none" w:pos="746"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will in any event expire on the expiration date set forth in the Notice, which date is ten (10) years after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Grant (five (5) years after the Date of Grant if this option is designated as an ISO in the Notice of Stock Option Grant and Section 5.3 of the Plan applies).</w:t>
      </w:r>
    </w:p>
    <w:p>
      <w:pPr>
        <w:spacing w:after="0" w:line="287" w:lineRule="exact"/>
        <w:rPr>
          <w:rFonts w:ascii="Arial" w:cs="Arial" w:eastAsia="Arial" w:hAnsi="Arial"/>
          <w:sz w:val="18"/>
          <w:szCs w:val="18"/>
          <w:b w:val="1"/>
          <w:bCs w:val="1"/>
          <w:color w:val="auto"/>
        </w:rPr>
      </w:pPr>
    </w:p>
    <w:p>
      <w:pPr>
        <w:ind w:left="740" w:hanging="312"/>
        <w:spacing w:after="0"/>
        <w:tabs>
          <w:tab w:leader="none" w:pos="7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19" w:lineRule="exact"/>
        <w:rPr>
          <w:rFonts w:ascii="Arial" w:cs="Arial" w:eastAsia="Arial" w:hAnsi="Arial"/>
          <w:sz w:val="18"/>
          <w:szCs w:val="18"/>
          <w:b w:val="1"/>
          <w:bCs w:val="1"/>
          <w:color w:val="auto"/>
        </w:rPr>
      </w:pPr>
    </w:p>
    <w:p>
      <w:pPr>
        <w:ind w:right="240" w:firstLine="1408"/>
        <w:spacing w:after="0" w:line="254" w:lineRule="auto"/>
        <w:tabs>
          <w:tab w:leader="none" w:pos="1789"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Participant acknowledges that, regardless of any action taken by the Company or, if different, a Parent, Subsidiary, or Affiliate employing or retaining Participant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Participant’s responsibility and</w:t>
      </w:r>
    </w:p>
    <w:p>
      <w:pPr>
        <w:sectPr>
          <w:pgSz w:w="11900" w:h="16838" w:orient="portrait"/>
          <w:cols w:equalWidth="0" w:num="1">
            <w:col w:w="10840"/>
          </w:cols>
          <w:pgMar w:left="520" w:top="274" w:right="539" w:bottom="1440" w:gutter="0" w:footer="0" w:header="0"/>
        </w:sectPr>
      </w:pPr>
    </w:p>
    <w:bookmarkStart w:id="329" w:name="page330"/>
    <w:bookmarkEnd w:id="329"/>
    <w:p>
      <w:pPr>
        <w:ind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may exceed the amount actually withheld by the Company or the Employer, if any. Participant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16"/>
          <w:szCs w:val="16"/>
          <w:i w:val="1"/>
          <w:iCs w:val="1"/>
          <w:color w:val="auto"/>
        </w:rPr>
        <w:t>PARTICIPANT SHOULD CONSULT A TAX ADVISER APPROPRIATELY</w:t>
      </w:r>
      <w:r>
        <w:rPr>
          <w:rFonts w:ascii="Arial" w:cs="Arial" w:eastAsia="Arial" w:hAnsi="Arial"/>
          <w:sz w:val="16"/>
          <w:szCs w:val="16"/>
          <w:color w:val="auto"/>
        </w:rPr>
        <w:t xml:space="preserve"> </w:t>
      </w:r>
      <w:r>
        <w:rPr>
          <w:rFonts w:ascii="Arial" w:cs="Arial" w:eastAsia="Arial" w:hAnsi="Arial"/>
          <w:sz w:val="16"/>
          <w:szCs w:val="16"/>
          <w:i w:val="1"/>
          <w:iCs w:val="1"/>
          <w:color w:val="auto"/>
        </w:rPr>
        <w:t>QUALIFIED IN THE COUNTRY OR COUNTRIES IN WHICH PARTICIPANT RESIDES OR IS SUBJECT TO TAXATION.</w:t>
      </w:r>
    </w:p>
    <w:p>
      <w:pPr>
        <w:spacing w:after="0" w:line="172" w:lineRule="exact"/>
        <w:rPr>
          <w:sz w:val="20"/>
          <w:szCs w:val="20"/>
          <w:color w:val="auto"/>
        </w:rPr>
      </w:pPr>
    </w:p>
    <w:p>
      <w:pPr>
        <w:ind w:right="240" w:firstLine="1408"/>
        <w:spacing w:after="0" w:line="252" w:lineRule="auto"/>
        <w:tabs>
          <w:tab w:leader="none" w:pos="1799"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Prior to any relevant taxable or tax withholding event, as applicable, Participant agrees to make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220" w:lineRule="exact"/>
        <w:rPr>
          <w:rFonts w:ascii="Arial" w:cs="Arial" w:eastAsia="Arial" w:hAnsi="Arial"/>
          <w:sz w:val="18"/>
          <w:szCs w:val="18"/>
          <w:color w:val="auto"/>
        </w:rPr>
      </w:pPr>
    </w:p>
    <w:p>
      <w:pPr>
        <w:ind w:left="2260" w:right="540" w:hanging="426"/>
        <w:spacing w:after="0" w:line="267" w:lineRule="auto"/>
        <w:tabs>
          <w:tab w:leader="none" w:pos="22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withholding from Participant’s wages or other cash compensation paid to Participant by the Company and/or the Employer; or</w:t>
      </w:r>
    </w:p>
    <w:p>
      <w:pPr>
        <w:spacing w:after="0" w:line="206" w:lineRule="exact"/>
        <w:rPr>
          <w:rFonts w:ascii="Arial" w:cs="Arial" w:eastAsia="Arial" w:hAnsi="Arial"/>
          <w:sz w:val="18"/>
          <w:szCs w:val="18"/>
          <w:color w:val="auto"/>
        </w:rPr>
      </w:pPr>
    </w:p>
    <w:p>
      <w:pPr>
        <w:ind w:left="2260" w:right="140" w:hanging="426"/>
        <w:spacing w:after="0" w:line="257" w:lineRule="auto"/>
        <w:tabs>
          <w:tab w:leader="none" w:pos="22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at exercise of this Option either through a voluntary sale or through a mandatory sale arranged by the Company (on Participant’s behalf pursuant to this authorization and without further consent);</w:t>
      </w:r>
    </w:p>
    <w:p>
      <w:pPr>
        <w:spacing w:after="0" w:line="215" w:lineRule="exact"/>
        <w:rPr>
          <w:rFonts w:ascii="Arial" w:cs="Arial" w:eastAsia="Arial" w:hAnsi="Arial"/>
          <w:sz w:val="18"/>
          <w:szCs w:val="18"/>
          <w:color w:val="auto"/>
        </w:rPr>
      </w:pPr>
    </w:p>
    <w:p>
      <w:pPr>
        <w:ind w:left="2260" w:right="400" w:hanging="426"/>
        <w:spacing w:after="0" w:line="331" w:lineRule="auto"/>
        <w:tabs>
          <w:tab w:leader="none" w:pos="226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withholding Shares to be issued upon exercise of the Option, provided the Company only withholds the number of Shares necessary to satisfy no more than the maximum applicable statutory withholding amounts;</w:t>
      </w:r>
    </w:p>
    <w:p>
      <w:pPr>
        <w:spacing w:after="0" w:line="159" w:lineRule="exact"/>
        <w:rPr>
          <w:rFonts w:ascii="Arial" w:cs="Arial" w:eastAsia="Arial" w:hAnsi="Arial"/>
          <w:sz w:val="16"/>
          <w:szCs w:val="16"/>
          <w:color w:val="auto"/>
        </w:rPr>
      </w:pPr>
    </w:p>
    <w:p>
      <w:pPr>
        <w:ind w:left="2260" w:hanging="426"/>
        <w:spacing w:after="0"/>
        <w:tabs>
          <w:tab w:leader="none" w:pos="226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Participant’s payment of a cash amount (including by check representing readily available funds or a wire transfer); or</w:t>
      </w:r>
    </w:p>
    <w:p>
      <w:pPr>
        <w:spacing w:after="0" w:line="269" w:lineRule="exact"/>
        <w:rPr>
          <w:rFonts w:ascii="Arial" w:cs="Arial" w:eastAsia="Arial" w:hAnsi="Arial"/>
          <w:sz w:val="16"/>
          <w:szCs w:val="16"/>
          <w:color w:val="auto"/>
        </w:rPr>
      </w:pPr>
    </w:p>
    <w:p>
      <w:pPr>
        <w:ind w:left="2260" w:hanging="426"/>
        <w:spacing w:after="0"/>
        <w:tabs>
          <w:tab w:leader="none" w:pos="22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220" w:lineRule="exact"/>
        <w:rPr>
          <w:sz w:val="20"/>
          <w:szCs w:val="20"/>
          <w:color w:val="auto"/>
        </w:rPr>
      </w:pPr>
    </w:p>
    <w:p>
      <w:pPr>
        <w:ind w:firstLine="870"/>
        <w:spacing w:after="0" w:line="257" w:lineRule="auto"/>
        <w:rPr>
          <w:sz w:val="20"/>
          <w:szCs w:val="20"/>
          <w:color w:val="auto"/>
        </w:rPr>
      </w:pPr>
      <w:r>
        <w:rPr>
          <w:rFonts w:ascii="Arial" w:cs="Arial" w:eastAsia="Arial" w:hAnsi="Arial"/>
          <w:sz w:val="18"/>
          <w:szCs w:val="18"/>
          <w:color w:val="auto"/>
        </w:rPr>
        <w:t>provided, however, that if Participant is a Section 16 officer of the Company under the Exchange Act, then the Committee (as constituted in accordance with Rule 16b-3 of the Exchange Act) shall establish the method of withholding from alternatives (i) – (v) above prior to the Tax-Related Items withholding event.</w:t>
      </w:r>
    </w:p>
    <w:p>
      <w:pPr>
        <w:spacing w:after="0" w:line="188" w:lineRule="exact"/>
        <w:rPr>
          <w:sz w:val="20"/>
          <w:szCs w:val="20"/>
          <w:color w:val="auto"/>
        </w:rPr>
      </w:pPr>
    </w:p>
    <w:p>
      <w:pPr>
        <w:ind w:firstLine="870"/>
        <w:spacing w:after="0" w:line="269" w:lineRule="auto"/>
        <w:rPr>
          <w:sz w:val="20"/>
          <w:szCs w:val="20"/>
          <w:color w:val="auto"/>
        </w:rPr>
      </w:pPr>
      <w:r>
        <w:rPr>
          <w:rFonts w:ascii="Arial" w:cs="Arial" w:eastAsia="Arial" w:hAnsi="Arial"/>
          <w:sz w:val="17"/>
          <w:szCs w:val="17"/>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will receive a refund of any over-withheld amount in cash in accordance with applicable law.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79" w:lineRule="exact"/>
        <w:rPr>
          <w:sz w:val="20"/>
          <w:szCs w:val="20"/>
          <w:color w:val="auto"/>
        </w:rPr>
      </w:pPr>
    </w:p>
    <w:p>
      <w:pPr>
        <w:ind w:right="200" w:firstLine="870"/>
        <w:spacing w:after="0" w:line="254" w:lineRule="auto"/>
        <w:rPr>
          <w:sz w:val="20"/>
          <w:szCs w:val="20"/>
          <w:color w:val="auto"/>
        </w:rPr>
      </w:pPr>
      <w:r>
        <w:rPr>
          <w:rFonts w:ascii="Arial" w:cs="Arial" w:eastAsia="Arial" w:hAnsi="Arial"/>
          <w:sz w:val="18"/>
          <w:szCs w:val="18"/>
          <w:color w:val="auto"/>
        </w:rPr>
        <w:t>Finally, Participant agrees to pay to the Company and/or the Employer any amount of Tax-Related Items that the Company and/or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ectPr>
          <w:pgSz w:w="11900" w:h="16838" w:orient="portrait"/>
          <w:cols w:equalWidth="0" w:num="1">
            <w:col w:w="10800"/>
          </w:cols>
          <w:pgMar w:left="520" w:top="274" w:right="579" w:bottom="1440" w:gutter="0" w:footer="0" w:header="0"/>
        </w:sectPr>
      </w:pPr>
    </w:p>
    <w:bookmarkStart w:id="330" w:name="page331"/>
    <w:bookmarkEnd w:id="330"/>
    <w:p>
      <w:pPr>
        <w:ind w:right="140" w:firstLine="1408"/>
        <w:spacing w:after="0" w:line="270" w:lineRule="auto"/>
        <w:tabs>
          <w:tab w:leader="none" w:pos="1789" w:val="left"/>
        </w:tabs>
        <w:numPr>
          <w:ilvl w:val="1"/>
          <w:numId w:val="2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7290435" cy="37465"/>
                    </a:xfrm>
                    <a:prstGeom prst="rect">
                      <a:avLst/>
                    </a:prstGeom>
                    <a:noFill/>
                  </pic:spPr>
                </pic:pic>
              </a:graphicData>
            </a:graphic>
          </wp:anchor>
        </w:drawing>
        <w:t>Notice of Disqualifying Disposition of ISO Shares</w:t>
      </w:r>
      <w:r>
        <w:rPr>
          <w:rFonts w:ascii="Arial" w:cs="Arial" w:eastAsia="Arial" w:hAnsi="Arial"/>
          <w:sz w:val="17"/>
          <w:szCs w:val="17"/>
          <w:color w:val="auto"/>
        </w:rPr>
        <w:t>. If Participant is subject to Tax-Related Items in the United States and sells or otherwise disposes of any of the Shares acquired pursuant to an ISO on or before the later of (i) two (2) years after the grant date, or (ii) one (1) year after the exercise date, Participant will immediately notify the Company in writing of such disposition. Participant agrees that he or she may be subject to income tax withholding by the Company on the compensation income recognized from such early disposition of ISO Shares by payment in cash or out any wages or other cash compensation paid to Participant by the Company and/or the Employer.</w:t>
      </w:r>
    </w:p>
    <w:p>
      <w:pPr>
        <w:spacing w:after="0" w:line="174" w:lineRule="exact"/>
        <w:rPr>
          <w:rFonts w:ascii="Arial" w:cs="Arial" w:eastAsia="Arial" w:hAnsi="Arial"/>
          <w:sz w:val="17"/>
          <w:szCs w:val="17"/>
          <w:color w:val="auto"/>
        </w:rPr>
      </w:pPr>
    </w:p>
    <w:p>
      <w:pPr>
        <w:ind w:left="740" w:hanging="312"/>
        <w:spacing w:after="0"/>
        <w:tabs>
          <w:tab w:leader="none" w:pos="74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By accepting the Option, Participant acknowledges, understands and agrees that:</w:t>
      </w:r>
    </w:p>
    <w:p>
      <w:pPr>
        <w:spacing w:after="0" w:line="225" w:lineRule="exact"/>
        <w:rPr>
          <w:rFonts w:ascii="Arial" w:cs="Arial" w:eastAsia="Arial" w:hAnsi="Arial"/>
          <w:sz w:val="18"/>
          <w:szCs w:val="18"/>
          <w:b w:val="1"/>
          <w:bCs w:val="1"/>
          <w:color w:val="auto"/>
        </w:rPr>
      </w:pPr>
    </w:p>
    <w:p>
      <w:pPr>
        <w:ind w:firstLine="1408"/>
        <w:spacing w:after="0" w:line="267" w:lineRule="auto"/>
        <w:tabs>
          <w:tab w:leader="none" w:pos="178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9" w:lineRule="exact"/>
        <w:rPr>
          <w:rFonts w:ascii="Arial" w:cs="Arial" w:eastAsia="Arial" w:hAnsi="Arial"/>
          <w:sz w:val="18"/>
          <w:szCs w:val="18"/>
          <w:color w:val="auto"/>
        </w:rPr>
      </w:pPr>
    </w:p>
    <w:p>
      <w:pPr>
        <w:ind w:right="240" w:firstLine="1408"/>
        <w:spacing w:after="0" w:line="267" w:lineRule="auto"/>
        <w:tabs>
          <w:tab w:leader="none" w:pos="179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79" w:lineRule="exact"/>
        <w:rPr>
          <w:rFonts w:ascii="Arial" w:cs="Arial" w:eastAsia="Arial" w:hAnsi="Arial"/>
          <w:sz w:val="18"/>
          <w:szCs w:val="18"/>
          <w:color w:val="auto"/>
        </w:rPr>
      </w:pPr>
    </w:p>
    <w:p>
      <w:pPr>
        <w:ind w:left="1780" w:hanging="372"/>
        <w:spacing w:after="0"/>
        <w:tabs>
          <w:tab w:leader="none" w:pos="17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all decisions with respect to future options or other grants, if any, will be at the sole discretion of the Company;</w:t>
      </w:r>
    </w:p>
    <w:p>
      <w:pPr>
        <w:spacing w:after="0" w:line="219" w:lineRule="exact"/>
        <w:rPr>
          <w:rFonts w:ascii="Arial" w:cs="Arial" w:eastAsia="Arial" w:hAnsi="Arial"/>
          <w:sz w:val="18"/>
          <w:szCs w:val="18"/>
          <w:color w:val="auto"/>
        </w:rPr>
      </w:pPr>
    </w:p>
    <w:p>
      <w:pPr>
        <w:ind w:left="1800" w:hanging="392"/>
        <w:spacing w:after="0"/>
        <w:tabs>
          <w:tab w:leader="none" w:pos="18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19" w:lineRule="exact"/>
        <w:rPr>
          <w:rFonts w:ascii="Arial" w:cs="Arial" w:eastAsia="Arial" w:hAnsi="Arial"/>
          <w:sz w:val="18"/>
          <w:szCs w:val="18"/>
          <w:color w:val="auto"/>
        </w:rPr>
      </w:pPr>
    </w:p>
    <w:p>
      <w:pPr>
        <w:ind w:right="460" w:firstLine="1408"/>
        <w:spacing w:after="0" w:line="257" w:lineRule="auto"/>
        <w:tabs>
          <w:tab w:leader="none" w:pos="178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Option and Participant’s participation in the Plan will not create a right to employment or be interpreted as forming or amending an employment or service contract with the Company or the Employer, and will not interfere with the ability of the Company or the Employer, as applicable, to terminate Participant’s employment or service relationship (if any);</w:t>
      </w:r>
    </w:p>
    <w:p>
      <w:pPr>
        <w:spacing w:after="0" w:line="188" w:lineRule="exact"/>
        <w:rPr>
          <w:rFonts w:ascii="Arial" w:cs="Arial" w:eastAsia="Arial" w:hAnsi="Arial"/>
          <w:sz w:val="18"/>
          <w:szCs w:val="18"/>
          <w:color w:val="auto"/>
        </w:rPr>
      </w:pPr>
    </w:p>
    <w:p>
      <w:pPr>
        <w:ind w:left="1760" w:hanging="352"/>
        <w:spacing w:after="0"/>
        <w:tabs>
          <w:tab w:leader="none" w:pos="176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Option and the Shares subject to the Option, and the income and value of same, are not intended to replace any pension</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or compensation;</w:t>
      </w:r>
    </w:p>
    <w:p>
      <w:pPr>
        <w:spacing w:after="0" w:line="208" w:lineRule="exact"/>
        <w:rPr>
          <w:rFonts w:ascii="Arial" w:cs="Arial" w:eastAsia="Arial" w:hAnsi="Arial"/>
          <w:sz w:val="16"/>
          <w:szCs w:val="16"/>
          <w:color w:val="auto"/>
        </w:rPr>
      </w:pPr>
    </w:p>
    <w:p>
      <w:pPr>
        <w:ind w:right="180" w:firstLine="1408"/>
        <w:spacing w:after="0" w:line="257" w:lineRule="auto"/>
        <w:tabs>
          <w:tab w:leader="none" w:pos="179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Option and the Shares subject to the Option,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88" w:lineRule="exact"/>
        <w:rPr>
          <w:rFonts w:ascii="Arial" w:cs="Arial" w:eastAsia="Arial" w:hAnsi="Arial"/>
          <w:sz w:val="18"/>
          <w:szCs w:val="18"/>
          <w:color w:val="auto"/>
        </w:rPr>
      </w:pPr>
    </w:p>
    <w:p>
      <w:pPr>
        <w:ind w:right="220" w:firstLine="1408"/>
        <w:spacing w:after="0" w:line="331" w:lineRule="auto"/>
        <w:tabs>
          <w:tab w:leader="none" w:pos="1799" w:val="left"/>
        </w:tabs>
        <w:numPr>
          <w:ilvl w:val="1"/>
          <w:numId w:val="277"/>
        </w:numPr>
        <w:rPr>
          <w:rFonts w:ascii="Arial" w:cs="Arial" w:eastAsia="Arial" w:hAnsi="Arial"/>
          <w:sz w:val="16"/>
          <w:szCs w:val="16"/>
          <w:color w:val="auto"/>
        </w:rPr>
      </w:pPr>
      <w:r>
        <w:rPr>
          <w:rFonts w:ascii="Arial" w:cs="Arial" w:eastAsia="Arial" w:hAnsi="Arial"/>
          <w:sz w:val="16"/>
          <w:szCs w:val="16"/>
          <w:color w:val="auto"/>
        </w:rPr>
        <w:t>unless otherwise agreed with the Company, the Option, and the Shares subject to the Option, and the income and value of same, are not granted as consideration for, or in connection with, the service Participant may provide as a director of a Parent, Subsidiary, or Affiliate;</w:t>
      </w:r>
    </w:p>
    <w:p>
      <w:pPr>
        <w:spacing w:after="0" w:line="132" w:lineRule="exact"/>
        <w:rPr>
          <w:rFonts w:ascii="Arial" w:cs="Arial" w:eastAsia="Arial" w:hAnsi="Arial"/>
          <w:sz w:val="16"/>
          <w:szCs w:val="16"/>
          <w:color w:val="auto"/>
        </w:rPr>
      </w:pPr>
    </w:p>
    <w:p>
      <w:pPr>
        <w:ind w:right="120" w:firstLine="1408"/>
        <w:spacing w:after="0" w:line="257" w:lineRule="auto"/>
        <w:tabs>
          <w:tab w:leader="none" w:pos="17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indeterminable, and cannot be predicted with certainty; if the underlying Shares do not increase in value, the Option will have no value; if Participant exercises the Option and acquires Shares, the value of such Shares may increase or decrease, even below the Exercise Price;</w:t>
      </w:r>
    </w:p>
    <w:p>
      <w:pPr>
        <w:spacing w:after="0" w:line="188" w:lineRule="exact"/>
        <w:rPr>
          <w:rFonts w:ascii="Arial" w:cs="Arial" w:eastAsia="Arial" w:hAnsi="Arial"/>
          <w:sz w:val="18"/>
          <w:szCs w:val="18"/>
          <w:color w:val="auto"/>
        </w:rPr>
      </w:pPr>
    </w:p>
    <w:p>
      <w:pPr>
        <w:ind w:right="20" w:firstLine="1408"/>
        <w:spacing w:after="0" w:line="252" w:lineRule="auto"/>
        <w:tabs>
          <w:tab w:leader="none" w:pos="17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Option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 in consideration of the grant of the Option to which Participant is otherwise not entitled, Participant irrevocably agrees never to institute any claim against the Employer, the Company, and any Parent,</w:t>
      </w:r>
    </w:p>
    <w:p>
      <w:pPr>
        <w:sectPr>
          <w:pgSz w:w="11900" w:h="16838" w:orient="portrait"/>
          <w:cols w:equalWidth="0" w:num="1">
            <w:col w:w="10880"/>
          </w:cols>
          <w:pgMar w:left="520" w:top="273" w:right="499" w:bottom="1440" w:gutter="0" w:footer="0" w:header="0"/>
        </w:sectPr>
      </w:pPr>
    </w:p>
    <w:bookmarkStart w:id="331" w:name="page332"/>
    <w:bookmarkEnd w:id="33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Subsidiary, or Affiliate; waives his or her ability, if any, to bring any such claim; and releases the Employer, the Company, and any Parent, Subsidiary, or Affiliate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spacing w:after="0" w:line="191" w:lineRule="exact"/>
        <w:rPr>
          <w:sz w:val="20"/>
          <w:szCs w:val="20"/>
          <w:color w:val="auto"/>
        </w:rPr>
      </w:pPr>
    </w:p>
    <w:p>
      <w:pPr>
        <w:ind w:right="20" w:firstLine="1408"/>
        <w:spacing w:after="0" w:line="257" w:lineRule="auto"/>
        <w:tabs>
          <w:tab w:leader="none" w:pos="1799" w:val="left"/>
        </w:tabs>
        <w:numPr>
          <w:ilvl w:val="1"/>
          <w:numId w:val="278"/>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w:t>
      </w:r>
    </w:p>
    <w:p>
      <w:pPr>
        <w:spacing w:after="0" w:line="188" w:lineRule="exact"/>
        <w:rPr>
          <w:rFonts w:ascii="Arial" w:cs="Arial" w:eastAsia="Arial" w:hAnsi="Arial"/>
          <w:sz w:val="18"/>
          <w:szCs w:val="18"/>
          <w:color w:val="auto"/>
        </w:rPr>
      </w:pPr>
    </w:p>
    <w:p>
      <w:pPr>
        <w:ind w:firstLine="1408"/>
        <w:spacing w:after="0" w:line="257" w:lineRule="auto"/>
        <w:tabs>
          <w:tab w:leader="none" w:pos="17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neither the Employer, the Company, or any Parent, Subsidiary or Affiliate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88" w:lineRule="exact"/>
        <w:rPr>
          <w:rFonts w:ascii="Arial" w:cs="Arial" w:eastAsia="Arial" w:hAnsi="Arial"/>
          <w:sz w:val="18"/>
          <w:szCs w:val="18"/>
          <w:color w:val="auto"/>
        </w:rPr>
      </w:pPr>
    </w:p>
    <w:p>
      <w:pPr>
        <w:ind w:left="1840" w:hanging="432"/>
        <w:spacing w:after="0"/>
        <w:tabs>
          <w:tab w:leader="none" w:pos="184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246" w:lineRule="exact"/>
        <w:rPr>
          <w:rFonts w:ascii="Arial" w:cs="Arial" w:eastAsia="Arial" w:hAnsi="Arial"/>
          <w:sz w:val="18"/>
          <w:szCs w:val="18"/>
          <w:color w:val="auto"/>
        </w:rPr>
      </w:pPr>
    </w:p>
    <w:p>
      <w:pPr>
        <w:ind w:left="2260" w:right="520" w:hanging="426"/>
        <w:spacing w:after="0" w:line="267" w:lineRule="auto"/>
        <w:tabs>
          <w:tab w:leader="none" w:pos="226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the Option and the Shares subject to the Option are not part of normal or expected compensation or salary for any purpose; and</w:t>
      </w:r>
    </w:p>
    <w:p>
      <w:pPr>
        <w:spacing w:after="0" w:line="206" w:lineRule="exact"/>
        <w:rPr>
          <w:rFonts w:ascii="Arial" w:cs="Arial" w:eastAsia="Arial" w:hAnsi="Arial"/>
          <w:sz w:val="18"/>
          <w:szCs w:val="18"/>
          <w:color w:val="auto"/>
        </w:rPr>
      </w:pPr>
    </w:p>
    <w:p>
      <w:pPr>
        <w:ind w:left="2260" w:right="40" w:hanging="426"/>
        <w:spacing w:after="0" w:line="254" w:lineRule="auto"/>
        <w:tabs>
          <w:tab w:leader="none" w:pos="226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Participant acknowledges and agrees that neither the Company, the Employer nor any Parent or Subsidiary or Affiliate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exercised.</w:t>
      </w:r>
    </w:p>
    <w:p>
      <w:pPr>
        <w:spacing w:after="0" w:line="184" w:lineRule="exact"/>
        <w:rPr>
          <w:rFonts w:ascii="Arial" w:cs="Arial" w:eastAsia="Arial" w:hAnsi="Arial"/>
          <w:sz w:val="18"/>
          <w:szCs w:val="18"/>
          <w:color w:val="auto"/>
        </w:rPr>
      </w:pPr>
    </w:p>
    <w:p>
      <w:pPr>
        <w:ind w:firstLine="428"/>
        <w:spacing w:after="0" w:line="256" w:lineRule="auto"/>
        <w:tabs>
          <w:tab w:leader="none" w:pos="835"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not providing any tax, legal or financial advice, nor is the Company making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183" w:lineRule="exact"/>
        <w:rPr>
          <w:rFonts w:ascii="Arial" w:cs="Arial" w:eastAsia="Arial" w:hAnsi="Arial"/>
          <w:sz w:val="18"/>
          <w:szCs w:val="18"/>
          <w:b w:val="1"/>
          <w:bCs w:val="1"/>
          <w:color w:val="auto"/>
        </w:rPr>
      </w:pPr>
    </w:p>
    <w:p>
      <w:pPr>
        <w:ind w:right="160" w:firstLine="428"/>
        <w:spacing w:after="0" w:line="256" w:lineRule="auto"/>
        <w:tabs>
          <w:tab w:leader="none" w:pos="825"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i w:val="1"/>
          <w:iCs w:val="1"/>
          <w:color w:val="auto"/>
        </w:rPr>
        <w:t>. Participant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of Participant’s personal data as described in this Option Agreement and any other Option grant materials by and among, as applicable, the Employer, the Company and any Parent, Subsidiary or Affiliate for the exclusive purpose of implementing, administering and managing Participant’s participation in the Plan.</w:t>
      </w:r>
    </w:p>
    <w:p>
      <w:pPr>
        <w:spacing w:after="0" w:line="190" w:lineRule="exact"/>
        <w:rPr>
          <w:sz w:val="20"/>
          <w:szCs w:val="20"/>
          <w:color w:val="auto"/>
        </w:rPr>
      </w:pPr>
    </w:p>
    <w:p>
      <w:pPr>
        <w:ind w:firstLine="435"/>
        <w:spacing w:after="0" w:line="270" w:lineRule="auto"/>
        <w:rPr>
          <w:sz w:val="20"/>
          <w:szCs w:val="20"/>
          <w:color w:val="auto"/>
        </w:rPr>
      </w:pPr>
      <w:r>
        <w:rPr>
          <w:rFonts w:ascii="Arial" w:cs="Arial" w:eastAsia="Arial" w:hAnsi="Arial"/>
          <w:sz w:val="17"/>
          <w:szCs w:val="17"/>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salary, nationality, job title, any shares of stock or directorships held in the Company, details of all Options or any other entitlement to shares of stock awarded, canceled, exercised, vested, unvested or outstanding in Participant’s favor (“Data”), for the exclusive purpose of implementing, administering and managing the Plan.</w:t>
      </w:r>
    </w:p>
    <w:p>
      <w:pPr>
        <w:spacing w:after="0" w:line="181" w:lineRule="exact"/>
        <w:rPr>
          <w:sz w:val="20"/>
          <w:szCs w:val="20"/>
          <w:color w:val="auto"/>
        </w:rPr>
      </w:pPr>
    </w:p>
    <w:p>
      <w:pPr>
        <w:ind w:right="120" w:firstLine="435"/>
        <w:spacing w:after="0" w:line="254" w:lineRule="auto"/>
        <w:rPr>
          <w:sz w:val="20"/>
          <w:szCs w:val="20"/>
          <w:color w:val="auto"/>
        </w:rPr>
      </w:pPr>
      <w:r>
        <w:rPr>
          <w:rFonts w:ascii="Arial" w:cs="Arial" w:eastAsia="Arial" w:hAnsi="Arial"/>
          <w:sz w:val="18"/>
          <w:szCs w:val="18"/>
          <w:b w:val="1"/>
          <w:bCs w:val="1"/>
          <w:i w:val="1"/>
          <w:iCs w:val="1"/>
          <w:color w:val="auto"/>
        </w:rPr>
        <w:t>Participant understands that Data will be transferred to the stock plan service provider as may be designated by the Company from time to time or its affiliates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w:t>
      </w:r>
    </w:p>
    <w:p>
      <w:pPr>
        <w:sectPr>
          <w:pgSz w:w="11900" w:h="16838" w:orient="portrait"/>
          <w:cols w:equalWidth="0" w:num="1">
            <w:col w:w="10860"/>
          </w:cols>
          <w:pgMar w:left="520" w:top="273" w:right="519" w:bottom="1440" w:gutter="0" w:footer="0" w:header="0"/>
        </w:sectPr>
      </w:pPr>
    </w:p>
    <w:bookmarkStart w:id="332" w:name="page333"/>
    <w:bookmarkEnd w:id="332"/>
    <w:p>
      <w:pPr>
        <w:ind w:left="7" w:right="60"/>
        <w:spacing w:after="0" w:line="28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the stock plan service provider as may be designated by the Company from time to time, and its affiliates,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74" w:lineRule="exact"/>
        <w:rPr>
          <w:sz w:val="20"/>
          <w:szCs w:val="20"/>
          <w:color w:val="auto"/>
        </w:rPr>
      </w:pPr>
    </w:p>
    <w:p>
      <w:pPr>
        <w:ind w:left="7" w:right="120" w:firstLine="428"/>
        <w:spacing w:after="0" w:line="338" w:lineRule="auto"/>
        <w:tabs>
          <w:tab w:leader="none" w:pos="841" w:val="left"/>
        </w:tabs>
        <w:numPr>
          <w:ilvl w:val="1"/>
          <w:numId w:val="2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If Participant has received this Option Agreement, or any other document related to the Option and/or the Plan translated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language other than English and if the meaning of the translated version is different than the English version, the English version will control.</w:t>
      </w:r>
    </w:p>
    <w:p>
      <w:pPr>
        <w:spacing w:after="0" w:line="121" w:lineRule="exact"/>
        <w:rPr>
          <w:rFonts w:ascii="Arial" w:cs="Arial" w:eastAsia="Arial" w:hAnsi="Arial"/>
          <w:sz w:val="16"/>
          <w:szCs w:val="16"/>
          <w:b w:val="1"/>
          <w:bCs w:val="1"/>
          <w:color w:val="auto"/>
        </w:rPr>
      </w:pPr>
    </w:p>
    <w:p>
      <w:pPr>
        <w:ind w:left="7" w:right="40" w:firstLine="428"/>
        <w:spacing w:after="0" w:line="298" w:lineRule="auto"/>
        <w:tabs>
          <w:tab w:leader="none" w:pos="841" w:val="left"/>
        </w:tabs>
        <w:numPr>
          <w:ilvl w:val="1"/>
          <w:numId w:val="2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Appendix</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provisions in this Option Agreement, the Option will be subject to any special terms and conditions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any Appendix to this Option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Option Agreement.</w:t>
      </w:r>
    </w:p>
    <w:p>
      <w:pPr>
        <w:spacing w:after="0" w:line="152" w:lineRule="exact"/>
        <w:rPr>
          <w:rFonts w:ascii="Arial" w:cs="Arial" w:eastAsia="Arial" w:hAnsi="Arial"/>
          <w:sz w:val="16"/>
          <w:szCs w:val="16"/>
          <w:b w:val="1"/>
          <w:bCs w:val="1"/>
          <w:color w:val="auto"/>
        </w:rPr>
      </w:pPr>
    </w:p>
    <w:p>
      <w:pPr>
        <w:jc w:val="both"/>
        <w:ind w:left="7" w:right="260" w:firstLine="428"/>
        <w:spacing w:after="0" w:line="256" w:lineRule="auto"/>
        <w:tabs>
          <w:tab w:leader="none" w:pos="841"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reserves the right to impose other requirements on Participant’s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on the Option, and on any Shares purchased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83" w:lineRule="exact"/>
        <w:rPr>
          <w:rFonts w:ascii="Arial" w:cs="Arial" w:eastAsia="Arial" w:hAnsi="Arial"/>
          <w:sz w:val="18"/>
          <w:szCs w:val="18"/>
          <w:b w:val="1"/>
          <w:bCs w:val="1"/>
          <w:color w:val="auto"/>
        </w:rPr>
      </w:pPr>
    </w:p>
    <w:p>
      <w:pPr>
        <w:ind w:left="7" w:right="620" w:firstLine="428"/>
        <w:spacing w:after="0" w:line="330" w:lineRule="auto"/>
        <w:tabs>
          <w:tab w:leader="none" w:pos="841" w:val="left"/>
        </w:tabs>
        <w:numPr>
          <w:ilvl w:val="1"/>
          <w:numId w:val="2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Acknowledgement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 Participant agree that the Option is granted under and governed by the Notice, this Option</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and the Plan (incorporated herein by reference). Participant: (a) acknowledges receipt of a copy of the Plan and the Plan prospectus,</w:t>
      </w:r>
    </w:p>
    <w:p>
      <w:pPr>
        <w:spacing w:after="0" w:line="1" w:lineRule="exact"/>
        <w:rPr>
          <w:rFonts w:ascii="Arial" w:cs="Arial" w:eastAsia="Arial" w:hAnsi="Arial"/>
          <w:sz w:val="14"/>
          <w:szCs w:val="14"/>
          <w:b w:val="1"/>
          <w:bCs w:val="1"/>
          <w:color w:val="auto"/>
        </w:rPr>
      </w:pPr>
    </w:p>
    <w:p>
      <w:pPr>
        <w:ind w:left="7" w:right="200" w:hanging="7"/>
        <w:spacing w:after="0" w:line="254" w:lineRule="auto"/>
        <w:tabs>
          <w:tab w:leader="none" w:pos="25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represents that Participant has carefully read and is familiar with their provisions, and (c) hereby accepts the Option subject to all of the terms and conditions set forth herein and those set forth in the Plan and the Notice.</w:t>
      </w:r>
    </w:p>
    <w:p>
      <w:pPr>
        <w:spacing w:after="0" w:line="184" w:lineRule="exact"/>
        <w:rPr>
          <w:rFonts w:ascii="Arial" w:cs="Arial" w:eastAsia="Arial" w:hAnsi="Arial"/>
          <w:sz w:val="18"/>
          <w:szCs w:val="18"/>
          <w:color w:val="auto"/>
        </w:rPr>
      </w:pPr>
    </w:p>
    <w:p>
      <w:pPr>
        <w:ind w:left="7" w:firstLine="428"/>
        <w:spacing w:after="0" w:line="252" w:lineRule="auto"/>
        <w:tabs>
          <w:tab w:leader="none" w:pos="841"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Agreement, the Plan, and the Notice constitute the entire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ectPr>
          <w:pgSz w:w="11900" w:h="16838" w:orient="portrait"/>
          <w:cols w:equalWidth="0" w:num="1">
            <w:col w:w="10827"/>
          </w:cols>
          <w:pgMar w:left="513" w:top="274" w:right="559" w:bottom="1440" w:gutter="0" w:footer="0" w:header="0"/>
        </w:sectPr>
      </w:pPr>
    </w:p>
    <w:bookmarkStart w:id="333" w:name="page334"/>
    <w:bookmarkEnd w:id="333"/>
    <w:p>
      <w:pPr>
        <w:ind w:firstLine="428"/>
        <w:spacing w:after="0" w:line="268" w:lineRule="auto"/>
        <w:tabs>
          <w:tab w:leader="none" w:pos="835"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7290435" cy="37465"/>
                    </a:xfrm>
                    <a:prstGeom prst="rect">
                      <a:avLst/>
                    </a:prstGeom>
                    <a:noFill/>
                  </pic:spPr>
                </pic:pic>
              </a:graphicData>
            </a:graphic>
          </wp:anchor>
        </w:drawing>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Shares and the sale of Shares will be subject to and conditioned upon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will have unilateral authority to amend the Plan and this Option Agreement without Participant’s consent to the extent necessary to comply with securities or other laws applicable to issuance of Shares. Finally, the Shares issued pursuant to this Option Agreement will be endorsed with appropriate legends, if any, determined by the Company.</w:t>
      </w:r>
    </w:p>
    <w:p>
      <w:pPr>
        <w:spacing w:after="0" w:line="173" w:lineRule="exact"/>
        <w:rPr>
          <w:rFonts w:ascii="Arial" w:cs="Arial" w:eastAsia="Arial" w:hAnsi="Arial"/>
          <w:sz w:val="17"/>
          <w:szCs w:val="17"/>
          <w:b w:val="1"/>
          <w:bCs w:val="1"/>
          <w:color w:val="auto"/>
        </w:rPr>
      </w:pPr>
    </w:p>
    <w:p>
      <w:pPr>
        <w:ind w:right="80" w:firstLine="428"/>
        <w:spacing w:after="0" w:line="276" w:lineRule="auto"/>
        <w:tabs>
          <w:tab w:leader="none" w:pos="835"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one or more provisions of this Option Agreement are held to be unenforceable under applicable law,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67" w:lineRule="exact"/>
        <w:rPr>
          <w:rFonts w:ascii="Arial" w:cs="Arial" w:eastAsia="Arial" w:hAnsi="Arial"/>
          <w:sz w:val="17"/>
          <w:szCs w:val="17"/>
          <w:b w:val="1"/>
          <w:bCs w:val="1"/>
          <w:color w:val="auto"/>
        </w:rPr>
      </w:pPr>
    </w:p>
    <w:p>
      <w:pPr>
        <w:ind w:right="360" w:firstLine="428"/>
        <w:spacing w:after="0" w:line="260" w:lineRule="auto"/>
        <w:tabs>
          <w:tab w:leader="none" w:pos="835"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Venue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Agreement and all acts and transactions pursuant hereto and the rights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will be governed, construed and interpreted in accordance with the laws of the State of Delaware, without giving effect to such state’s conflict of laws rules.</w:t>
      </w:r>
    </w:p>
    <w:p>
      <w:pPr>
        <w:spacing w:after="0" w:line="187" w:lineRule="exact"/>
        <w:rPr>
          <w:sz w:val="20"/>
          <w:szCs w:val="20"/>
          <w:color w:val="auto"/>
        </w:rPr>
      </w:pPr>
    </w:p>
    <w:p>
      <w:pPr>
        <w:ind w:right="60" w:firstLine="435"/>
        <w:spacing w:after="0" w:line="267" w:lineRule="auto"/>
        <w:rPr>
          <w:sz w:val="20"/>
          <w:szCs w:val="20"/>
          <w:color w:val="auto"/>
        </w:rPr>
      </w:pPr>
      <w:r>
        <w:rPr>
          <w:rFonts w:ascii="Arial" w:cs="Arial" w:eastAsia="Arial" w:hAnsi="Arial"/>
          <w:sz w:val="17"/>
          <w:szCs w:val="17"/>
          <w:color w:val="auto"/>
        </w:rPr>
        <w:t>Any and all disputes relating to, concerning or arising from this Option Agreement, or relating to, concerning or arising from the relationship between the parties evidenced by the Plan or this Option Agreement, will be brought and heard exclusively in the U.S. District Court for the District of Massachusetts or the Massachusetts Superior Court, Middlesex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9" w:lineRule="exact"/>
        <w:rPr>
          <w:sz w:val="20"/>
          <w:szCs w:val="20"/>
          <w:color w:val="auto"/>
        </w:rPr>
      </w:pPr>
    </w:p>
    <w:p>
      <w:pPr>
        <w:ind w:right="380" w:firstLine="428"/>
        <w:spacing w:after="0" w:line="304" w:lineRule="auto"/>
        <w:tabs>
          <w:tab w:leader="none" w:pos="835"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Rights as Employee, Director or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Option Agreement will affect in any manner whatsoever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power of the Employer or the Company to terminate Participant’s Service, for any reason, with or without Cause.</w:t>
      </w:r>
    </w:p>
    <w:p>
      <w:pPr>
        <w:spacing w:after="0" w:line="144" w:lineRule="exact"/>
        <w:rPr>
          <w:rFonts w:ascii="Arial" w:cs="Arial" w:eastAsia="Arial" w:hAnsi="Arial"/>
          <w:sz w:val="17"/>
          <w:szCs w:val="17"/>
          <w:b w:val="1"/>
          <w:bCs w:val="1"/>
          <w:color w:val="auto"/>
        </w:rPr>
      </w:pPr>
    </w:p>
    <w:p>
      <w:pPr>
        <w:ind w:right="60" w:firstLine="428"/>
        <w:spacing w:after="0" w:line="288" w:lineRule="auto"/>
        <w:tabs>
          <w:tab w:leader="none" w:pos="835"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Electronic Delivery of All Plan Documents and Disclosures</w:t>
      </w:r>
      <w:r>
        <w:rPr>
          <w:rFonts w:ascii="Arial" w:cs="Arial" w:eastAsia="Arial" w:hAnsi="Arial"/>
          <w:sz w:val="16"/>
          <w:szCs w:val="16"/>
          <w:b w:val="1"/>
          <w:bCs w:val="1"/>
          <w:color w:val="auto"/>
        </w:rPr>
        <w:t xml:space="preserve">. </w:t>
      </w:r>
      <w:r>
        <w:rPr>
          <w:rFonts w:ascii="Arial" w:cs="Arial" w:eastAsia="Arial" w:hAnsi="Arial"/>
          <w:sz w:val="16"/>
          <w:szCs w:val="16"/>
          <w:color w:val="auto"/>
        </w:rPr>
        <w:t>By Participant’s acceptance of the Notice (whether in writing or</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Participant and the Company agree that the Option is granted under and governed by the terms and conditions of the Plan, the Notice, and this Option Agreement. Participant has reviewed the Plan, the Notice, and this Option Agreement in their entirety, has had an opportunity to obtain the advice of counsel prior to executing the Notice and Agreement, and fully understands all provisions of the Plan, the Notice, and this Option Agreement. Participant hereby agrees to accept as binding, conclusive, and final all decisions or interpretations of the Committee upon any questions relating to the Plan, the Notice, and this Option Agreement. Participant further agrees to notify the Company upon any change in Participant’s residence address. By acceptance of the Option, Participant agrees to participate in the Plan through an on-line or electronic system</w:t>
      </w:r>
    </w:p>
    <w:p>
      <w:pPr>
        <w:sectPr>
          <w:pgSz w:w="11900" w:h="16838" w:orient="portrait"/>
          <w:cols w:equalWidth="0" w:num="1">
            <w:col w:w="10860"/>
          </w:cols>
          <w:pgMar w:left="520" w:top="267" w:right="519" w:bottom="1440" w:gutter="0" w:footer="0" w:header="0"/>
        </w:sectPr>
      </w:pPr>
    </w:p>
    <w:bookmarkStart w:id="334" w:name="page335"/>
    <w:bookmarkEnd w:id="334"/>
    <w:p>
      <w:pPr>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established and maintained by the Company or a third party designated by the Company and consents to the electronic delivery of the Notice, this Option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w:t>
      </w:r>
    </w:p>
    <w:p>
      <w:pPr>
        <w:spacing w:after="0" w:line="184" w:lineRule="exact"/>
        <w:rPr>
          <w:sz w:val="20"/>
          <w:szCs w:val="20"/>
          <w:color w:val="auto"/>
        </w:rPr>
      </w:pPr>
    </w:p>
    <w:p>
      <w:pPr>
        <w:ind w:right="60" w:firstLine="428"/>
        <w:spacing w:after="0" w:line="268" w:lineRule="auto"/>
        <w:tabs>
          <w:tab w:leader="none" w:pos="835"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Insider Trading Restrictions/Market Abuse Laws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acknowledges that, depending on Participant’s country, Participant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insider trading restrictions and/or market abuse laws, which may affect Participant’s ability to acquire or sell the Shares or rights to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has read the Company’s Insider Trading Policy, and agrees to comply with such policy, as it may be amended from time to time, whenever Participant acquires or disposes of the Company’s securities.</w:t>
      </w:r>
    </w:p>
    <w:p>
      <w:pPr>
        <w:spacing w:after="0" w:line="173" w:lineRule="exact"/>
        <w:rPr>
          <w:rFonts w:ascii="Arial" w:cs="Arial" w:eastAsia="Arial" w:hAnsi="Arial"/>
          <w:sz w:val="17"/>
          <w:szCs w:val="17"/>
          <w:b w:val="1"/>
          <w:bCs w:val="1"/>
          <w:color w:val="auto"/>
        </w:rPr>
      </w:pPr>
    </w:p>
    <w:p>
      <w:pPr>
        <w:ind w:right="80" w:firstLine="428"/>
        <w:spacing w:after="0" w:line="254" w:lineRule="auto"/>
        <w:tabs>
          <w:tab w:leader="none" w:pos="835"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applicable law, the Option will be subject to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or recoupment pursuant to any compensation clawback or recoupment policy adopted by the Board or required by law during the term of Participant’s employment or other Service that is applicable to Participant. In addition to any other remedies available under such policy and applicable law, the Company may require the cancellation of Participant’s Option (whether vested or unvested) and the recoupment of any gains realized with respect to Participant’s Option.</w:t>
      </w:r>
    </w:p>
    <w:p>
      <w:pPr>
        <w:spacing w:after="0" w:line="185" w:lineRule="exact"/>
        <w:rPr>
          <w:sz w:val="20"/>
          <w:szCs w:val="20"/>
          <w:color w:val="auto"/>
        </w:rPr>
      </w:pPr>
    </w:p>
    <w:p>
      <w:pPr>
        <w:ind w:right="340" w:firstLine="435"/>
        <w:spacing w:after="0" w:line="274" w:lineRule="auto"/>
        <w:rPr>
          <w:sz w:val="20"/>
          <w:szCs w:val="20"/>
          <w:color w:val="auto"/>
        </w:rPr>
      </w:pPr>
      <w:r>
        <w:rPr>
          <w:rFonts w:ascii="Arial" w:cs="Arial" w:eastAsia="Arial" w:hAnsi="Arial"/>
          <w:sz w:val="18"/>
          <w:szCs w:val="18"/>
          <w:b w:val="1"/>
          <w:bCs w:val="1"/>
          <w:color w:val="auto"/>
        </w:rPr>
        <w:t>BY ACCEPTING THIS OPTION, PARTICIPANT AGREES TO ALL OF THE TERMS AND CONDITIONS DESCRIBED ABOVE AND IN THE PLAN.</w:t>
      </w:r>
    </w:p>
    <w:p>
      <w:pPr>
        <w:sectPr>
          <w:pgSz w:w="11900" w:h="16838" w:orient="portrait"/>
          <w:cols w:equalWidth="0" w:num="1">
            <w:col w:w="10880"/>
          </w:cols>
          <w:pgMar w:left="520" w:top="273" w:right="49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APPENDIX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STOKE THERAPEUTICS,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 SPECIFIC PROVISIONS FOR EMPLOYEES OUTSIDE THE 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Appendix includes additional terms and conditions that govern the Option granted to Participant under the Plan if Participant resides and/or works in one of the countries below. This Appendix forms part of the Option Agreement. Any capitalized term used in this Appendix without definition will have the meaning ascribed to it in the Notice, the Option Agreement, or the Plan, as applicable.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June 4, 2019.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exercises the Option, sells Shares acquired under the Plan, or takes any other action in connection with the Plan.</w:t>
      </w:r>
    </w:p>
    <w:p>
      <w:pPr>
        <w:spacing w:after="0" w:line="19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ectPr>
          <w:pgSz w:w="11900" w:h="16838" w:orient="portrait"/>
          <w:cols w:equalWidth="0" w:num="1">
            <w:col w:w="10860"/>
          </w:cols>
          <w:pgMar w:left="520" w:top="268" w:right="519" w:bottom="1440" w:gutter="0" w:footer="0" w:header="0"/>
        </w:sectPr>
      </w:pPr>
    </w:p>
    <w:bookmarkStart w:id="336" w:name="page337"/>
    <w:bookmarkEnd w:id="3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APPENDIX</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STOKE THERAPEUTICS,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EQUITY INCENTIVE PLAN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AWARD AGREEMENT</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COUNTRY SPECIFIC PROVISIONS FOR EMPLOYEES OUTSIDE THE U.S.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67" w:right="1440"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FORM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STOKE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2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Unless otherwise defined herein, the terms defined in the Stoke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2019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will have the same meanings in this Notice of Restricted Stock Unit Award and the electronic representation of this Notice of Restricted Stock Unit Award established and maintained by the Company or a third party designated by the Company (this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Name:</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Address:</w:t>
      </w:r>
    </w:p>
    <w:p>
      <w:pPr>
        <w:spacing w:after="0" w:line="11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have been granted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under the Plan subject to the terms and conditions of the Plan, this Notice and the attached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including any applicable country-specific provisions in any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which constitutes part of the Agreement.</w:t>
      </w:r>
    </w:p>
    <w:p>
      <w:pPr>
        <w:sectPr>
          <w:pgSz w:w="11900" w:h="16838" w:orient="portrait"/>
          <w:cols w:equalWidth="0" w:num="1">
            <w:col w:w="10880"/>
          </w:cols>
          <w:pgMar w:left="520" w:top="274" w:right="499" w:bottom="1440" w:gutter="0" w:footer="0" w:header="0"/>
        </w:sectPr>
      </w:pP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Grant Number</w:t>
      </w:r>
      <w:r>
        <w:rPr>
          <w:rFonts w:ascii="Arial" w:cs="Arial" w:eastAsia="Arial" w:hAnsi="Arial"/>
          <w:sz w:val="18"/>
          <w:szCs w:val="18"/>
          <w:color w:val="auto"/>
        </w:rPr>
        <w: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Number of RSUs: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Date of Grant: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Vesting Commencement Date:</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440"/>
        <w:spacing w:after="0" w:line="304" w:lineRule="auto"/>
        <w:rPr>
          <w:sz w:val="20"/>
          <w:szCs w:val="20"/>
          <w:color w:val="auto"/>
        </w:rPr>
      </w:pPr>
      <w:r>
        <w:rPr>
          <w:rFonts w:ascii="Arial" w:cs="Arial" w:eastAsia="Arial" w:hAnsi="Arial"/>
          <w:sz w:val="16"/>
          <w:szCs w:val="16"/>
          <w:color w:val="auto"/>
        </w:rPr>
        <w:t>The earlier to occur of: (a) the date on which settlement of all RSUs granted hereunder occurs, and (b) the tenth anniversary of the Date of Grant. This RSU expires earlier if Participant’s Service terminates earlier, as described in the Agreement.</w:t>
      </w:r>
    </w:p>
    <w:p>
      <w:pPr>
        <w:spacing w:after="0" w:line="42" w:lineRule="exact"/>
        <w:rPr>
          <w:sz w:val="20"/>
          <w:szCs w:val="20"/>
          <w:color w:val="auto"/>
        </w:rPr>
      </w:pPr>
    </w:p>
    <w:p>
      <w:pPr>
        <w:sectPr>
          <w:pgSz w:w="11900" w:h="16838" w:orient="portrait"/>
          <w:cols w:equalWidth="0" w:num="2">
            <w:col w:w="3560" w:space="720"/>
            <w:col w:w="6600"/>
          </w:cols>
          <w:pgMar w:left="520" w:top="274" w:right="499" w:bottom="1440" w:gutter="0" w:footer="0" w:header="0"/>
          <w:type w:val="continuous"/>
        </w:sectPr>
      </w:pPr>
    </w:p>
    <w:p>
      <w:pPr>
        <w:ind w:left="880"/>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jc w:val="both"/>
        <w:ind w:right="320"/>
        <w:spacing w:after="0" w:line="331" w:lineRule="auto"/>
        <w:rPr>
          <w:sz w:val="20"/>
          <w:szCs w:val="20"/>
          <w:color w:val="auto"/>
        </w:rPr>
      </w:pPr>
      <w:r>
        <w:rPr>
          <w:rFonts w:ascii="Arial" w:cs="Arial" w:eastAsia="Arial" w:hAnsi="Arial"/>
          <w:sz w:val="16"/>
          <w:szCs w:val="16"/>
          <w:color w:val="auto"/>
        </w:rPr>
        <w:t>Subject to the limitations set forth in this Notice, the Plan, and the Agreement, the RSUs will vest in accordance with the following schedule: [</w:t>
      </w:r>
      <w:r>
        <w:rPr>
          <w:rFonts w:ascii="Arial" w:cs="Arial" w:eastAsia="Arial" w:hAnsi="Arial"/>
          <w:sz w:val="16"/>
          <w:szCs w:val="16"/>
          <w:i w:val="1"/>
          <w:iCs w:val="1"/>
          <w:color w:val="auto"/>
        </w:rPr>
        <w:t>insert applicable vesting schedule</w:t>
      </w:r>
      <w:r>
        <w:rPr>
          <w:rFonts w:ascii="Arial" w:cs="Arial" w:eastAsia="Arial" w:hAnsi="Arial"/>
          <w:sz w:val="16"/>
          <w:szCs w:val="16"/>
          <w:color w:val="auto"/>
        </w:rPr>
        <w:t>]</w:t>
      </w:r>
    </w:p>
    <w:p>
      <w:pPr>
        <w:spacing w:after="0" w:line="133" w:lineRule="exact"/>
        <w:rPr>
          <w:sz w:val="20"/>
          <w:szCs w:val="20"/>
          <w:color w:val="auto"/>
        </w:rPr>
      </w:pPr>
    </w:p>
    <w:p>
      <w:pPr>
        <w:sectPr>
          <w:pgSz w:w="11900" w:h="16838" w:orient="portrait"/>
          <w:cols w:equalWidth="0" w:num="2">
            <w:col w:w="3560" w:space="720"/>
            <w:col w:w="6600"/>
          </w:cols>
          <w:pgMar w:left="520" w:top="274" w:right="499" w:bottom="1440" w:gutter="0" w:footer="0" w:header="0"/>
          <w:type w:val="continuous"/>
        </w:sectPr>
      </w:pPr>
    </w:p>
    <w:p>
      <w:pPr>
        <w:spacing w:after="0"/>
        <w:rPr>
          <w:sz w:val="20"/>
          <w:szCs w:val="20"/>
          <w:color w:val="auto"/>
        </w:rPr>
      </w:pPr>
      <w:r>
        <w:rPr>
          <w:rFonts w:ascii="Arial" w:cs="Arial" w:eastAsia="Arial" w:hAnsi="Arial"/>
          <w:sz w:val="18"/>
          <w:szCs w:val="18"/>
          <w:color w:val="auto"/>
        </w:rPr>
        <w:t>By accepting (whether in writing, electronically or otherwise) the RSUs, Participant acknowledges and agrees to the following:</w:t>
      </w:r>
    </w:p>
    <w:p>
      <w:pPr>
        <w:spacing w:after="0" w:line="126" w:lineRule="exact"/>
        <w:rPr>
          <w:sz w:val="20"/>
          <w:szCs w:val="20"/>
          <w:color w:val="auto"/>
        </w:rPr>
      </w:pPr>
    </w:p>
    <w:p>
      <w:pPr>
        <w:ind w:left="840" w:right="20" w:hanging="420"/>
        <w:spacing w:after="0" w:line="250" w:lineRule="auto"/>
        <w:tabs>
          <w:tab w:leader="none" w:pos="8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Participant understands that Participant’s Service with the Company or a Parent, Subsidiary, or Affiliate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“at-will”), except where otherwise prohibited by applicable law, and that nothing in this Notice, the Agreement, or the Plan changes the nature of that relationship. Participant acknowledges that the vesting of the RSUs pursuant to this Notice is subject to Participant’s continuing Service as an Employee, Director or Consultant. Participant agrees and acknowledges that the Vesting Schedule may change prospectively in the event that Participant’s Service status changes between full- and part-time and/or in the event the Participant is on a leave of absence, in accordance with Company policies relating to work schedules and vesting of Awards or as determined by the Committee.</w:t>
      </w:r>
    </w:p>
    <w:p>
      <w:pPr>
        <w:spacing w:after="0" w:line="104" w:lineRule="exact"/>
        <w:rPr>
          <w:rFonts w:ascii="Arial" w:cs="Arial" w:eastAsia="Arial" w:hAnsi="Arial"/>
          <w:sz w:val="18"/>
          <w:szCs w:val="18"/>
          <w:color w:val="auto"/>
        </w:rPr>
      </w:pPr>
    </w:p>
    <w:p>
      <w:pPr>
        <w:ind w:left="840" w:right="80" w:hanging="420"/>
        <w:spacing w:after="0" w:line="257" w:lineRule="auto"/>
        <w:tabs>
          <w:tab w:leader="none" w:pos="8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pacing w:after="0" w:line="95" w:lineRule="exact"/>
        <w:rPr>
          <w:rFonts w:ascii="Arial" w:cs="Arial" w:eastAsia="Arial" w:hAnsi="Arial"/>
          <w:sz w:val="18"/>
          <w:szCs w:val="18"/>
          <w:color w:val="auto"/>
        </w:rPr>
      </w:pPr>
    </w:p>
    <w:p>
      <w:pPr>
        <w:ind w:left="840" w:right="120" w:hanging="420"/>
        <w:spacing w:after="0" w:line="267" w:lineRule="auto"/>
        <w:tabs>
          <w:tab w:leader="none" w:pos="8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Participant has read the Company’s Insider Trading Policy, and agrees to comply with such policy, as it may be amended from time to time, whenever Participant acquires or disposes of the Company’s securities.</w:t>
      </w:r>
    </w:p>
    <w:p>
      <w:pPr>
        <w:spacing w:after="0" w:line="86" w:lineRule="exact"/>
        <w:rPr>
          <w:rFonts w:ascii="Arial" w:cs="Arial" w:eastAsia="Arial" w:hAnsi="Arial"/>
          <w:sz w:val="18"/>
          <w:szCs w:val="18"/>
          <w:color w:val="auto"/>
        </w:rPr>
      </w:pPr>
    </w:p>
    <w:p>
      <w:pPr>
        <w:ind w:left="840" w:hanging="420"/>
        <w:spacing w:after="0"/>
        <w:tabs>
          <w:tab w:leader="none" w:pos="8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By accepting the RSUs, Participant consents to electronic delivery and participation as set forth in the Agreement.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5260" w:type="dxa"/>
            <w:vAlign w:val="bottom"/>
            <w:gridSpan w:val="2"/>
          </w:tcPr>
          <w:p>
            <w:pPr>
              <w:ind w:left="220"/>
              <w:spacing w:after="0"/>
              <w:rPr>
                <w:sz w:val="20"/>
                <w:szCs w:val="20"/>
                <w:color w:val="auto"/>
              </w:rPr>
            </w:pPr>
            <w:r>
              <w:rPr>
                <w:rFonts w:ascii="Arial" w:cs="Arial" w:eastAsia="Arial" w:hAnsi="Arial"/>
                <w:sz w:val="18"/>
                <w:szCs w:val="18"/>
                <w:b w:val="1"/>
                <w:bCs w:val="1"/>
                <w:color w:val="auto"/>
              </w:rPr>
              <w:t>STOKE THERAPEUTICS, INC.</w:t>
            </w:r>
          </w:p>
        </w:tc>
      </w:tr>
      <w:tr>
        <w:trPr>
          <w:trHeight w:val="427"/>
        </w:trPr>
        <w:tc>
          <w:tcPr>
            <w:tcW w:w="1060" w:type="dxa"/>
            <w:vAlign w:val="bottom"/>
          </w:tcPr>
          <w:p>
            <w:pPr>
              <w:spacing w:after="0"/>
              <w:rPr>
                <w:sz w:val="20"/>
                <w:szCs w:val="20"/>
                <w:color w:val="auto"/>
              </w:rPr>
            </w:pPr>
            <w:r>
              <w:rPr>
                <w:rFonts w:ascii="Arial" w:cs="Arial" w:eastAsia="Arial" w:hAnsi="Arial"/>
                <w:sz w:val="18"/>
                <w:szCs w:val="18"/>
                <w:color w:val="auto"/>
              </w:rPr>
              <w:t>Signature:</w:t>
            </w:r>
          </w:p>
        </w:tc>
        <w:tc>
          <w:tcPr>
            <w:tcW w:w="4560" w:type="dxa"/>
            <w:vAlign w:val="bottom"/>
            <w:tcBorders>
              <w:bottom w:val="single" w:sz="8" w:color="auto"/>
            </w:tcBorders>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4"/>
                <w:szCs w:val="24"/>
                <w:color w:val="auto"/>
              </w:rPr>
            </w:pPr>
          </w:p>
        </w:tc>
      </w:tr>
      <w:tr>
        <w:trPr>
          <w:trHeight w:val="433"/>
        </w:trPr>
        <w:tc>
          <w:tcPr>
            <w:tcW w:w="1060" w:type="dxa"/>
            <w:vAlign w:val="bottom"/>
          </w:tcPr>
          <w:p>
            <w:pPr>
              <w:spacing w:after="0"/>
              <w:rPr>
                <w:sz w:val="20"/>
                <w:szCs w:val="20"/>
                <w:color w:val="auto"/>
              </w:rPr>
            </w:pPr>
            <w:r>
              <w:rPr>
                <w:rFonts w:ascii="Arial" w:cs="Arial" w:eastAsia="Arial" w:hAnsi="Arial"/>
                <w:sz w:val="18"/>
                <w:szCs w:val="18"/>
                <w:color w:val="auto"/>
              </w:rPr>
              <w:t>Print Name:</w:t>
            </w:r>
          </w:p>
        </w:tc>
        <w:tc>
          <w:tcPr>
            <w:tcW w:w="4560" w:type="dxa"/>
            <w:vAlign w:val="bottom"/>
            <w:tcBorders>
              <w:bottom w:val="single" w:sz="8" w:color="auto"/>
            </w:tcBorders>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8"/>
                <w:szCs w:val="18"/>
                <w:color w:val="auto"/>
              </w:rPr>
              <w:t>Its:</w:t>
            </w: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20" w:top="274" w:right="499" w:bottom="1440" w:gutter="0" w:footer="0" w:header="0"/>
          <w:type w:val="continuous"/>
        </w:sectPr>
      </w:pPr>
    </w:p>
    <w:bookmarkStart w:id="338" w:name="page339"/>
    <w:bookmarkEnd w:id="33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FORM</w:t>
      </w:r>
    </w:p>
    <w:p>
      <w:pPr>
        <w:spacing w:after="0" w:line="214"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STOKE THERAPEUTICS, INC.</w:t>
      </w:r>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2019 EQUITY INCENTIVE PLAN</w:t>
      </w:r>
    </w:p>
    <w:p>
      <w:pPr>
        <w:spacing w:after="0" w:line="6"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9" w:lineRule="exact"/>
        <w:rPr>
          <w:sz w:val="20"/>
          <w:szCs w:val="20"/>
          <w:color w:val="auto"/>
        </w:rPr>
      </w:pPr>
    </w:p>
    <w:p>
      <w:pPr>
        <w:ind w:left="7" w:right="400" w:firstLine="435"/>
        <w:spacing w:after="0" w:line="267" w:lineRule="auto"/>
        <w:rPr>
          <w:sz w:val="20"/>
          <w:szCs w:val="20"/>
          <w:color w:val="auto"/>
        </w:rPr>
      </w:pPr>
      <w:r>
        <w:rPr>
          <w:rFonts w:ascii="Arial" w:cs="Arial" w:eastAsia="Arial" w:hAnsi="Arial"/>
          <w:sz w:val="18"/>
          <w:szCs w:val="18"/>
          <w:color w:val="auto"/>
        </w:rPr>
        <w:t>Unless otherwise defined in this Restricted Stock Unit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any capitalized terms used herein will have the same meaning ascribed to them in the Stoke Therapeutics, Inc. 2019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0" w:lineRule="exact"/>
        <w:rPr>
          <w:sz w:val="20"/>
          <w:szCs w:val="20"/>
          <w:color w:val="auto"/>
        </w:rPr>
      </w:pPr>
    </w:p>
    <w:p>
      <w:pPr>
        <w:ind w:left="7" w:right="20" w:firstLine="435"/>
        <w:spacing w:after="0" w:line="254" w:lineRule="auto"/>
        <w:rPr>
          <w:sz w:val="20"/>
          <w:szCs w:val="20"/>
          <w:color w:val="auto"/>
        </w:rPr>
      </w:pPr>
      <w:r>
        <w:rPr>
          <w:rFonts w:ascii="Arial" w:cs="Arial" w:eastAsia="Arial" w:hAnsi="Arial"/>
          <w:sz w:val="18"/>
          <w:szCs w:val="18"/>
          <w:color w:val="auto"/>
        </w:rPr>
        <w:t>Participant has been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to the terms, restrictions, and conditions of the Plan, the Notice of Restricted Stock Unit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this Agreement, including any applicable country-specific provisions in any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which constitutes part of this Agreement. In the event of a conflict between the terms and conditions of the Plan and the terms and conditions of the Notice or this Agreement, the terms and conditions of the Plan will prevail.</w:t>
      </w:r>
    </w:p>
    <w:p>
      <w:pPr>
        <w:spacing w:after="0" w:line="185" w:lineRule="exact"/>
        <w:rPr>
          <w:sz w:val="20"/>
          <w:szCs w:val="20"/>
          <w:color w:val="auto"/>
        </w:rPr>
      </w:pPr>
    </w:p>
    <w:p>
      <w:pPr>
        <w:ind w:left="7" w:right="180" w:hanging="7"/>
        <w:spacing w:after="0" w:line="338" w:lineRule="auto"/>
        <w:tabs>
          <w:tab w:leader="none" w:pos="317"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RSUs will be made within thirty (30) days following the applicable date of vesting under the Vesting Schedule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Notice. Settlement of RSUs will be in Shares. No fractional RSUs or rights for fractional Shares will be created pursuant to this Agreement.</w:t>
      </w:r>
    </w:p>
    <w:p>
      <w:pPr>
        <w:spacing w:after="0" w:line="121" w:lineRule="exact"/>
        <w:rPr>
          <w:rFonts w:ascii="Arial" w:cs="Arial" w:eastAsia="Arial" w:hAnsi="Arial"/>
          <w:sz w:val="16"/>
          <w:szCs w:val="16"/>
          <w:b w:val="1"/>
          <w:bCs w:val="1"/>
          <w:color w:val="auto"/>
        </w:rPr>
      </w:pPr>
    </w:p>
    <w:p>
      <w:pPr>
        <w:ind w:left="7" w:right="300" w:hanging="7"/>
        <w:spacing w:after="0" w:line="274" w:lineRule="auto"/>
        <w:tabs>
          <w:tab w:leader="none" w:pos="317"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such time as Shares are issued in settlement of vested RSUs, Participant will have no ownership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allocated to the RSUs and will have no rights to dividends or to vote such Shares.</w:t>
      </w:r>
    </w:p>
    <w:p>
      <w:pPr>
        <w:spacing w:after="0" w:line="167" w:lineRule="exact"/>
        <w:rPr>
          <w:rFonts w:ascii="Arial" w:cs="Arial" w:eastAsia="Arial" w:hAnsi="Arial"/>
          <w:sz w:val="18"/>
          <w:szCs w:val="18"/>
          <w:b w:val="1"/>
          <w:bCs w:val="1"/>
          <w:color w:val="auto"/>
        </w:rPr>
      </w:pPr>
    </w:p>
    <w:p>
      <w:pPr>
        <w:ind w:left="307" w:hanging="307"/>
        <w:spacing w:after="0"/>
        <w:tabs>
          <w:tab w:leader="none" w:pos="307"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if any (whether in cash or Shares), will not be credited to Participant.</w:t>
      </w:r>
    </w:p>
    <w:p>
      <w:pPr>
        <w:spacing w:after="0" w:line="219" w:lineRule="exact"/>
        <w:rPr>
          <w:rFonts w:ascii="Arial" w:cs="Arial" w:eastAsia="Arial" w:hAnsi="Arial"/>
          <w:sz w:val="18"/>
          <w:szCs w:val="18"/>
          <w:b w:val="1"/>
          <w:bCs w:val="1"/>
          <w:color w:val="auto"/>
        </w:rPr>
      </w:pPr>
    </w:p>
    <w:p>
      <w:pPr>
        <w:ind w:left="7" w:hanging="7"/>
        <w:spacing w:after="0" w:line="260" w:lineRule="auto"/>
        <w:tabs>
          <w:tab w:leader="none" w:pos="317"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RSUs</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will not be sold, assigned, transferred, pledged, hypothecated,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disposed of in any manner other than by will or by the laws of descent or distribution or court order or unless otherwise permitted by the Committee on a case-by-case basis.</w:t>
      </w:r>
    </w:p>
    <w:p>
      <w:pPr>
        <w:spacing w:after="0" w:line="180" w:lineRule="exact"/>
        <w:rPr>
          <w:rFonts w:ascii="Arial" w:cs="Arial" w:eastAsia="Arial" w:hAnsi="Arial"/>
          <w:sz w:val="18"/>
          <w:szCs w:val="18"/>
          <w:b w:val="1"/>
          <w:bCs w:val="1"/>
          <w:color w:val="auto"/>
        </w:rPr>
      </w:pPr>
    </w:p>
    <w:p>
      <w:pPr>
        <w:ind w:left="7" w:right="120" w:hanging="7"/>
        <w:spacing w:after="0" w:line="265" w:lineRule="auto"/>
        <w:tabs>
          <w:tab w:leader="none" w:pos="317"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Leave of Absence; Change in Status</w:t>
      </w:r>
      <w:r>
        <w:rPr>
          <w:rFonts w:ascii="Arial" w:cs="Arial" w:eastAsia="Arial" w:hAnsi="Arial"/>
          <w:sz w:val="17"/>
          <w:szCs w:val="17"/>
          <w:b w:val="1"/>
          <w:bCs w:val="1"/>
          <w:color w:val="auto"/>
        </w:rPr>
        <w:t xml:space="preserve">. </w:t>
      </w:r>
      <w:r>
        <w:rPr>
          <w:rFonts w:ascii="Arial" w:cs="Arial" w:eastAsia="Arial" w:hAnsi="Arial"/>
          <w:sz w:val="17"/>
          <w:szCs w:val="17"/>
          <w:color w:val="auto"/>
        </w:rPr>
        <w:t>If Participant’s Service terminates for any reason, all unvested RSUs will be forfeited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immediately, and all rights of Participant to such RSUs automatically terminate without payment of any consideration to Participant. Participant’s Service will be considered terminated as of the date Participant is no longer providing services (regardless of the reason for such termination and whether or not later found to be invalid or in breach of employment laws in the jurisdiction where Participant is employed or the terms of Participant’s employment agreement, if any) and will not, subject to the laws applicable to Participant’s Award, be extended by any notice period mandated under local laws (e.g., Service would not include a period of “garden leave” or similar period). Participant acknowledges and agrees that the Vesting Schedule may change prospectively in the event Participant’s service status changes between full- and part-time status and/or in the event Participant is on an approved leave of absence in accordance the Company’s policies relating to work schedules and vesting of awards or as determined by the Committee. Participant acknowledges that the vesting of the Shares pursuant to this Notice and Agreement is subject to Participant’s continued Service. In case of any dispute as to whether termination of Service has occurred, the Committee will have sole discretion to determine whether such termination of Service has occurred and the effective date of such termination (including whether Participant may still be considered to be providing services while on an approved leave of absence).</w:t>
      </w:r>
    </w:p>
    <w:p>
      <w:pPr>
        <w:sectPr>
          <w:pgSz w:w="11900" w:h="16838" w:orient="portrait"/>
          <w:cols w:equalWidth="0" w:num="1">
            <w:col w:w="10887"/>
          </w:cols>
          <w:pgMar w:left="513" w:top="274" w:right="499" w:bottom="1440" w:gutter="0" w:footer="0" w:header="0"/>
        </w:sectPr>
      </w:pPr>
    </w:p>
    <w:bookmarkStart w:id="339" w:name="page340"/>
    <w:bookmarkEnd w:id="339"/>
    <w:p>
      <w:pPr>
        <w:ind w:left="307" w:hanging="307"/>
        <w:spacing w:after="0"/>
        <w:tabs>
          <w:tab w:leader="none" w:pos="307"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Taxes</w:t>
      </w:r>
      <w:r>
        <w:rPr>
          <w:rFonts w:ascii="Arial" w:cs="Arial" w:eastAsia="Arial" w:hAnsi="Arial"/>
          <w:sz w:val="18"/>
          <w:szCs w:val="18"/>
          <w:b w:val="1"/>
          <w:bCs w:val="1"/>
          <w:color w:val="auto"/>
        </w:rPr>
        <w:t>.</w:t>
      </w:r>
    </w:p>
    <w:p>
      <w:pPr>
        <w:spacing w:after="0" w:line="119" w:lineRule="exact"/>
        <w:rPr>
          <w:rFonts w:ascii="Arial" w:cs="Arial" w:eastAsia="Arial" w:hAnsi="Arial"/>
          <w:sz w:val="18"/>
          <w:szCs w:val="18"/>
          <w:b w:val="1"/>
          <w:bCs w:val="1"/>
          <w:color w:val="auto"/>
        </w:rPr>
      </w:pPr>
    </w:p>
    <w:p>
      <w:pPr>
        <w:ind w:left="7" w:right="20" w:firstLine="428"/>
        <w:spacing w:after="0" w:line="265" w:lineRule="auto"/>
        <w:tabs>
          <w:tab w:leader="none" w:pos="816" w:val="left"/>
        </w:tabs>
        <w:numPr>
          <w:ilvl w:val="1"/>
          <w:numId w:val="287"/>
        </w:numPr>
        <w:rPr>
          <w:rFonts w:ascii="Arial" w:cs="Arial" w:eastAsia="Arial" w:hAnsi="Arial"/>
          <w:sz w:val="17"/>
          <w:szCs w:val="17"/>
          <w:color w:val="auto"/>
        </w:rPr>
      </w:pPr>
      <w:r>
        <w:rPr>
          <w:rFonts w:ascii="Arial" w:cs="Arial" w:eastAsia="Arial" w:hAnsi="Arial"/>
          <w:sz w:val="17"/>
          <w:szCs w:val="17"/>
          <w:u w:val="single" w:color="auto"/>
          <w:color w:val="auto"/>
        </w:rPr>
        <w:t>Responsibility for Taxes</w:t>
      </w:r>
      <w:r>
        <w:rPr>
          <w:rFonts w:ascii="Arial" w:cs="Arial" w:eastAsia="Arial" w:hAnsi="Arial"/>
          <w:sz w:val="17"/>
          <w:szCs w:val="17"/>
          <w:color w:val="auto"/>
        </w:rPr>
        <w:t>. Participant acknowledges that, regardless of any action taken by the Company or, if different, a Parent, Subsidiary or Affiliate employing or retaining Participant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the ultimate liability for all income tax, social insurance, payroll tax, fringe benefits tax, payment on account or other tax-related items related to Participant’s participation in the Plan and legally applicable to Participant (“</w:t>
      </w:r>
      <w:r>
        <w:rPr>
          <w:rFonts w:ascii="Arial" w:cs="Arial" w:eastAsia="Arial" w:hAnsi="Arial"/>
          <w:sz w:val="17"/>
          <w:szCs w:val="17"/>
          <w:b w:val="1"/>
          <w:bCs w:val="1"/>
          <w:i w:val="1"/>
          <w:iCs w:val="1"/>
          <w:color w:val="auto"/>
        </w:rPr>
        <w:t>Tax-Related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Items</w:t>
      </w:r>
      <w:r>
        <w:rPr>
          <w:rFonts w:ascii="Arial" w:cs="Arial" w:eastAsia="Arial" w:hAnsi="Arial"/>
          <w:sz w:val="17"/>
          <w:szCs w:val="17"/>
          <w:color w:val="auto"/>
        </w:rPr>
        <w:t>”) is and remains Participant’s responsibility and may exceed the amount actually withheld by the Company or the Employer, if any. Participant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further acknowledges that the Company and/or the Employer (i)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17"/>
          <w:szCs w:val="17"/>
          <w:i w:val="1"/>
          <w:iCs w:val="1"/>
          <w:color w:val="auto"/>
        </w:rPr>
        <w:t>PARTICIPANT SHOULD</w:t>
      </w:r>
      <w:r>
        <w:rPr>
          <w:rFonts w:ascii="Arial" w:cs="Arial" w:eastAsia="Arial" w:hAnsi="Arial"/>
          <w:sz w:val="17"/>
          <w:szCs w:val="17"/>
          <w:color w:val="auto"/>
        </w:rPr>
        <w:t xml:space="preserve"> </w:t>
      </w:r>
      <w:r>
        <w:rPr>
          <w:rFonts w:ascii="Arial" w:cs="Arial" w:eastAsia="Arial" w:hAnsi="Arial"/>
          <w:sz w:val="17"/>
          <w:szCs w:val="17"/>
          <w:i w:val="1"/>
          <w:iCs w:val="1"/>
          <w:color w:val="auto"/>
        </w:rPr>
        <w:t>CONSULT A TAX ADVISER APPROPRIATELY QUALIFIED IN THE COUNTRY OR COUNTRIES IN WHICH PARTICIPANT RESIDES OR IS SUBJECT TO TAXATION.</w:t>
      </w:r>
    </w:p>
    <w:p>
      <w:pPr>
        <w:spacing w:after="0" w:line="183" w:lineRule="exact"/>
        <w:rPr>
          <w:rFonts w:ascii="Arial" w:cs="Arial" w:eastAsia="Arial" w:hAnsi="Arial"/>
          <w:sz w:val="17"/>
          <w:szCs w:val="17"/>
          <w:color w:val="auto"/>
        </w:rPr>
      </w:pPr>
    </w:p>
    <w:p>
      <w:pPr>
        <w:ind w:left="7" w:right="240" w:firstLine="428"/>
        <w:spacing w:after="0" w:line="252" w:lineRule="auto"/>
        <w:tabs>
          <w:tab w:leader="none" w:pos="826"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Prior to any relevant taxable or tax withholding event, as applicable, Participant agrees to make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100" w:lineRule="exact"/>
        <w:rPr>
          <w:rFonts w:ascii="Arial" w:cs="Arial" w:eastAsia="Arial" w:hAnsi="Arial"/>
          <w:sz w:val="18"/>
          <w:szCs w:val="18"/>
          <w:color w:val="auto"/>
        </w:rPr>
      </w:pPr>
    </w:p>
    <w:p>
      <w:pPr>
        <w:ind w:left="1407" w:hanging="540"/>
        <w:spacing w:after="0"/>
        <w:tabs>
          <w:tab w:leader="none" w:pos="1407" w:val="left"/>
        </w:tabs>
        <w:numPr>
          <w:ilvl w:val="2"/>
          <w:numId w:val="287"/>
        </w:numPr>
        <w:rPr>
          <w:rFonts w:ascii="Arial" w:cs="Arial" w:eastAsia="Arial" w:hAnsi="Arial"/>
          <w:sz w:val="17"/>
          <w:szCs w:val="17"/>
          <w:color w:val="auto"/>
        </w:rPr>
      </w:pPr>
      <w:r>
        <w:rPr>
          <w:rFonts w:ascii="Arial" w:cs="Arial" w:eastAsia="Arial" w:hAnsi="Arial"/>
          <w:sz w:val="17"/>
          <w:szCs w:val="17"/>
          <w:color w:val="auto"/>
        </w:rPr>
        <w:t>withholding from Participant’s wages or other cash compensation paid to Participant by the Company and/or the Employer; or</w:t>
      </w:r>
    </w:p>
    <w:p>
      <w:pPr>
        <w:spacing w:after="0" w:line="137" w:lineRule="exact"/>
        <w:rPr>
          <w:rFonts w:ascii="Arial" w:cs="Arial" w:eastAsia="Arial" w:hAnsi="Arial"/>
          <w:sz w:val="17"/>
          <w:szCs w:val="17"/>
          <w:color w:val="auto"/>
        </w:rPr>
      </w:pPr>
    </w:p>
    <w:p>
      <w:pPr>
        <w:ind w:left="1407" w:right="180" w:hanging="540"/>
        <w:spacing w:after="0" w:line="331" w:lineRule="auto"/>
        <w:tabs>
          <w:tab w:leader="none" w:pos="1407" w:val="left"/>
        </w:tabs>
        <w:numPr>
          <w:ilvl w:val="2"/>
          <w:numId w:val="287"/>
        </w:numPr>
        <w:rPr>
          <w:rFonts w:ascii="Arial" w:cs="Arial" w:eastAsia="Arial" w:hAnsi="Arial"/>
          <w:sz w:val="16"/>
          <w:szCs w:val="16"/>
          <w:color w:val="auto"/>
        </w:rPr>
      </w:pPr>
      <w:r>
        <w:rPr>
          <w:rFonts w:ascii="Arial" w:cs="Arial" w:eastAsia="Arial" w:hAnsi="Arial"/>
          <w:sz w:val="16"/>
          <w:szCs w:val="16"/>
          <w:color w:val="auto"/>
        </w:rPr>
        <w:t>withholding from proceeds of the sale of Shares acquired upon settlement of the RSUs either through a voluntary sale or through a mandatory sale arranged by the Company (on Participant’s behalf pursuant to this authorization and without further consent);</w:t>
      </w:r>
    </w:p>
    <w:p>
      <w:pPr>
        <w:spacing w:after="0" w:line="39" w:lineRule="exact"/>
        <w:rPr>
          <w:rFonts w:ascii="Arial" w:cs="Arial" w:eastAsia="Arial" w:hAnsi="Arial"/>
          <w:sz w:val="16"/>
          <w:szCs w:val="16"/>
          <w:color w:val="auto"/>
        </w:rPr>
      </w:pPr>
    </w:p>
    <w:p>
      <w:pPr>
        <w:ind w:left="1407" w:hanging="540"/>
        <w:spacing w:after="0" w:line="267" w:lineRule="auto"/>
        <w:tabs>
          <w:tab w:leader="none" w:pos="1407" w:val="left"/>
        </w:tabs>
        <w:numPr>
          <w:ilvl w:val="2"/>
          <w:numId w:val="287"/>
        </w:numPr>
        <w:rPr>
          <w:rFonts w:ascii="Arial" w:cs="Arial" w:eastAsia="Arial" w:hAnsi="Arial"/>
          <w:sz w:val="18"/>
          <w:szCs w:val="18"/>
          <w:color w:val="auto"/>
        </w:rPr>
      </w:pPr>
      <w:r>
        <w:rPr>
          <w:rFonts w:ascii="Arial" w:cs="Arial" w:eastAsia="Arial" w:hAnsi="Arial"/>
          <w:sz w:val="18"/>
          <w:szCs w:val="18"/>
          <w:color w:val="auto"/>
        </w:rPr>
        <w:t>withholding Shares to be issued upon settlement of the RSUs, provided the Company only withholds the number of Shares necessary to satisfy no more than the maximum applicable statutory withholding amounts;</w:t>
      </w:r>
    </w:p>
    <w:p>
      <w:pPr>
        <w:spacing w:after="0" w:line="86" w:lineRule="exact"/>
        <w:rPr>
          <w:rFonts w:ascii="Arial" w:cs="Arial" w:eastAsia="Arial" w:hAnsi="Arial"/>
          <w:sz w:val="18"/>
          <w:szCs w:val="18"/>
          <w:color w:val="auto"/>
        </w:rPr>
      </w:pPr>
    </w:p>
    <w:p>
      <w:pPr>
        <w:ind w:left="1407" w:hanging="540"/>
        <w:spacing w:after="0"/>
        <w:tabs>
          <w:tab w:leader="none" w:pos="1407" w:val="left"/>
        </w:tabs>
        <w:numPr>
          <w:ilvl w:val="2"/>
          <w:numId w:val="287"/>
        </w:numPr>
        <w:rPr>
          <w:rFonts w:ascii="Arial" w:cs="Arial" w:eastAsia="Arial" w:hAnsi="Arial"/>
          <w:sz w:val="18"/>
          <w:szCs w:val="18"/>
          <w:color w:val="auto"/>
        </w:rPr>
      </w:pPr>
      <w:r>
        <w:rPr>
          <w:rFonts w:ascii="Arial" w:cs="Arial" w:eastAsia="Arial" w:hAnsi="Arial"/>
          <w:sz w:val="18"/>
          <w:szCs w:val="18"/>
          <w:color w:val="auto"/>
        </w:rPr>
        <w:t>Participant’s payment of a cash amount (including by check representing readily available funds or a wire transfer); or</w:t>
      </w:r>
    </w:p>
    <w:p>
      <w:pPr>
        <w:spacing w:after="0" w:line="126" w:lineRule="exact"/>
        <w:rPr>
          <w:rFonts w:ascii="Arial" w:cs="Arial" w:eastAsia="Arial" w:hAnsi="Arial"/>
          <w:sz w:val="18"/>
          <w:szCs w:val="18"/>
          <w:color w:val="auto"/>
        </w:rPr>
      </w:pPr>
    </w:p>
    <w:p>
      <w:pPr>
        <w:ind w:left="1407" w:hanging="540"/>
        <w:spacing w:after="0"/>
        <w:tabs>
          <w:tab w:leader="none" w:pos="1407"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220" w:lineRule="exact"/>
        <w:rPr>
          <w:sz w:val="20"/>
          <w:szCs w:val="20"/>
          <w:color w:val="auto"/>
        </w:rPr>
      </w:pPr>
    </w:p>
    <w:p>
      <w:pPr>
        <w:ind w:left="7" w:right="180" w:firstLine="435"/>
        <w:spacing w:after="0" w:line="257" w:lineRule="auto"/>
        <w:rPr>
          <w:sz w:val="20"/>
          <w:szCs w:val="20"/>
          <w:color w:val="auto"/>
        </w:rPr>
      </w:pPr>
      <w:r>
        <w:rPr>
          <w:rFonts w:ascii="Arial" w:cs="Arial" w:eastAsia="Arial" w:hAnsi="Arial"/>
          <w:sz w:val="18"/>
          <w:szCs w:val="18"/>
          <w:color w:val="auto"/>
        </w:rPr>
        <w:t>provided however, that if Participant is a Section 16 officer of the Company under the Exchange Act, then the Committee (as constituted in accordance with Rule 16b-3 under the Exchange Act) will establish the method of withholding from alternatives (i)-(v) above prior to the Tax-Related Items withholding event.</w:t>
      </w:r>
    </w:p>
    <w:p>
      <w:pPr>
        <w:spacing w:after="0" w:line="188" w:lineRule="exact"/>
        <w:rPr>
          <w:sz w:val="20"/>
          <w:szCs w:val="20"/>
          <w:color w:val="auto"/>
        </w:rPr>
      </w:pPr>
    </w:p>
    <w:p>
      <w:pPr>
        <w:ind w:left="7" w:right="260" w:firstLine="435"/>
        <w:spacing w:after="0" w:line="304" w:lineRule="auto"/>
        <w:rPr>
          <w:sz w:val="20"/>
          <w:szCs w:val="20"/>
          <w:color w:val="auto"/>
        </w:rPr>
      </w:pPr>
      <w:r>
        <w:rPr>
          <w:rFonts w:ascii="Arial" w:cs="Arial" w:eastAsia="Arial" w:hAnsi="Arial"/>
          <w:sz w:val="16"/>
          <w:szCs w:val="16"/>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will receive a refund of any over-withheld</w:t>
      </w:r>
    </w:p>
    <w:p>
      <w:pPr>
        <w:sectPr>
          <w:pgSz w:w="11900" w:h="16838" w:orient="portrait"/>
          <w:cols w:equalWidth="0" w:num="1">
            <w:col w:w="10867"/>
          </w:cols>
          <w:pgMar w:left="513" w:top="267" w:right="519" w:bottom="1440" w:gutter="0" w:footer="0" w:header="0"/>
        </w:sectPr>
      </w:pPr>
    </w:p>
    <w:bookmarkStart w:id="340" w:name="page341"/>
    <w:bookmarkEnd w:id="340"/>
    <w:p>
      <w:pPr>
        <w:ind w:left="7" w:right="2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amount in cash in accordance with applicable law.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88" w:lineRule="exact"/>
        <w:rPr>
          <w:sz w:val="20"/>
          <w:szCs w:val="20"/>
          <w:color w:val="auto"/>
        </w:rPr>
      </w:pPr>
    </w:p>
    <w:p>
      <w:pPr>
        <w:ind w:left="7" w:right="140" w:firstLine="435"/>
        <w:spacing w:after="0" w:line="254" w:lineRule="auto"/>
        <w:rPr>
          <w:sz w:val="20"/>
          <w:szCs w:val="20"/>
          <w:color w:val="auto"/>
        </w:rPr>
      </w:pPr>
      <w:r>
        <w:rPr>
          <w:rFonts w:ascii="Arial" w:cs="Arial" w:eastAsia="Arial" w:hAnsi="Arial"/>
          <w:sz w:val="18"/>
          <w:szCs w:val="18"/>
          <w:color w:val="auto"/>
        </w:rPr>
        <w:t>Finally, Participant agrees to pay to the Company and/or the Employer any amount of Tax-Related Items that the Company and/or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85" w:lineRule="exact"/>
        <w:rPr>
          <w:sz w:val="20"/>
          <w:szCs w:val="20"/>
          <w:color w:val="auto"/>
        </w:rPr>
      </w:pPr>
    </w:p>
    <w:p>
      <w:pPr>
        <w:ind w:left="307" w:hanging="307"/>
        <w:spacing w:after="0"/>
        <w:tabs>
          <w:tab w:leader="none" w:pos="307"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By accepting the RSUs, Participant acknowledges, understands and agrees that:</w:t>
      </w:r>
    </w:p>
    <w:p>
      <w:pPr>
        <w:spacing w:after="0" w:line="225" w:lineRule="exact"/>
        <w:rPr>
          <w:rFonts w:ascii="Arial" w:cs="Arial" w:eastAsia="Arial" w:hAnsi="Arial"/>
          <w:sz w:val="18"/>
          <w:szCs w:val="18"/>
          <w:b w:val="1"/>
          <w:bCs w:val="1"/>
          <w:color w:val="auto"/>
        </w:rPr>
      </w:pPr>
    </w:p>
    <w:p>
      <w:pPr>
        <w:ind w:left="7" w:right="200" w:firstLine="428"/>
        <w:spacing w:after="0" w:line="267" w:lineRule="auto"/>
        <w:tabs>
          <w:tab w:leader="none" w:pos="81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9" w:lineRule="exact"/>
        <w:rPr>
          <w:rFonts w:ascii="Arial" w:cs="Arial" w:eastAsia="Arial" w:hAnsi="Arial"/>
          <w:sz w:val="18"/>
          <w:szCs w:val="18"/>
          <w:color w:val="auto"/>
        </w:rPr>
      </w:pPr>
    </w:p>
    <w:p>
      <w:pPr>
        <w:ind w:left="7" w:right="120" w:firstLine="428"/>
        <w:spacing w:after="0" w:line="267" w:lineRule="auto"/>
        <w:tabs>
          <w:tab w:leader="none" w:pos="82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79" w:lineRule="exact"/>
        <w:rPr>
          <w:rFonts w:ascii="Arial" w:cs="Arial" w:eastAsia="Arial" w:hAnsi="Arial"/>
          <w:sz w:val="18"/>
          <w:szCs w:val="18"/>
          <w:color w:val="auto"/>
        </w:rPr>
      </w:pPr>
    </w:p>
    <w:p>
      <w:pPr>
        <w:ind w:left="807" w:hanging="372"/>
        <w:spacing w:after="0"/>
        <w:tabs>
          <w:tab w:leader="none" w:pos="80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all decisions with respect to future RSUs or other grants, if any, will be at the sole discretion of the Company;</w:t>
      </w:r>
    </w:p>
    <w:p>
      <w:pPr>
        <w:spacing w:after="0" w:line="219" w:lineRule="exact"/>
        <w:rPr>
          <w:rFonts w:ascii="Arial" w:cs="Arial" w:eastAsia="Arial" w:hAnsi="Arial"/>
          <w:sz w:val="18"/>
          <w:szCs w:val="18"/>
          <w:color w:val="auto"/>
        </w:rPr>
      </w:pPr>
    </w:p>
    <w:p>
      <w:pPr>
        <w:ind w:left="827" w:hanging="392"/>
        <w:spacing w:after="0"/>
        <w:tabs>
          <w:tab w:leader="none" w:pos="82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19" w:lineRule="exact"/>
        <w:rPr>
          <w:rFonts w:ascii="Arial" w:cs="Arial" w:eastAsia="Arial" w:hAnsi="Arial"/>
          <w:sz w:val="18"/>
          <w:szCs w:val="18"/>
          <w:color w:val="auto"/>
        </w:rPr>
      </w:pPr>
    </w:p>
    <w:p>
      <w:pPr>
        <w:ind w:left="7" w:right="540" w:firstLine="428"/>
        <w:spacing w:after="0" w:line="257" w:lineRule="auto"/>
        <w:tabs>
          <w:tab w:leader="none" w:pos="81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RSUs and Participant’s participation in the Plan will not create a right to employment or be interpreted as forming or amending an employment or service contract with the Company or the Employer and will not interfere with the ability of the Company or the Employer, as applicable, to terminate Participant’s employment or service relationship (if any);</w:t>
      </w:r>
    </w:p>
    <w:p>
      <w:pPr>
        <w:spacing w:after="0" w:line="188" w:lineRule="exact"/>
        <w:rPr>
          <w:rFonts w:ascii="Arial" w:cs="Arial" w:eastAsia="Arial" w:hAnsi="Arial"/>
          <w:sz w:val="18"/>
          <w:szCs w:val="18"/>
          <w:color w:val="auto"/>
        </w:rPr>
      </w:pPr>
    </w:p>
    <w:p>
      <w:pPr>
        <w:ind w:left="7" w:right="840" w:firstLine="428"/>
        <w:spacing w:after="0" w:line="267" w:lineRule="auto"/>
        <w:tabs>
          <w:tab w:leader="none" w:pos="79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RSUs and the Shares subject to the RSUs, and the income and value of same, are not intended to replace any pension rights or compensation;</w:t>
      </w:r>
    </w:p>
    <w:p>
      <w:pPr>
        <w:spacing w:after="0" w:line="179" w:lineRule="exact"/>
        <w:rPr>
          <w:rFonts w:ascii="Arial" w:cs="Arial" w:eastAsia="Arial" w:hAnsi="Arial"/>
          <w:sz w:val="18"/>
          <w:szCs w:val="18"/>
          <w:color w:val="auto"/>
        </w:rPr>
      </w:pPr>
    </w:p>
    <w:p>
      <w:pPr>
        <w:ind w:left="7" w:right="240" w:firstLine="428"/>
        <w:spacing w:after="0" w:line="257" w:lineRule="auto"/>
        <w:tabs>
          <w:tab w:leader="none" w:pos="82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RSUs and the Shares subject to the RSUs,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88" w:lineRule="exact"/>
        <w:rPr>
          <w:rFonts w:ascii="Arial" w:cs="Arial" w:eastAsia="Arial" w:hAnsi="Arial"/>
          <w:sz w:val="18"/>
          <w:szCs w:val="18"/>
          <w:color w:val="auto"/>
        </w:rPr>
      </w:pPr>
    </w:p>
    <w:p>
      <w:pPr>
        <w:ind w:left="7" w:firstLine="428"/>
        <w:spacing w:after="0" w:line="297" w:lineRule="auto"/>
        <w:tabs>
          <w:tab w:leader="none" w:pos="827" w:val="left"/>
        </w:tabs>
        <w:numPr>
          <w:ilvl w:val="1"/>
          <w:numId w:val="288"/>
        </w:numPr>
        <w:rPr>
          <w:rFonts w:ascii="Arial" w:cs="Arial" w:eastAsia="Arial" w:hAnsi="Arial"/>
          <w:sz w:val="17"/>
          <w:szCs w:val="17"/>
          <w:color w:val="auto"/>
        </w:rPr>
      </w:pPr>
      <w:r>
        <w:rPr>
          <w:rFonts w:ascii="Arial" w:cs="Arial" w:eastAsia="Arial" w:hAnsi="Arial"/>
          <w:sz w:val="17"/>
          <w:szCs w:val="17"/>
          <w:color w:val="auto"/>
        </w:rPr>
        <w:t>unless otherwise agreed with the Company, the RSUs, and the Shares subject to the RSUs, and the income and value of same, are not granted as consideration for, or in connection with, the service Participant may provide as a director of a Parent, Subsidiary, or Affiliate;</w:t>
      </w:r>
    </w:p>
    <w:p>
      <w:pPr>
        <w:spacing w:after="0" w:line="156" w:lineRule="exact"/>
        <w:rPr>
          <w:rFonts w:ascii="Arial" w:cs="Arial" w:eastAsia="Arial" w:hAnsi="Arial"/>
          <w:sz w:val="17"/>
          <w:szCs w:val="17"/>
          <w:color w:val="auto"/>
        </w:rPr>
      </w:pPr>
    </w:p>
    <w:p>
      <w:pPr>
        <w:ind w:left="787" w:hanging="352"/>
        <w:spacing w:after="0"/>
        <w:tabs>
          <w:tab w:leader="none" w:pos="78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219" w:lineRule="exact"/>
        <w:rPr>
          <w:rFonts w:ascii="Arial" w:cs="Arial" w:eastAsia="Arial" w:hAnsi="Arial"/>
          <w:sz w:val="18"/>
          <w:szCs w:val="18"/>
          <w:color w:val="auto"/>
        </w:rPr>
      </w:pPr>
    </w:p>
    <w:p>
      <w:pPr>
        <w:ind w:left="7" w:right="20" w:firstLine="428"/>
        <w:spacing w:after="0" w:line="254" w:lineRule="auto"/>
        <w:tabs>
          <w:tab w:leader="none" w:pos="78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 in consideration of the grant of the RSUs to which Participant is otherwise not entitled, Participant irrevocably agrees never</w:t>
      </w:r>
    </w:p>
    <w:p>
      <w:pPr>
        <w:sectPr>
          <w:pgSz w:w="11900" w:h="16838" w:orient="portrait"/>
          <w:cols w:equalWidth="0" w:num="1">
            <w:col w:w="10867"/>
          </w:cols>
          <w:pgMar w:left="513" w:top="274" w:right="519" w:bottom="1440" w:gutter="0" w:footer="0" w:header="0"/>
        </w:sectPr>
      </w:pPr>
    </w:p>
    <w:bookmarkStart w:id="341" w:name="page342"/>
    <w:bookmarkEnd w:id="341"/>
    <w:p>
      <w:pPr>
        <w:ind w:left="7" w:right="16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to institute any claim against the Employer, the Company, and any Parent, Subsidiary or Affiliate; waives his or her ability, if any, to bring any such claim; and releases the Employer, the Company, and any Parent, Subsidiary, or Affiliate from any such claim; if, notwithstanding the foregoing, any such claim is allowed by a court of competent jurisdiction, then, by participating in the Plan, Participant will be deemed irrevocably to have agreed not to pursue such claim and agrees to execute any and all documents necessary to request dismissal or withdrawal of such claim;</w:t>
      </w:r>
    </w:p>
    <w:p>
      <w:pPr>
        <w:spacing w:after="0" w:line="162" w:lineRule="exact"/>
        <w:rPr>
          <w:sz w:val="20"/>
          <w:szCs w:val="20"/>
          <w:color w:val="auto"/>
        </w:rPr>
      </w:pPr>
    </w:p>
    <w:p>
      <w:pPr>
        <w:ind w:left="7" w:right="300" w:firstLine="428"/>
        <w:spacing w:after="0" w:line="257" w:lineRule="auto"/>
        <w:tabs>
          <w:tab w:leader="none" w:pos="82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88" w:lineRule="exact"/>
        <w:rPr>
          <w:rFonts w:ascii="Arial" w:cs="Arial" w:eastAsia="Arial" w:hAnsi="Arial"/>
          <w:sz w:val="18"/>
          <w:szCs w:val="18"/>
          <w:color w:val="auto"/>
        </w:rPr>
      </w:pPr>
    </w:p>
    <w:p>
      <w:pPr>
        <w:ind w:left="787" w:hanging="352"/>
        <w:spacing w:after="0"/>
        <w:tabs>
          <w:tab w:leader="none" w:pos="78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126" w:lineRule="exact"/>
        <w:rPr>
          <w:rFonts w:ascii="Arial" w:cs="Arial" w:eastAsia="Arial" w:hAnsi="Arial"/>
          <w:sz w:val="18"/>
          <w:szCs w:val="18"/>
          <w:color w:val="auto"/>
        </w:rPr>
      </w:pPr>
    </w:p>
    <w:p>
      <w:pPr>
        <w:ind w:left="1407" w:hanging="540"/>
        <w:spacing w:after="0"/>
        <w:tabs>
          <w:tab w:leader="none" w:pos="1407" w:val="left"/>
        </w:tabs>
        <w:numPr>
          <w:ilvl w:val="2"/>
          <w:numId w:val="289"/>
        </w:numPr>
        <w:rPr>
          <w:rFonts w:ascii="Arial" w:cs="Arial" w:eastAsia="Arial" w:hAnsi="Arial"/>
          <w:sz w:val="17"/>
          <w:szCs w:val="17"/>
          <w:color w:val="auto"/>
        </w:rPr>
      </w:pPr>
      <w:r>
        <w:rPr>
          <w:rFonts w:ascii="Arial" w:cs="Arial" w:eastAsia="Arial" w:hAnsi="Arial"/>
          <w:sz w:val="17"/>
          <w:szCs w:val="17"/>
          <w:color w:val="auto"/>
        </w:rPr>
        <w:t>the RSUs and the Shares subject to the RSUs are not part of normal or expected compensation or salary for any purpose;</w:t>
      </w:r>
    </w:p>
    <w:p>
      <w:pPr>
        <w:spacing w:after="0" w:line="231" w:lineRule="exact"/>
        <w:rPr>
          <w:rFonts w:ascii="Arial" w:cs="Arial" w:eastAsia="Arial" w:hAnsi="Arial"/>
          <w:sz w:val="17"/>
          <w:szCs w:val="17"/>
          <w:color w:val="auto"/>
        </w:rPr>
      </w:pPr>
    </w:p>
    <w:p>
      <w:pPr>
        <w:jc w:val="both"/>
        <w:ind w:left="7" w:right="200" w:firstLine="864"/>
        <w:spacing w:after="0" w:line="304" w:lineRule="auto"/>
        <w:tabs>
          <w:tab w:leader="none" w:pos="1272" w:val="left"/>
        </w:tabs>
        <w:numPr>
          <w:ilvl w:val="2"/>
          <w:numId w:val="289"/>
        </w:numPr>
        <w:rPr>
          <w:rFonts w:ascii="Arial" w:cs="Arial" w:eastAsia="Arial" w:hAnsi="Arial"/>
          <w:sz w:val="16"/>
          <w:szCs w:val="16"/>
          <w:color w:val="auto"/>
        </w:rPr>
      </w:pPr>
      <w:r>
        <w:rPr>
          <w:rFonts w:ascii="Arial" w:cs="Arial" w:eastAsia="Arial" w:hAnsi="Arial"/>
          <w:sz w:val="16"/>
          <w:szCs w:val="16"/>
          <w:color w:val="auto"/>
        </w:rPr>
        <w:t>Participant acknowledges and agrees that neither the Company, the Employer nor any Parent or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48" w:lineRule="exact"/>
        <w:rPr>
          <w:rFonts w:ascii="Arial" w:cs="Arial" w:eastAsia="Arial" w:hAnsi="Arial"/>
          <w:sz w:val="16"/>
          <w:szCs w:val="16"/>
          <w:color w:val="auto"/>
        </w:rPr>
      </w:pPr>
    </w:p>
    <w:p>
      <w:pPr>
        <w:jc w:val="both"/>
        <w:ind w:left="7" w:right="80" w:hanging="7"/>
        <w:spacing w:after="0" w:line="256" w:lineRule="auto"/>
        <w:tabs>
          <w:tab w:leader="none" w:pos="317"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not providing any tax, legal, or financial advice, nor is the Company making any recommendations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w:t>
      </w:r>
    </w:p>
    <w:p>
      <w:pPr>
        <w:spacing w:after="0" w:line="183" w:lineRule="exact"/>
        <w:rPr>
          <w:rFonts w:ascii="Arial" w:cs="Arial" w:eastAsia="Arial" w:hAnsi="Arial"/>
          <w:sz w:val="18"/>
          <w:szCs w:val="18"/>
          <w:b w:val="1"/>
          <w:bCs w:val="1"/>
          <w:color w:val="auto"/>
        </w:rPr>
      </w:pPr>
    </w:p>
    <w:p>
      <w:pPr>
        <w:jc w:val="both"/>
        <w:ind w:left="7" w:hanging="7"/>
        <w:spacing w:after="0" w:line="256" w:lineRule="auto"/>
        <w:tabs>
          <w:tab w:leader="none" w:pos="317"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 hereby explicitly and unambiguously consents to the collection, use and transfer, in electronic or other form,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Participant’s personal data as described in this Agreement and any other RSU grant materials by and among, as applicable, the Employer, the Company and any Parent, Subsidiary or Affiliate for the exclusive purpose of implementing, administering and managing Participant’s participation in the Plan.</w:t>
      </w:r>
    </w:p>
    <w:p>
      <w:pPr>
        <w:spacing w:after="0" w:line="190" w:lineRule="exact"/>
        <w:rPr>
          <w:sz w:val="20"/>
          <w:szCs w:val="20"/>
          <w:color w:val="auto"/>
        </w:rPr>
      </w:pPr>
    </w:p>
    <w:p>
      <w:pPr>
        <w:ind w:left="7" w:right="20" w:firstLine="435"/>
        <w:spacing w:after="0" w:line="270" w:lineRule="auto"/>
        <w:rPr>
          <w:sz w:val="20"/>
          <w:szCs w:val="20"/>
          <w:color w:val="auto"/>
        </w:rPr>
      </w:pPr>
      <w:r>
        <w:rPr>
          <w:rFonts w:ascii="Arial" w:cs="Arial" w:eastAsia="Arial" w:hAnsi="Arial"/>
          <w:sz w:val="17"/>
          <w:szCs w:val="17"/>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salary, nationality, job title, any shares of stock or directorships held in the Company, details of all RSUs or any other entitlement to shares of stock awarded, canceled, exercised, vested, unvested or outstanding in Participant’s favor (“Data”), for the exclusive purpose of implementing, administering and managing the Plan.</w:t>
      </w:r>
    </w:p>
    <w:p>
      <w:pPr>
        <w:spacing w:after="0" w:line="181" w:lineRule="exact"/>
        <w:rPr>
          <w:sz w:val="20"/>
          <w:szCs w:val="20"/>
          <w:color w:val="auto"/>
        </w:rPr>
      </w:pPr>
    </w:p>
    <w:p>
      <w:pPr>
        <w:ind w:left="7" w:right="140" w:firstLine="435"/>
        <w:spacing w:after="0" w:line="341" w:lineRule="auto"/>
        <w:rPr>
          <w:sz w:val="20"/>
          <w:szCs w:val="20"/>
          <w:color w:val="auto"/>
        </w:rPr>
      </w:pPr>
      <w:r>
        <w:rPr>
          <w:rFonts w:ascii="Arial" w:cs="Arial" w:eastAsia="Arial" w:hAnsi="Arial"/>
          <w:sz w:val="14"/>
          <w:szCs w:val="14"/>
          <w:b w:val="1"/>
          <w:bCs w:val="1"/>
          <w:i w:val="1"/>
          <w:iCs w:val="1"/>
          <w:color w:val="auto"/>
        </w:rPr>
        <w:t>Participant understands that Data will be transferred to the stock plan service provider as may be designated by the Company from time to time or its affiliates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w:t>
      </w:r>
    </w:p>
    <w:p>
      <w:pPr>
        <w:sectPr>
          <w:pgSz w:w="11900" w:h="16838" w:orient="portrait"/>
          <w:cols w:equalWidth="0" w:num="1">
            <w:col w:w="10887"/>
          </w:cols>
          <w:pgMar w:left="513" w:top="274" w:right="499" w:bottom="1440" w:gutter="0" w:footer="0" w:header="0"/>
        </w:sectPr>
      </w:pPr>
    </w:p>
    <w:bookmarkStart w:id="342" w:name="page343"/>
    <w:bookmarkEnd w:id="342"/>
    <w:p>
      <w:pPr>
        <w:ind w:left="7"/>
        <w:spacing w:after="0" w:line="325" w:lineRule="auto"/>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with the names and addresses of any potential recipients of the Data by contacting his or her local human resources representative. Participant authorizes the Company, the stock plan service provider as may be designated by the Company from time to time, and its affiliates,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would not be able to grant Participant RSUs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360" w:lineRule="exact"/>
        <w:rPr>
          <w:sz w:val="20"/>
          <w:szCs w:val="20"/>
          <w:color w:val="auto"/>
        </w:rPr>
      </w:pPr>
    </w:p>
    <w:p>
      <w:pPr>
        <w:ind w:left="7" w:right="240" w:hanging="7"/>
        <w:spacing w:after="0" w:line="304" w:lineRule="auto"/>
        <w:tabs>
          <w:tab w:leader="none" w:pos="406"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b w:val="1"/>
          <w:bCs w:val="1"/>
          <w:color w:val="auto"/>
        </w:rPr>
        <w:t xml:space="preserve">. </w:t>
      </w:r>
      <w:r>
        <w:rPr>
          <w:rFonts w:ascii="Arial" w:cs="Arial" w:eastAsia="Arial" w:hAnsi="Arial"/>
          <w:sz w:val="17"/>
          <w:szCs w:val="17"/>
          <w:color w:val="auto"/>
        </w:rPr>
        <w:t>If Participant has received this Agreement or any other document related to the RSU and/or the Plan translated into a language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English and if the meaning of the translated version is different than the English version, the English version will control.</w:t>
      </w:r>
    </w:p>
    <w:p>
      <w:pPr>
        <w:spacing w:after="0" w:line="144" w:lineRule="exact"/>
        <w:rPr>
          <w:rFonts w:ascii="Arial" w:cs="Arial" w:eastAsia="Arial" w:hAnsi="Arial"/>
          <w:sz w:val="17"/>
          <w:szCs w:val="17"/>
          <w:b w:val="1"/>
          <w:bCs w:val="1"/>
          <w:color w:val="auto"/>
        </w:rPr>
      </w:pPr>
    </w:p>
    <w:p>
      <w:pPr>
        <w:ind w:left="7" w:right="160" w:hanging="7"/>
        <w:spacing w:after="0" w:line="276" w:lineRule="auto"/>
        <w:tabs>
          <w:tab w:leader="none" w:pos="397"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Appendix</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provisions in this Agreement, the RSUs will be subject to any special terms and conditions set forth in any</w:t>
      </w:r>
      <w:r>
        <w:rPr>
          <w:rFonts w:ascii="Arial" w:cs="Arial" w:eastAsia="Arial" w:hAnsi="Arial"/>
          <w:sz w:val="17"/>
          <w:szCs w:val="17"/>
          <w:b w:val="1"/>
          <w:bCs w:val="1"/>
          <w:color w:val="auto"/>
        </w:rPr>
        <w:t xml:space="preserve"> </w:t>
      </w:r>
      <w:r>
        <w:rPr>
          <w:rFonts w:ascii="Arial" w:cs="Arial" w:eastAsia="Arial" w:hAnsi="Arial"/>
          <w:sz w:val="17"/>
          <w:szCs w:val="17"/>
          <w:color w:val="auto"/>
        </w:rPr>
        <w:t>Appendix to this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67" w:lineRule="exact"/>
        <w:rPr>
          <w:rFonts w:ascii="Arial" w:cs="Arial" w:eastAsia="Arial" w:hAnsi="Arial"/>
          <w:sz w:val="17"/>
          <w:szCs w:val="17"/>
          <w:b w:val="1"/>
          <w:bCs w:val="1"/>
          <w:color w:val="auto"/>
        </w:rPr>
      </w:pPr>
    </w:p>
    <w:p>
      <w:pPr>
        <w:ind w:left="7" w:right="200" w:hanging="7"/>
        <w:spacing w:after="0" w:line="308" w:lineRule="auto"/>
        <w:tabs>
          <w:tab w:leader="none" w:pos="406"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reserves the right to impose other requirements on Participant’s participation in the Plan, on</w:t>
      </w:r>
      <w:r>
        <w:rPr>
          <w:rFonts w:ascii="Arial" w:cs="Arial" w:eastAsia="Arial" w:hAnsi="Arial"/>
          <w:sz w:val="16"/>
          <w:szCs w:val="16"/>
          <w:b w:val="1"/>
          <w:bCs w:val="1"/>
          <w:color w:val="auto"/>
        </w:rPr>
        <w:t xml:space="preserve"> </w:t>
      </w:r>
      <w:r>
        <w:rPr>
          <w:rFonts w:ascii="Arial" w:cs="Arial" w:eastAsia="Arial" w:hAnsi="Arial"/>
          <w:sz w:val="16"/>
          <w:szCs w:val="16"/>
          <w:color w:val="auto"/>
        </w:rPr>
        <w:t>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45" w:lineRule="exact"/>
        <w:rPr>
          <w:rFonts w:ascii="Arial" w:cs="Arial" w:eastAsia="Arial" w:hAnsi="Arial"/>
          <w:sz w:val="16"/>
          <w:szCs w:val="16"/>
          <w:b w:val="1"/>
          <w:bCs w:val="1"/>
          <w:color w:val="auto"/>
        </w:rPr>
      </w:pPr>
    </w:p>
    <w:p>
      <w:pPr>
        <w:ind w:left="7" w:right="260" w:hanging="7"/>
        <w:spacing w:after="0" w:line="256" w:lineRule="auto"/>
        <w:tabs>
          <w:tab w:leader="none" w:pos="406"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w:t>
      </w:r>
    </w:p>
    <w:p>
      <w:pPr>
        <w:spacing w:after="0" w:line="183" w:lineRule="exact"/>
        <w:rPr>
          <w:rFonts w:ascii="Arial" w:cs="Arial" w:eastAsia="Arial" w:hAnsi="Arial"/>
          <w:sz w:val="18"/>
          <w:szCs w:val="18"/>
          <w:b w:val="1"/>
          <w:bCs w:val="1"/>
          <w:color w:val="auto"/>
        </w:rPr>
      </w:pPr>
    </w:p>
    <w:p>
      <w:pPr>
        <w:ind w:left="7" w:right="180" w:hanging="7"/>
        <w:spacing w:after="0" w:line="293" w:lineRule="auto"/>
        <w:tabs>
          <w:tab w:leader="none" w:pos="406"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Plan, and the Notice constitute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w:t>
      </w:r>
    </w:p>
    <w:p>
      <w:pPr>
        <w:sectPr>
          <w:pgSz w:w="11900" w:h="16838" w:orient="portrait"/>
          <w:cols w:equalWidth="0" w:num="1">
            <w:col w:w="10887"/>
          </w:cols>
          <w:pgMar w:left="513" w:top="274" w:right="499" w:bottom="1440" w:gutter="0" w:footer="0" w:header="0"/>
        </w:sectPr>
      </w:pPr>
    </w:p>
    <w:bookmarkStart w:id="343" w:name="page344"/>
    <w:bookmarkEnd w:id="343"/>
    <w:p>
      <w:pPr>
        <w:ind w:left="7" w:right="60" w:hanging="7"/>
        <w:spacing w:after="0" w:line="268" w:lineRule="auto"/>
        <w:tabs>
          <w:tab w:leader="none" w:pos="406"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5">
                      <a:extLst>
                        <a:ext uri="{28A0092B-C50C-407E-A947-70E740481C1C}"/>
                      </a:extLst>
                    </a:blip>
                    <a:srcRect/>
                    <a:stretch>
                      <a:fillRect/>
                    </a:stretch>
                  </pic:blipFill>
                  <pic:spPr bwMode="auto">
                    <a:xfrm>
                      <a:off x="0" y="0"/>
                      <a:ext cx="7290435" cy="37465"/>
                    </a:xfrm>
                    <a:prstGeom prst="rect">
                      <a:avLst/>
                    </a:prstGeom>
                    <a:noFill/>
                  </pic:spPr>
                </pic:pic>
              </a:graphicData>
            </a:graphic>
          </wp:anchor>
        </w:drawing>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Shares and the sale of Shares will be subject to and conditioned upon compliance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will have unilateral authority to amend the Plan and this RSU Agreement without Participant’s consent to the extent necessary to comply with securities or other laws applicable to issuance of Shares. Finally, the Shares issued pursuant to this RSU Agreement will be endorsed with appropriate legends, if any, determined by the Company.</w:t>
      </w:r>
    </w:p>
    <w:p>
      <w:pPr>
        <w:spacing w:after="0" w:line="173" w:lineRule="exact"/>
        <w:rPr>
          <w:rFonts w:ascii="Arial" w:cs="Arial" w:eastAsia="Arial" w:hAnsi="Arial"/>
          <w:sz w:val="17"/>
          <w:szCs w:val="17"/>
          <w:b w:val="1"/>
          <w:bCs w:val="1"/>
          <w:color w:val="auto"/>
        </w:rPr>
      </w:pPr>
    </w:p>
    <w:p>
      <w:pPr>
        <w:ind w:left="7" w:right="120" w:hanging="7"/>
        <w:spacing w:after="0" w:line="256" w:lineRule="auto"/>
        <w:tabs>
          <w:tab w:leader="none" w:pos="406"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 parties agree to renegotiate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w:t>
      </w:r>
    </w:p>
    <w:p>
      <w:pPr>
        <w:spacing w:after="0" w:line="183" w:lineRule="exact"/>
        <w:rPr>
          <w:rFonts w:ascii="Arial" w:cs="Arial" w:eastAsia="Arial" w:hAnsi="Arial"/>
          <w:sz w:val="18"/>
          <w:szCs w:val="18"/>
          <w:b w:val="1"/>
          <w:bCs w:val="1"/>
          <w:color w:val="auto"/>
        </w:rPr>
      </w:pPr>
    </w:p>
    <w:p>
      <w:pPr>
        <w:jc w:val="both"/>
        <w:ind w:left="7" w:right="60" w:hanging="7"/>
        <w:spacing w:after="0" w:line="338" w:lineRule="auto"/>
        <w:tabs>
          <w:tab w:leader="none" w:pos="406"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and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governed, construed, and interpreted in accordance with the laws of the State of Delaware, without giving effect to such state’s conflict of laws rules.</w:t>
      </w:r>
    </w:p>
    <w:p>
      <w:pPr>
        <w:spacing w:after="0" w:line="128" w:lineRule="exact"/>
        <w:rPr>
          <w:sz w:val="20"/>
          <w:szCs w:val="20"/>
          <w:color w:val="auto"/>
        </w:rPr>
      </w:pPr>
    </w:p>
    <w:p>
      <w:pPr>
        <w:ind w:left="7" w:firstLine="435"/>
        <w:spacing w:after="0" w:line="267" w:lineRule="auto"/>
        <w:rPr>
          <w:sz w:val="20"/>
          <w:szCs w:val="20"/>
          <w:color w:val="auto"/>
        </w:rPr>
      </w:pPr>
      <w:r>
        <w:rPr>
          <w:rFonts w:ascii="Arial" w:cs="Arial" w:eastAsia="Arial" w:hAnsi="Arial"/>
          <w:sz w:val="17"/>
          <w:szCs w:val="17"/>
          <w:color w:val="auto"/>
        </w:rPr>
        <w:t>Any and all disputes relating to, concerning or arising from this Agreement, or relating to, concerning, or arising from the relationship between the parties evidenced by the Plan or this Agreement, will be brought and heard exclusively in the U.S. District Court for the District of Massachusetts or the Massachusetts Superior Court, Middlesex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9" w:lineRule="exact"/>
        <w:rPr>
          <w:sz w:val="20"/>
          <w:szCs w:val="20"/>
          <w:color w:val="auto"/>
        </w:rPr>
      </w:pPr>
    </w:p>
    <w:p>
      <w:pPr>
        <w:ind w:left="7" w:right="400" w:hanging="7"/>
        <w:spacing w:after="0" w:line="274" w:lineRule="auto"/>
        <w:tabs>
          <w:tab w:leader="none" w:pos="406"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will affect in any manner whatsoever any right or power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or the Company to terminate Participant’s Service, for any reason, with or without Cause.</w:t>
      </w:r>
    </w:p>
    <w:p>
      <w:pPr>
        <w:spacing w:after="0" w:line="167" w:lineRule="exact"/>
        <w:rPr>
          <w:rFonts w:ascii="Arial" w:cs="Arial" w:eastAsia="Arial" w:hAnsi="Arial"/>
          <w:sz w:val="18"/>
          <w:szCs w:val="18"/>
          <w:b w:val="1"/>
          <w:bCs w:val="1"/>
          <w:color w:val="auto"/>
        </w:rPr>
      </w:pPr>
    </w:p>
    <w:p>
      <w:pPr>
        <w:ind w:left="7" w:right="140" w:hanging="7"/>
        <w:spacing w:after="0" w:line="288" w:lineRule="auto"/>
        <w:tabs>
          <w:tab w:leader="none" w:pos="406" w:val="left"/>
        </w:tabs>
        <w:numPr>
          <w:ilvl w:val="0"/>
          <w:numId w:val="2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Electronic Delivery of All Plan Documents and Disclosures</w:t>
      </w:r>
      <w:r>
        <w:rPr>
          <w:rFonts w:ascii="Arial" w:cs="Arial" w:eastAsia="Arial" w:hAnsi="Arial"/>
          <w:sz w:val="16"/>
          <w:szCs w:val="16"/>
          <w:b w:val="1"/>
          <w:bCs w:val="1"/>
          <w:color w:val="auto"/>
        </w:rPr>
        <w:t xml:space="preserve">. </w:t>
      </w:r>
      <w:r>
        <w:rPr>
          <w:rFonts w:ascii="Arial" w:cs="Arial" w:eastAsia="Arial" w:hAnsi="Arial"/>
          <w:sz w:val="16"/>
          <w:szCs w:val="16"/>
          <w:color w:val="auto"/>
        </w:rPr>
        <w:t>By Participant’s acceptance of the Notice (whether in writing or</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prior to executing this Notice and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w:t>
      </w:r>
    </w:p>
    <w:p>
      <w:pPr>
        <w:sectPr>
          <w:pgSz w:w="11900" w:h="16838" w:orient="portrait"/>
          <w:cols w:equalWidth="0" w:num="1">
            <w:col w:w="10867"/>
          </w:cols>
          <w:pgMar w:left="513" w:top="267" w:right="519" w:bottom="1440" w:gutter="0" w:footer="0" w:header="0"/>
        </w:sectPr>
      </w:pPr>
    </w:p>
    <w:bookmarkStart w:id="344" w:name="page345"/>
    <w:bookmarkEnd w:id="344"/>
    <w:p>
      <w:pPr>
        <w:ind w:left="7"/>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w:t>
      </w:r>
    </w:p>
    <w:p>
      <w:pPr>
        <w:spacing w:after="0" w:line="171" w:lineRule="exact"/>
        <w:rPr>
          <w:sz w:val="20"/>
          <w:szCs w:val="20"/>
          <w:color w:val="auto"/>
        </w:rPr>
      </w:pPr>
    </w:p>
    <w:p>
      <w:pPr>
        <w:ind w:left="7" w:right="40" w:hanging="7"/>
        <w:spacing w:after="0" w:line="268" w:lineRule="auto"/>
        <w:tabs>
          <w:tab w:leader="none" w:pos="406"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Insider Trading Restrictions/Market Abuse Laws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acknowledges that, depending on Participant’s country, Participant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insider trading restrictions and/or market abuse laws, which may affect Participant’s ability to acquire or sell the Shares or rights to Shares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173" w:lineRule="exact"/>
        <w:rPr>
          <w:rFonts w:ascii="Arial" w:cs="Arial" w:eastAsia="Arial" w:hAnsi="Arial"/>
          <w:sz w:val="17"/>
          <w:szCs w:val="17"/>
          <w:b w:val="1"/>
          <w:bCs w:val="1"/>
          <w:color w:val="auto"/>
        </w:rPr>
      </w:pPr>
    </w:p>
    <w:p>
      <w:pPr>
        <w:ind w:left="7" w:hanging="7"/>
        <w:spacing w:after="0" w:line="284" w:lineRule="auto"/>
        <w:tabs>
          <w:tab w:leader="none" w:pos="406"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a termination of employment will be determined consistent with the rules relating to a</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from service” as defined in Section 409A of the Internal Revenue Code and the regulations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Notwithstanding anything else provided herein, to the extent any payments provided under this RSU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(a) the expiration of the six (6) month period measured from Participant’s separation from service to the Employer or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RSU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5" w:lineRule="exact"/>
        <w:rPr>
          <w:rFonts w:ascii="Arial" w:cs="Arial" w:eastAsia="Arial" w:hAnsi="Arial"/>
          <w:sz w:val="16"/>
          <w:szCs w:val="16"/>
          <w:b w:val="1"/>
          <w:bCs w:val="1"/>
          <w:color w:val="auto"/>
        </w:rPr>
      </w:pPr>
    </w:p>
    <w:p>
      <w:pPr>
        <w:ind w:left="7" w:right="380" w:hanging="7"/>
        <w:spacing w:after="0" w:line="274" w:lineRule="auto"/>
        <w:tabs>
          <w:tab w:leader="none" w:pos="406"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applicable law, the RSUs will be subject to clawback or</w:t>
      </w:r>
      <w:r>
        <w:rPr>
          <w:rFonts w:ascii="Arial" w:cs="Arial" w:eastAsia="Arial" w:hAnsi="Arial"/>
          <w:sz w:val="18"/>
          <w:szCs w:val="18"/>
          <w:b w:val="1"/>
          <w:bCs w:val="1"/>
          <w:color w:val="auto"/>
        </w:rPr>
        <w:t xml:space="preserve"> </w:t>
      </w:r>
      <w:r>
        <w:rPr>
          <w:rFonts w:ascii="Arial" w:cs="Arial" w:eastAsia="Arial" w:hAnsi="Arial"/>
          <w:sz w:val="18"/>
          <w:szCs w:val="18"/>
          <w:color w:val="auto"/>
        </w:rPr>
        <w:t>recoupment pursuant to any compensation clawback or</w:t>
      </w:r>
    </w:p>
    <w:p>
      <w:pPr>
        <w:sectPr>
          <w:pgSz w:w="11900" w:h="16838" w:orient="portrait"/>
          <w:cols w:equalWidth="0" w:num="1">
            <w:col w:w="10867"/>
          </w:cols>
          <w:pgMar w:left="513" w:top="273" w:right="519" w:bottom="1440" w:gutter="0" w:footer="0" w:header="0"/>
        </w:sectPr>
      </w:pPr>
    </w:p>
    <w:bookmarkStart w:id="345" w:name="page346"/>
    <w:bookmarkEnd w:id="34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t>recoupment policy adopted by the Board or required by law during the term of Participant’s employment or other Service that is applicable to Participant. In addition to any other remedies available under such policy and applicable law, the Company may require the cancellation of Participant’s RSUs (whether vested or unvested) and the recoupment of any gains realized with respect to Participant’s RSUs.</w:t>
      </w:r>
    </w:p>
    <w:p>
      <w:pPr>
        <w:spacing w:after="0" w:line="172" w:lineRule="exact"/>
        <w:rPr>
          <w:sz w:val="20"/>
          <w:szCs w:val="20"/>
          <w:color w:val="auto"/>
        </w:rPr>
      </w:pPr>
    </w:p>
    <w:p>
      <w:pPr>
        <w:ind w:right="40" w:firstLine="435"/>
        <w:spacing w:after="0" w:line="267" w:lineRule="auto"/>
        <w:rPr>
          <w:sz w:val="20"/>
          <w:szCs w:val="20"/>
          <w:color w:val="auto"/>
        </w:rPr>
      </w:pPr>
      <w:r>
        <w:rPr>
          <w:rFonts w:ascii="Arial" w:cs="Arial" w:eastAsia="Arial" w:hAnsi="Arial"/>
          <w:sz w:val="18"/>
          <w:szCs w:val="18"/>
          <w:color w:val="auto"/>
        </w:rPr>
        <w:t>BY ACCEPTING THIS AWARD OF RSUS, PARTICIPANT AGREES TO ALL OF THE TERMS AND CONDITIONS DESCRIBED ABOVE AND IN THE PLAN.</w:t>
      </w:r>
    </w:p>
    <w:p>
      <w:pPr>
        <w:sectPr>
          <w:pgSz w:w="11900" w:h="16838" w:orient="portrait"/>
          <w:cols w:equalWidth="0" w:num="1">
            <w:col w:w="10800"/>
          </w:cols>
          <w:pgMar w:left="520" w:top="274" w:right="579" w:bottom="1440" w:gutter="0" w:footer="0" w:header="0"/>
        </w:sectPr>
      </w:pPr>
    </w:p>
    <w:bookmarkStart w:id="346" w:name="page347"/>
    <w:bookmarkEnd w:id="3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8">
                      <a:extLst>
                        <a:ext uri="{28A0092B-C50C-407E-A947-70E740481C1C}"/>
                      </a:extLst>
                    </a:blip>
                    <a:srcRect/>
                    <a:stretch>
                      <a:fillRect/>
                    </a:stretch>
                  </pic:blipFill>
                  <pic:spPr bwMode="auto">
                    <a:xfrm>
                      <a:off x="0" y="0"/>
                      <a:ext cx="7290435" cy="37465"/>
                    </a:xfrm>
                    <a:prstGeom prst="rect">
                      <a:avLst/>
                    </a:prstGeom>
                    <a:noFill/>
                  </pic:spPr>
                </pic:pic>
              </a:graphicData>
            </a:graphic>
          </wp:anchor>
        </w:drawing>
        <w:t>APPENDIX</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STOKE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2019 EQUITY INCENTIVE PLAN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COUNTRY SPECIFIC PROVISIONS FOR EMPLOYEES OUTSIDE THE 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Appendix includes additional terms and conditions that govern the RSUs granted to Participant under the Plan if Participant resides and/or works in one of the countries below. This Appendix forms part of the Agreement. Any capitalized term used in this Appendix without definition will have the meaning ascribed to it in the Notice, the Agreement, or the Plan, as applicable.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3"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w:t>
      </w:r>
    </w:p>
    <w:p>
      <w:pPr>
        <w:spacing w:after="0" w:line="1"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asset/account reporting, and other laws in effect in the respective countries as of [ ].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vests in the RSUs, sells Shares acquired under the Plan, or takes any other action in connection with the Plan.</w:t>
      </w:r>
    </w:p>
    <w:p>
      <w:pPr>
        <w:spacing w:after="0" w:line="19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8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ectPr>
          <w:pgSz w:w="11900" w:h="16838" w:orient="portrait"/>
          <w:cols w:equalWidth="0" w:num="1">
            <w:col w:w="10860"/>
          </w:cols>
          <w:pgMar w:left="520" w:top="267" w:right="519" w:bottom="1440" w:gutter="0" w:footer="0" w:header="0"/>
        </w:sectPr>
      </w:pPr>
    </w:p>
    <w:bookmarkStart w:id="347" w:name="page348"/>
    <w:bookmarkEnd w:id="3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APPENDIX</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STOKE THERAPEUTICS,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EQUITY INCENTIVE PLAN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COUNTRY SPECIFIC PROVISIONS FOR EMPLOYEES OUTSIDE THE U.S.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68" w:right="1440"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color w:val="auto"/>
        </w:rPr>
        <w:t>EXHIBIT 10.5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TOKE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3" w:lineRule="exact"/>
        <w:rPr>
          <w:sz w:val="20"/>
          <w:szCs w:val="20"/>
          <w:color w:val="auto"/>
        </w:rPr>
      </w:pPr>
    </w:p>
    <w:p>
      <w:pPr>
        <w:ind w:right="20" w:firstLine="428"/>
        <w:spacing w:after="0" w:line="282" w:lineRule="auto"/>
        <w:tabs>
          <w:tab w:leader="none" w:pos="746"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Establishment of Plan</w:t>
      </w:r>
      <w:r>
        <w:rPr>
          <w:rFonts w:ascii="Arial" w:cs="Arial" w:eastAsia="Arial" w:hAnsi="Arial"/>
          <w:sz w:val="16"/>
          <w:szCs w:val="16"/>
          <w:color w:val="auto"/>
        </w:rPr>
        <w:t>. Stoke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grant options to purchase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eligible employees of the Company and its Participating Corporations pursuant to this Plan. The Company intends this Plan to qualify as an “employee stock purchase plan” under Code Section 423 (including any amendments to or replacements of such Section), and this Plan will be so construed. Any term not expressly defined in this Plan but defined for purposes of Code Section 423 will have the same definition herein. However, with regard to offers of options for purchase of the Common Stock under the Plan to employees outside the United States working for a Subsidiary or an Affiliate, the Board may offer a subplan or an option that is not intended to meet the Code Section 423 requirements, provided, if necessary under Code Section 423, that the other terms and conditions of the Plan are met. Subject to Section 14, a total of Three Hundred and Fifteen Thousand (315,000) shares of Common Stock is reserved for issuance under this Plan. In addition, on each January 1 for the first ten (10) calendar years after the first Offering Date, the aggregate number of shares of Common Stock reserved for issuance under the Plan will be increased automatically by the number of shares equal to one percent (1%) of the total number of outstanding shares of all classes of common stock on the immediately preceding December 31 (</w:t>
      </w:r>
      <w:r>
        <w:rPr>
          <w:rFonts w:ascii="Arial" w:cs="Arial" w:eastAsia="Arial" w:hAnsi="Arial"/>
          <w:sz w:val="16"/>
          <w:szCs w:val="16"/>
          <w:u w:val="single" w:color="auto"/>
          <w:color w:val="auto"/>
        </w:rPr>
        <w:t>rounded down to the nearest whole 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or the Committee may in its sole discretion reduce the amount of the increase in any particular year;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aggregate number of shares issued over the term of this Plan will not exceed Three Million One Hundred and Fifty Thousand (3,150,000) shares of Common Stock. The number of shares reserved for issuance under this Plan and the maximum number of shares that may be issued under this Plan will be subject to adjustments effected in accordance with Section 14 of this Plan. Capitalized terms not defined elsewhere in the text are defined in Section 27.</w:t>
      </w:r>
    </w:p>
    <w:p>
      <w:pPr>
        <w:spacing w:after="0" w:line="170" w:lineRule="exact"/>
        <w:rPr>
          <w:rFonts w:ascii="Arial" w:cs="Arial" w:eastAsia="Arial" w:hAnsi="Arial"/>
          <w:sz w:val="16"/>
          <w:szCs w:val="16"/>
          <w:b w:val="1"/>
          <w:bCs w:val="1"/>
          <w:color w:val="auto"/>
        </w:rPr>
      </w:pPr>
    </w:p>
    <w:p>
      <w:pPr>
        <w:ind w:right="80" w:firstLine="428"/>
        <w:spacing w:after="0" w:line="260" w:lineRule="auto"/>
        <w:tabs>
          <w:tab w:leader="none" w:pos="746"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Plan is to provide eligible employees of the Company and Participating Corporations with a means of acquiring</w:t>
      </w:r>
      <w:r>
        <w:rPr>
          <w:rFonts w:ascii="Arial" w:cs="Arial" w:eastAsia="Arial" w:hAnsi="Arial"/>
          <w:sz w:val="18"/>
          <w:szCs w:val="18"/>
          <w:b w:val="1"/>
          <w:bCs w:val="1"/>
          <w:color w:val="auto"/>
        </w:rPr>
        <w:t xml:space="preserve"> </w:t>
      </w:r>
      <w:r>
        <w:rPr>
          <w:rFonts w:ascii="Arial" w:cs="Arial" w:eastAsia="Arial" w:hAnsi="Arial"/>
          <w:sz w:val="18"/>
          <w:szCs w:val="18"/>
          <w:color w:val="auto"/>
        </w:rPr>
        <w:t>an equity interest in the Company through payroll deductions, to enhance such employees’ sense of participation in the affairs of the Company and Participating Corporations, and to provide an incentive for continued employment.</w:t>
      </w:r>
    </w:p>
    <w:p>
      <w:pPr>
        <w:spacing w:after="0" w:line="287" w:lineRule="exact"/>
        <w:rPr>
          <w:rFonts w:ascii="Arial" w:cs="Arial" w:eastAsia="Arial" w:hAnsi="Arial"/>
          <w:sz w:val="18"/>
          <w:szCs w:val="18"/>
          <w:b w:val="1"/>
          <w:bCs w:val="1"/>
          <w:color w:val="auto"/>
        </w:rPr>
      </w:pPr>
    </w:p>
    <w:p>
      <w:pPr>
        <w:ind w:left="740" w:hanging="312"/>
        <w:spacing w:after="0"/>
        <w:tabs>
          <w:tab w:leader="none" w:pos="7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119"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Plan will be administered by the Compensation Committee of the Board or by the Board (either referred to herein as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Subject to the provisions of this Plan and the limitations of Section 423 of the Code or any successor provision in the Code, all questions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of interpretation or application of this Plan will be determined by the Committee and its decisions will be final and binding upon all Participants.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Committee will have full and exclusive discretionary authority to construe, interpret, and apply the terms of the Plan, to determine eligibility and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determine which entities shall be Participating Corporations, and to decide upon any and all claims filed under the Plan. Every finding, decision,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determination made by the Committee will, to the full extent permitted by law, be final and binding upon all parties. The Committee will have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authority to determine the Fair Market Value of the Common Stock (which determination will be final, binding, and conclusive for all purposes) in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Section 8 below and to interpret Section 8 of the Plan in connection with circumstances that impact the Fair Market Value. Members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Committee will receive no compensation for their services in connection with the administration of this Plan, other than standard fees as established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by the Board for services rendered by Board members serving on the Board or its committees. All expenses incurred in connection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with the administration of this Plan will be paid by the Company. For purposes of this Plan, the Committee may designate separate offerings under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Plan (the terms of which need not be identical) in which eligible employees of one or more Participating Corporations will participate, even if the dates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of the applicable Offering Periods of each such offering are identical. The Committee may also establish rules to govern transfers of employment among</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any Participating Corporation, consistent with the applicable requirements of Code Section 423 and the terms of the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520" w:top="127" w:right="499" w:bottom="1440" w:gutter="0" w:footer="0" w:header="0"/>
        </w:sectPr>
      </w:pPr>
    </w:p>
    <w:bookmarkStart w:id="349" w:name="page350"/>
    <w:bookmarkEnd w:id="349"/>
    <w:p>
      <w:pPr>
        <w:ind w:right="80" w:firstLine="864"/>
        <w:spacing w:after="0" w:line="284" w:lineRule="auto"/>
        <w:tabs>
          <w:tab w:leader="none" w:pos="1252" w:val="left"/>
        </w:tabs>
        <w:numPr>
          <w:ilvl w:val="1"/>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t xml:space="preserve">The Committee may adopt such rules, procedures, and sub-plans as are necessary or appropriate to permit the participation in the Plan by eligible employees who are citizens or residents of a jurisdiction and/or employed outside the United States, the terms of which sub-plans may take precedence over other provisions of this Plan, with the exception of the provisions in Section 1 above setting forth the number of shares of Common Stock reserved for issuance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superseded by the terms of such sub-plan, the provisions of this Plan shall govern the operation of such sub-plan. Further, the Committee is specifically authorized to adopt rules and procedures regarding the application of the definition of Compensation (as defined in Section 9(a) below) to participants on payrolls outside of the United States, handling of payroll deductions and other contributions, taking of payroll deductions and making of other contributions to the Plan, establishment of bank or trust accounts to hold contributions, payment of interest, establishment of the exchange rate applicable to payroll deductions taken and other contributions made in a currency other than U.S. dollars, obligations to pay payroll tax, determination of beneficiary designation requirements, tax withholding procedures, and handling of stock certificates that vary with applicable local requirements.</w:t>
      </w:r>
    </w:p>
    <w:p>
      <w:pPr>
        <w:spacing w:after="0" w:line="163" w:lineRule="exact"/>
        <w:rPr>
          <w:rFonts w:ascii="Arial" w:cs="Arial" w:eastAsia="Arial" w:hAnsi="Arial"/>
          <w:sz w:val="16"/>
          <w:szCs w:val="16"/>
          <w:color w:val="auto"/>
        </w:rPr>
      </w:pPr>
    </w:p>
    <w:p>
      <w:pPr>
        <w:ind w:right="280" w:firstLine="428"/>
        <w:spacing w:after="0" w:line="274" w:lineRule="auto"/>
        <w:tabs>
          <w:tab w:leader="none" w:pos="74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Any employee of the Company or the Participating Corporations is eligible to participate in an Offering Period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the following (other than where prohibited by applicable law):</w:t>
      </w:r>
    </w:p>
    <w:p>
      <w:pPr>
        <w:spacing w:after="0" w:line="173" w:lineRule="exact"/>
        <w:rPr>
          <w:rFonts w:ascii="Arial" w:cs="Arial" w:eastAsia="Arial" w:hAnsi="Arial"/>
          <w:sz w:val="18"/>
          <w:szCs w:val="18"/>
          <w:b w:val="1"/>
          <w:bCs w:val="1"/>
          <w:color w:val="auto"/>
        </w:rPr>
      </w:pPr>
    </w:p>
    <w:p>
      <w:pPr>
        <w:ind w:right="340" w:firstLine="864"/>
        <w:spacing w:after="0" w:line="267" w:lineRule="auto"/>
        <w:tabs>
          <w:tab w:leader="none" w:pos="1245"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79" w:lineRule="exact"/>
        <w:rPr>
          <w:rFonts w:ascii="Arial" w:cs="Arial" w:eastAsia="Arial" w:hAnsi="Arial"/>
          <w:sz w:val="18"/>
          <w:szCs w:val="18"/>
          <w:color w:val="auto"/>
        </w:rPr>
      </w:pPr>
    </w:p>
    <w:p>
      <w:pPr>
        <w:ind w:left="1240" w:hanging="376"/>
        <w:spacing w:after="0"/>
        <w:tabs>
          <w:tab w:leader="none" w:pos="124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employees who are customarily employed for twenty (20) or less hours per week (unless determined otherwise by the Committee);</w:t>
      </w:r>
    </w:p>
    <w:p>
      <w:pPr>
        <w:spacing w:after="0" w:line="242" w:lineRule="exact"/>
        <w:rPr>
          <w:rFonts w:ascii="Arial" w:cs="Arial" w:eastAsia="Arial" w:hAnsi="Arial"/>
          <w:sz w:val="16"/>
          <w:szCs w:val="16"/>
          <w:color w:val="auto"/>
        </w:rPr>
      </w:pPr>
    </w:p>
    <w:p>
      <w:pPr>
        <w:ind w:left="1240" w:hanging="376"/>
        <w:spacing w:after="0"/>
        <w:tabs>
          <w:tab w:leader="none" w:pos="124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employees who are customarily employed for five (5) months or less in a calendar year(unless determined otherwise by the</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Committee);</w:t>
      </w:r>
    </w:p>
    <w:p>
      <w:pPr>
        <w:spacing w:after="0" w:line="208" w:lineRule="exact"/>
        <w:rPr>
          <w:rFonts w:ascii="Arial" w:cs="Arial" w:eastAsia="Arial" w:hAnsi="Arial"/>
          <w:sz w:val="17"/>
          <w:szCs w:val="17"/>
          <w:color w:val="auto"/>
        </w:rPr>
      </w:pPr>
    </w:p>
    <w:p>
      <w:pPr>
        <w:ind w:firstLine="864"/>
        <w:spacing w:after="0" w:line="252" w:lineRule="auto"/>
        <w:tabs>
          <w:tab w:leader="none" w:pos="1255"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employees who, together with any other person whose stock would be attributed to such employee pursuant to Section 424(d) of the Code, own stock or hold options to purchase stock possessing five percent (5%) or more of the total combined voting power or value of all classes of stock of the Company or any of its Participating Corporations or who, as a result of being granted an option under this Plan with respect to such Offering Period, would own stock or hold options to purchase stock possessing five percent (5%) or more of the total combined voting power or value of all classes of stock of the Company or any of its Participating Corporations;</w:t>
      </w:r>
    </w:p>
    <w:p>
      <w:pPr>
        <w:spacing w:after="0" w:line="193" w:lineRule="exact"/>
        <w:rPr>
          <w:rFonts w:ascii="Arial" w:cs="Arial" w:eastAsia="Arial" w:hAnsi="Arial"/>
          <w:sz w:val="18"/>
          <w:szCs w:val="18"/>
          <w:color w:val="auto"/>
        </w:rPr>
      </w:pPr>
    </w:p>
    <w:p>
      <w:pPr>
        <w:ind w:right="180" w:firstLine="864"/>
        <w:spacing w:after="0" w:line="267" w:lineRule="auto"/>
        <w:tabs>
          <w:tab w:leader="none" w:pos="1245"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employees who do not meet any other eligibility requirements that the Committee may choose to impose (within the limits permitted by the Code and other applicable laws); and</w:t>
      </w:r>
    </w:p>
    <w:p>
      <w:pPr>
        <w:spacing w:after="0" w:line="179" w:lineRule="exact"/>
        <w:rPr>
          <w:rFonts w:ascii="Arial" w:cs="Arial" w:eastAsia="Arial" w:hAnsi="Arial"/>
          <w:sz w:val="18"/>
          <w:szCs w:val="18"/>
          <w:color w:val="auto"/>
        </w:rPr>
      </w:pPr>
    </w:p>
    <w:p>
      <w:pPr>
        <w:ind w:right="740" w:firstLine="864"/>
        <w:spacing w:after="0" w:line="297" w:lineRule="auto"/>
        <w:tabs>
          <w:tab w:leader="none" w:pos="1226" w:val="left"/>
        </w:tabs>
        <w:numPr>
          <w:ilvl w:val="1"/>
          <w:numId w:val="297"/>
        </w:numPr>
        <w:rPr>
          <w:rFonts w:ascii="Arial" w:cs="Arial" w:eastAsia="Arial" w:hAnsi="Arial"/>
          <w:sz w:val="17"/>
          <w:szCs w:val="17"/>
          <w:color w:val="auto"/>
        </w:rPr>
      </w:pPr>
      <w:r>
        <w:rPr>
          <w:rFonts w:ascii="Arial" w:cs="Arial" w:eastAsia="Arial" w:hAnsi="Arial"/>
          <w:sz w:val="17"/>
          <w:szCs w:val="17"/>
          <w:color w:val="auto"/>
        </w:rPr>
        <w:t xml:space="preserve">individuals who provide services to the Company or any of its Participating Corporations as independent contractors who are reclassified as common law employees for any reason </w:t>
      </w:r>
      <w:r>
        <w:rPr>
          <w:rFonts w:ascii="Arial" w:cs="Arial" w:eastAsia="Arial" w:hAnsi="Arial"/>
          <w:sz w:val="17"/>
          <w:szCs w:val="17"/>
          <w:u w:val="single" w:color="auto"/>
          <w:color w:val="auto"/>
        </w:rPr>
        <w:t>except for</w:t>
      </w:r>
      <w:r>
        <w:rPr>
          <w:rFonts w:ascii="Arial" w:cs="Arial" w:eastAsia="Arial" w:hAnsi="Arial"/>
          <w:sz w:val="17"/>
          <w:szCs w:val="17"/>
          <w:color w:val="auto"/>
        </w:rPr>
        <w:t xml:space="preserve"> federal income and employment tax purposes.</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foregoing notwithstanding, an individual will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520" w:top="273" w:right="519" w:bottom="1440" w:gutter="0" w:footer="0" w:header="0"/>
        </w:sectPr>
      </w:pPr>
    </w:p>
    <w:bookmarkStart w:id="350" w:name="page351"/>
    <w:bookmarkEnd w:id="350"/>
    <w:p>
      <w:pPr>
        <w:ind w:right="120" w:firstLine="428"/>
        <w:spacing w:after="0" w:line="251" w:lineRule="auto"/>
        <w:tabs>
          <w:tab w:leader="none" w:pos="746"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t>Offering Dates</w:t>
      </w:r>
      <w:r>
        <w:rPr>
          <w:rFonts w:ascii="Arial" w:cs="Arial" w:eastAsia="Arial" w:hAnsi="Arial"/>
          <w:sz w:val="18"/>
          <w:szCs w:val="18"/>
          <w:color w:val="auto"/>
        </w:rPr>
        <w:t>. While the Plan is in effect, the Committee will determine the duration and commencement date of each Offering Period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Offering Period will in no event be longer than twenty-seven (27) months, except as otherwise provided by an applicable subplan. Offering Periods may be consecutive or overlapping. Each Offering Period may consist of one or more Purchase Periods during which payroll deductions of Participants are accumulated under this Plan. While the Plan is in effect, the Committee will determine the duration and commencement date of each Offering Period and Purchase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Purchase Period will in no event end later than the close of the Offering Period in which it begins. Purchase Periods will be consecutive. The Committee shall have the power to change these terms as provided in Section 25 below.</w:t>
      </w:r>
    </w:p>
    <w:p>
      <w:pPr>
        <w:spacing w:after="0" w:line="298" w:lineRule="exact"/>
        <w:rPr>
          <w:rFonts w:ascii="Arial" w:cs="Arial" w:eastAsia="Arial" w:hAnsi="Arial"/>
          <w:sz w:val="18"/>
          <w:szCs w:val="18"/>
          <w:b w:val="1"/>
          <w:bCs w:val="1"/>
          <w:color w:val="auto"/>
        </w:rPr>
      </w:pPr>
    </w:p>
    <w:p>
      <w:pPr>
        <w:ind w:left="740" w:hanging="312"/>
        <w:spacing w:after="0"/>
        <w:tabs>
          <w:tab w:leader="none" w:pos="74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firstLine="864"/>
        <w:spacing w:after="0" w:line="256" w:lineRule="auto"/>
        <w:tabs>
          <w:tab w:leader="none" w:pos="1245" w:val="left"/>
        </w:tabs>
        <w:numPr>
          <w:ilvl w:val="1"/>
          <w:numId w:val="298"/>
        </w:numPr>
        <w:rPr>
          <w:rFonts w:ascii="Arial" w:cs="Arial" w:eastAsia="Arial" w:hAnsi="Arial"/>
          <w:sz w:val="18"/>
          <w:szCs w:val="18"/>
          <w:color w:val="auto"/>
        </w:rPr>
      </w:pPr>
      <w:r>
        <w:rPr>
          <w:rFonts w:ascii="Arial" w:cs="Arial" w:eastAsia="Arial" w:hAnsi="Arial"/>
          <w:sz w:val="18"/>
          <w:szCs w:val="18"/>
          <w:b w:val="1"/>
          <w:bCs w:val="1"/>
          <w:color w:val="auto"/>
        </w:rPr>
        <w:t>Enrollment</w:t>
      </w:r>
      <w:r>
        <w:rPr>
          <w:rFonts w:ascii="Arial" w:cs="Arial" w:eastAsia="Arial" w:hAnsi="Arial"/>
          <w:sz w:val="18"/>
          <w:szCs w:val="18"/>
          <w:color w:val="auto"/>
        </w:rPr>
        <w:t>. Any employee who is an eligible employee determined in accordance with Section 4 may elect to become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by submitting a subscription agreement, or electronic representation thereof, to the Company and/or via an authorized third party administrator (the “</w:t>
      </w:r>
      <w:r>
        <w:rPr>
          <w:rFonts w:ascii="Arial" w:cs="Arial" w:eastAsia="Arial" w:hAnsi="Arial"/>
          <w:sz w:val="18"/>
          <w:szCs w:val="18"/>
          <w:b w:val="1"/>
          <w:bCs w:val="1"/>
          <w:i w:val="1"/>
          <w:iCs w:val="1"/>
          <w:color w:val="auto"/>
        </w:rPr>
        <w:t>Third Party Administrator</w:t>
      </w:r>
      <w:r>
        <w:rPr>
          <w:rFonts w:ascii="Arial" w:cs="Arial" w:eastAsia="Arial" w:hAnsi="Arial"/>
          <w:sz w:val="18"/>
          <w:szCs w:val="18"/>
          <w:color w:val="auto"/>
        </w:rPr>
        <w:t>”)’s standard process, prior to the commencement of the Offering Period to which such agreement relates in accordance with such rules as the Committee may determine.</w:t>
      </w:r>
    </w:p>
    <w:p>
      <w:pPr>
        <w:spacing w:after="0" w:line="183" w:lineRule="exact"/>
        <w:rPr>
          <w:rFonts w:ascii="Arial" w:cs="Arial" w:eastAsia="Arial" w:hAnsi="Arial"/>
          <w:sz w:val="18"/>
          <w:szCs w:val="18"/>
          <w:color w:val="auto"/>
        </w:rPr>
      </w:pPr>
    </w:p>
    <w:p>
      <w:pPr>
        <w:ind w:right="60" w:firstLine="864"/>
        <w:spacing w:after="0" w:line="267" w:lineRule="auto"/>
        <w:tabs>
          <w:tab w:leader="none" w:pos="1255" w:val="left"/>
        </w:tabs>
        <w:numPr>
          <w:ilvl w:val="1"/>
          <w:numId w:val="298"/>
        </w:numPr>
        <w:rPr>
          <w:rFonts w:ascii="Arial" w:cs="Arial" w:eastAsia="Arial" w:hAnsi="Arial"/>
          <w:sz w:val="17"/>
          <w:szCs w:val="17"/>
          <w:color w:val="auto"/>
        </w:rPr>
      </w:pPr>
      <w:r>
        <w:rPr>
          <w:rFonts w:ascii="Arial" w:cs="Arial" w:eastAsia="Arial" w:hAnsi="Arial"/>
          <w:sz w:val="17"/>
          <w:szCs w:val="17"/>
          <w:b w:val="1"/>
          <w:bCs w:val="1"/>
          <w:color w:val="auto"/>
        </w:rPr>
        <w:t>Continued Enrollment in Offering Periods</w:t>
      </w:r>
      <w:r>
        <w:rPr>
          <w:rFonts w:ascii="Arial" w:cs="Arial" w:eastAsia="Arial" w:hAnsi="Arial"/>
          <w:sz w:val="17"/>
          <w:szCs w:val="17"/>
          <w:color w:val="auto"/>
        </w:rPr>
        <w:t>. Once an employee becomes a Participant in an Offering Period, then such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will automatically participate in each subsequent Offering Period commencing immediately following the last day of such prior Offering Period at the same contribution level unless the Participant withdraws or is deemed to withdraw from this Plan or terminates further participation in the Offering Period as set forth in Section 11 below or otherwise notifies the Company of a change in the Participant’s contribution level by filing an additional subscription agreement or electronic representation thereof with the Company and/or the Third Party Administrator, prior to the next Offering Period. A Participant that is automatically enrolled in a subsequent Offering Period pursuant to this section (i) is not required to file any additional subscription agreement in order to continue participation in this Plan, and (ii) will be deemed to have accepted the terms and conditions of the Plan, any sub-plan, and subscription agreement in effect at the time each subsequent Offering Period begins, subject to Participant’s right to withdraw from the Plan in accordance with the withdrawal procedures in effect at the time.</w:t>
      </w:r>
    </w:p>
    <w:p>
      <w:pPr>
        <w:spacing w:after="0" w:line="176" w:lineRule="exact"/>
        <w:rPr>
          <w:rFonts w:ascii="Arial" w:cs="Arial" w:eastAsia="Arial" w:hAnsi="Arial"/>
          <w:sz w:val="17"/>
          <w:szCs w:val="17"/>
          <w:color w:val="auto"/>
        </w:rPr>
      </w:pPr>
    </w:p>
    <w:p>
      <w:pPr>
        <w:ind w:firstLine="428"/>
        <w:spacing w:after="0" w:line="285" w:lineRule="auto"/>
        <w:tabs>
          <w:tab w:leader="none" w:pos="746" w:val="left"/>
        </w:tabs>
        <w:numPr>
          <w:ilvl w:val="0"/>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 on Enrollment</w:t>
      </w:r>
      <w:r>
        <w:rPr>
          <w:rFonts w:ascii="Arial" w:cs="Arial" w:eastAsia="Arial" w:hAnsi="Arial"/>
          <w:sz w:val="16"/>
          <w:szCs w:val="16"/>
          <w:color w:val="auto"/>
        </w:rPr>
        <w:t>. Becoming a Participant with respect to an Offering Period will constitute the grant (as of the Offering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Company to such Participant of an option to purchase on the Purchase Date up to that number of shares of Common Stock determined by a fraction, the numerator of which is the amount of the contribution level for such Participant multiplied by such Participant’s Compensation (as defined in Section 9 below) during such Purchase Period and the denominator of which is the lower of (a) eighty-five percent (85%) of the Fair Market Value of a share of the Common Stock on the Offering Date (but in no event less than the par value of a share of the Company’s Common Stock), or (b) eighty-five percent (85%) of the Fair Market Value of a share of the Common Stock on the Purchase Date (but in no event less than the par value of a share of the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 that the number of shares of Common Stock subject to any option granted pursuant to this Plan will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67" w:lineRule="exact"/>
        <w:rPr>
          <w:rFonts w:ascii="Arial" w:cs="Arial" w:eastAsia="Arial" w:hAnsi="Arial"/>
          <w:sz w:val="16"/>
          <w:szCs w:val="16"/>
          <w:b w:val="1"/>
          <w:bCs w:val="1"/>
          <w:color w:val="auto"/>
        </w:rPr>
      </w:pPr>
    </w:p>
    <w:p>
      <w:pPr>
        <w:ind w:left="740" w:hanging="312"/>
        <w:spacing w:after="0"/>
        <w:tabs>
          <w:tab w:leader="none" w:pos="74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in any Offering Period will be eighty-five percent (85%) of the lesser of:</w:t>
      </w:r>
    </w:p>
    <w:p>
      <w:pPr>
        <w:spacing w:after="0" w:line="225" w:lineRule="exact"/>
        <w:rPr>
          <w:rFonts w:ascii="Arial" w:cs="Arial" w:eastAsia="Arial" w:hAnsi="Arial"/>
          <w:sz w:val="18"/>
          <w:szCs w:val="18"/>
          <w:b w:val="1"/>
          <w:bCs w:val="1"/>
          <w:color w:val="auto"/>
        </w:rPr>
      </w:pPr>
    </w:p>
    <w:p>
      <w:pPr>
        <w:ind w:left="1240" w:hanging="376"/>
        <w:spacing w:after="0"/>
        <w:tabs>
          <w:tab w:leader="none" w:pos="12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219" w:lineRule="exact"/>
        <w:rPr>
          <w:rFonts w:ascii="Arial" w:cs="Arial" w:eastAsia="Arial" w:hAnsi="Arial"/>
          <w:sz w:val="18"/>
          <w:szCs w:val="18"/>
          <w:color w:val="auto"/>
        </w:rPr>
      </w:pPr>
    </w:p>
    <w:p>
      <w:pPr>
        <w:ind w:left="1240" w:hanging="376"/>
        <w:spacing w:after="0"/>
        <w:tabs>
          <w:tab w:leader="none" w:pos="12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520" w:top="268" w:right="519" w:bottom="1440" w:gutter="0" w:footer="0" w:header="0"/>
        </w:sectPr>
      </w:pPr>
    </w:p>
    <w:bookmarkStart w:id="351" w:name="page352"/>
    <w:bookmarkEnd w:id="351"/>
    <w:p>
      <w:pPr>
        <w:ind w:left="740" w:hanging="312"/>
        <w:spacing w:after="0"/>
        <w:tabs>
          <w:tab w:leader="none" w:pos="7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t>Payment of Purchase Price; Payroll Deduction Changes; Share Issuances</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firstLine="864"/>
        <w:spacing w:after="0" w:line="283" w:lineRule="auto"/>
        <w:tabs>
          <w:tab w:leader="none" w:pos="1242"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The Purchase Price of the shares is accumulated by regular payroll deductions made during each Offering Period, unless the Committee determines that contributions may be, or are required to be, made in another form (due to local law requirements, in another form with respect to categories of Participants outside the United States). The deductions are made as a percentage of the Participant’s compensation in one percent (1%) increments not less than one percent (1%), nor greater than fifteen percent (15%) or such lower limit set by the Committee.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means base salary, and regular hourly wages (or in foreign jurisdictions, equivalent cash compensation); however, the Committee may at any time prior to the beginning of an Offering Period determine that for that and future Offering Periods, Compensation means base salary or regular hourly wages, bonuses, cash incentive compensation, sales commissions, overtime, shift premiums, plus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salary deductions) will be treated as if the Participant did not make such election. Payroll deductions shall commence on the first payday following the beginning of any Offering Period, and shall continue to the end of the applicable Offering Period unless sooner altered or terminated as provided in this Plan. Notwithstanding the foregoing, the terms of any subplan may permit matching shares without the payment of any purchase price.</w:t>
      </w:r>
    </w:p>
    <w:p>
      <w:pPr>
        <w:spacing w:after="0" w:line="170" w:lineRule="exact"/>
        <w:rPr>
          <w:rFonts w:ascii="Arial" w:cs="Arial" w:eastAsia="Arial" w:hAnsi="Arial"/>
          <w:sz w:val="16"/>
          <w:szCs w:val="16"/>
          <w:color w:val="auto"/>
        </w:rPr>
      </w:pPr>
    </w:p>
    <w:p>
      <w:pPr>
        <w:ind w:right="80" w:firstLine="864"/>
        <w:spacing w:after="0" w:line="250" w:lineRule="auto"/>
        <w:tabs>
          <w:tab w:leader="none" w:pos="125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Subject to Section 25 below and to the rules of the Committee, a Participant may decrease the rate of payroll deductions during an Offering Period by filing with the Company and/or the Third Party Administrator a new authorization for payroll deductions, with the new rate to become effective as soon as reasonably practicable and continuing for the remainder of the Offering Period unless changed as described below. A decrease in the rate of payroll deductions may be made once during an Offering Period or more or less frequently under rules determined by the Committee. An increase in the rate of payroll deductions may not be made during an Offering Period unless otherwise determined by the Committee. A Participant may increase or decrease the rate of payroll deductions for any subsequent Offering Period by filing with the Company and/or the Third Party Administrator a new authorization for payroll deductions prior to the beginning of such Offering Period, or such other time period as may be specified by the Committee.</w:t>
      </w:r>
    </w:p>
    <w:p>
      <w:pPr>
        <w:spacing w:after="0" w:line="195" w:lineRule="exact"/>
        <w:rPr>
          <w:rFonts w:ascii="Arial" w:cs="Arial" w:eastAsia="Arial" w:hAnsi="Arial"/>
          <w:sz w:val="18"/>
          <w:szCs w:val="18"/>
          <w:color w:val="auto"/>
        </w:rPr>
      </w:pPr>
    </w:p>
    <w:p>
      <w:pPr>
        <w:ind w:firstLine="864"/>
        <w:spacing w:after="0" w:line="269" w:lineRule="auto"/>
        <w:tabs>
          <w:tab w:leader="none" w:pos="1245" w:val="left"/>
        </w:tabs>
        <w:numPr>
          <w:ilvl w:val="1"/>
          <w:numId w:val="299"/>
        </w:numPr>
        <w:rPr>
          <w:rFonts w:ascii="Arial" w:cs="Arial" w:eastAsia="Arial" w:hAnsi="Arial"/>
          <w:sz w:val="17"/>
          <w:szCs w:val="17"/>
          <w:color w:val="auto"/>
        </w:rPr>
      </w:pPr>
      <w:r>
        <w:rPr>
          <w:rFonts w:ascii="Arial" w:cs="Arial" w:eastAsia="Arial" w:hAnsi="Arial"/>
          <w:sz w:val="17"/>
          <w:szCs w:val="17"/>
          <w:color w:val="auto"/>
        </w:rPr>
        <w:t>Subject to Section 25 below and to the rules of the Committee, a Participant may reduce his or her payroll deduction percentage to zero during an Offering Period by filing with the Company a request for cessation of payroll deductions, and after such reduction becomes effective no further payroll deductions will be made for the duration of the Offering Period. Payroll deductions credited to the Participant’s account prior to the effective date of the request will be used to purchase shares of Common Stock in accordance with Section (e) below. A reduction of the payroll deduction percentage to zero will be treated as such Participant’s withdrawal from such Offering Period, and the Plan, effective as of the day after the next Purchase Date following the filing date of such request with the Company.</w:t>
      </w:r>
    </w:p>
    <w:p>
      <w:pPr>
        <w:spacing w:after="0" w:line="178" w:lineRule="exact"/>
        <w:rPr>
          <w:rFonts w:ascii="Arial" w:cs="Arial" w:eastAsia="Arial" w:hAnsi="Arial"/>
          <w:sz w:val="17"/>
          <w:szCs w:val="17"/>
          <w:color w:val="auto"/>
        </w:rPr>
      </w:pPr>
    </w:p>
    <w:p>
      <w:pPr>
        <w:jc w:val="both"/>
        <w:ind w:right="20" w:firstLine="864"/>
        <w:spacing w:after="0" w:line="270" w:lineRule="auto"/>
        <w:tabs>
          <w:tab w:leader="none" w:pos="1245" w:val="left"/>
        </w:tabs>
        <w:numPr>
          <w:ilvl w:val="1"/>
          <w:numId w:val="299"/>
        </w:numPr>
        <w:rPr>
          <w:rFonts w:ascii="Arial" w:cs="Arial" w:eastAsia="Arial" w:hAnsi="Arial"/>
          <w:sz w:val="17"/>
          <w:szCs w:val="17"/>
          <w:color w:val="auto"/>
        </w:rPr>
      </w:pPr>
      <w:r>
        <w:rPr>
          <w:rFonts w:ascii="Arial" w:cs="Arial" w:eastAsia="Arial" w:hAnsi="Arial"/>
          <w:sz w:val="17"/>
          <w:szCs w:val="17"/>
          <w:color w:val="auto"/>
        </w:rPr>
        <w:t>All payroll deductions made for a Participant are credited to his or her account under this Plan and are deposited with the general funds of the Company, and the Company will not be obligated to segregate such payroll deductions, except to the extent required to be segregated due to local legal restrictions outside the United States. No interest accrues on the payroll deductions except to the extent required due to local legal requirements outside the United States. All payroll deductions received or held by the Company may be used by the Company for any corporate purpose, except to the extent necessary to comply with local legal requirements outside the United States.</w:t>
      </w:r>
    </w:p>
    <w:p>
      <w:pPr>
        <w:spacing w:after="0" w:line="180" w:lineRule="exact"/>
        <w:rPr>
          <w:rFonts w:ascii="Arial" w:cs="Arial" w:eastAsia="Arial" w:hAnsi="Arial"/>
          <w:sz w:val="17"/>
          <w:szCs w:val="17"/>
          <w:color w:val="auto"/>
        </w:rPr>
      </w:pPr>
    </w:p>
    <w:p>
      <w:pPr>
        <w:ind w:right="680" w:firstLine="864"/>
        <w:spacing w:after="0" w:line="267" w:lineRule="auto"/>
        <w:tabs>
          <w:tab w:leader="none" w:pos="124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On each Purchase Date, so long as this Plan remains in effect and provided that the Participant has not submitted a signed and completed withdrawal form before that date which notifies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520" w:top="268" w:right="519" w:bottom="1440" w:gutter="0" w:footer="0" w:header="0"/>
        </w:sectPr>
      </w:pPr>
    </w:p>
    <w:bookmarkStart w:id="352" w:name="page353"/>
    <w:bookmarkEnd w:id="352"/>
    <w:p>
      <w:pPr>
        <w:ind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3">
                      <a:extLst>
                        <a:ext uri="{28A0092B-C50C-407E-A947-70E740481C1C}"/>
                      </a:extLst>
                    </a:blip>
                    <a:srcRect/>
                    <a:stretch>
                      <a:fillRect/>
                    </a:stretch>
                  </pic:blipFill>
                  <pic:spPr bwMode="auto">
                    <a:xfrm>
                      <a:off x="0" y="0"/>
                      <a:ext cx="7290435" cy="38100"/>
                    </a:xfrm>
                    <a:prstGeom prst="rect">
                      <a:avLst/>
                    </a:prstGeom>
                    <a:noFill/>
                  </pic:spPr>
                </pic:pic>
              </a:graphicData>
            </a:graphic>
          </wp:anchor>
        </w:drawing>
        <w:t>Company and/or the Third Party Administrator that the Participant wishes to withdraw from that Offering Period under this Plan and have all payroll deductions accumulated in the account maintained on behalf of the Participant as of that date returned to the Participant, the Company will apply the funds then in the Participant’s account to the purchase of whole shares of Common Stock reserved under the option granted to such Participant with respect to the Offering Period to the extent that such option is exercisable on the Purchase Date. The Purchase Price will be as specified in Section 8 of this Plan. Any amount remaining in a Participant’s account on a Purchase Date which is less than the amount necessary to purchase a full share of Common Stock will be carried forward into the next Purchase Period or Offering Period, as the case may be (except to the extent required due to local legal requirements outside the United States), or as otherwise determined by the Committee. In the event that this Plan has been oversubscribed, all funds not used to purchase shares on the Purchase Date will be returned to the Participant, without interest (except to the extent required due to local legal requirements outside the United States). No Common Stock will be purchased on a Purchase Date on behalf of any employee whose participation in this Plan has terminated prior to such Purchase Date (except to the extent required due to local legal requirements outside the United States).</w:t>
      </w:r>
    </w:p>
    <w:p>
      <w:pPr>
        <w:spacing w:after="0" w:line="170" w:lineRule="exact"/>
        <w:rPr>
          <w:sz w:val="20"/>
          <w:szCs w:val="20"/>
          <w:color w:val="auto"/>
        </w:rPr>
      </w:pPr>
    </w:p>
    <w:p>
      <w:pPr>
        <w:ind w:right="160" w:firstLine="864"/>
        <w:spacing w:after="0" w:line="267" w:lineRule="auto"/>
        <w:tabs>
          <w:tab w:leader="none" w:pos="121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will issue shares for the Participant’s benefit representing the shares purchased upon exercise of his or her option.</w:t>
      </w:r>
    </w:p>
    <w:p>
      <w:pPr>
        <w:spacing w:after="0" w:line="179" w:lineRule="exact"/>
        <w:rPr>
          <w:rFonts w:ascii="Arial" w:cs="Arial" w:eastAsia="Arial" w:hAnsi="Arial"/>
          <w:sz w:val="18"/>
          <w:szCs w:val="18"/>
          <w:color w:val="auto"/>
        </w:rPr>
      </w:pPr>
    </w:p>
    <w:p>
      <w:pPr>
        <w:ind w:right="240" w:firstLine="864"/>
        <w:spacing w:after="0" w:line="267" w:lineRule="auto"/>
        <w:tabs>
          <w:tab w:leader="none" w:pos="1255"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179" w:lineRule="exact"/>
        <w:rPr>
          <w:rFonts w:ascii="Arial" w:cs="Arial" w:eastAsia="Arial" w:hAnsi="Arial"/>
          <w:sz w:val="18"/>
          <w:szCs w:val="18"/>
          <w:color w:val="auto"/>
        </w:rPr>
      </w:pPr>
    </w:p>
    <w:p>
      <w:pPr>
        <w:ind w:firstLine="864"/>
        <w:spacing w:after="0" w:line="287" w:lineRule="auto"/>
        <w:tabs>
          <w:tab w:leader="none" w:pos="1252"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To the extent required by applicable federal, state, local, or foreign law, a Participant will make arrangements satisfactory to the Company and the Participating Corporation employing the Participant for the satisfaction of any withholding tax obligations that arise in connection with the Plan. The Company or any Participating Corporation, as applicable, may withhold, by any method permissible under applicable law, the amount necessary for the Company or any Participating Corporation, as applicable, to meet applicable withholding obligations, including up to the maximum permissible statutory rates and including any withholding required to make available to the Company or any Participating Corporation, as applicable, any tax deductions or benefits attributable to the sale or early disposition of shares of Common Stock by a Participant. The Company will not be required to issue any shares of Common Stock under the Plan until such obligations are satisfied.</w:t>
      </w:r>
    </w:p>
    <w:p>
      <w:pPr>
        <w:spacing w:after="0" w:line="267" w:lineRule="exact"/>
        <w:rPr>
          <w:rFonts w:ascii="Arial" w:cs="Arial" w:eastAsia="Arial" w:hAnsi="Arial"/>
          <w:sz w:val="16"/>
          <w:szCs w:val="16"/>
          <w:color w:val="auto"/>
        </w:rPr>
      </w:pPr>
    </w:p>
    <w:p>
      <w:pPr>
        <w:ind w:left="820" w:hanging="392"/>
        <w:spacing w:after="0"/>
        <w:tabs>
          <w:tab w:leader="none" w:pos="82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right="140" w:firstLine="864"/>
        <w:spacing w:after="0" w:line="287" w:lineRule="auto"/>
        <w:tabs>
          <w:tab w:leader="none" w:pos="1245" w:val="left"/>
        </w:tabs>
        <w:numPr>
          <w:ilvl w:val="1"/>
          <w:numId w:val="301"/>
        </w:numPr>
        <w:rPr>
          <w:rFonts w:ascii="Arial" w:cs="Arial" w:eastAsia="Arial" w:hAnsi="Arial"/>
          <w:sz w:val="16"/>
          <w:szCs w:val="16"/>
          <w:color w:val="auto"/>
        </w:rPr>
      </w:pPr>
      <w:r>
        <w:rPr>
          <w:rFonts w:ascii="Arial" w:cs="Arial" w:eastAsia="Arial" w:hAnsi="Arial"/>
          <w:sz w:val="16"/>
          <w:szCs w:val="16"/>
          <w:color w:val="auto"/>
        </w:rPr>
        <w:t>No Participant will be entitled to purchase stock under any Offering Period at a rate which, when aggregated with such Participant’s rights to purchase stock under all other employee stock purchase plans of a Participating Company intended to meet the requirements of Section 423 of the Code, that are also outstanding in the same calendar year(s) (whether under other Offering Periods or other employee stock purchase plans of the Company, its Parent, and its Subsidiaries), exceeds $25,000 in Fair Market Value, determined as of the Offering Date (or such other limit as may be imposed by the Code) for each calendar year in which such Offering Period is in effect (hereinafter the “</w:t>
      </w:r>
      <w:r>
        <w:rPr>
          <w:rFonts w:ascii="Arial" w:cs="Arial" w:eastAsia="Arial" w:hAnsi="Arial"/>
          <w:sz w:val="16"/>
          <w:szCs w:val="16"/>
          <w:b w:val="1"/>
          <w:bCs w:val="1"/>
          <w:i w:val="1"/>
          <w:iCs w:val="1"/>
          <w:color w:val="auto"/>
        </w:rPr>
        <w:t>Maximum Share Amount</w:t>
      </w:r>
      <w:r>
        <w:rPr>
          <w:rFonts w:ascii="Arial" w:cs="Arial" w:eastAsia="Arial" w:hAnsi="Arial"/>
          <w:sz w:val="16"/>
          <w:szCs w:val="16"/>
          <w:color w:val="auto"/>
        </w:rPr>
        <w:t>”). The Company may automatically suspend the payroll deductions of any Participant as necessary to enforce such limit provided that when the Company automatically resumes such payroll deductions, the Company must apply the rate in effect immediately prior to such suspension.</w:t>
      </w:r>
    </w:p>
    <w:p>
      <w:pPr>
        <w:spacing w:after="0" w:line="166" w:lineRule="exact"/>
        <w:rPr>
          <w:rFonts w:ascii="Arial" w:cs="Arial" w:eastAsia="Arial" w:hAnsi="Arial"/>
          <w:sz w:val="16"/>
          <w:szCs w:val="16"/>
          <w:color w:val="auto"/>
        </w:rPr>
      </w:pPr>
    </w:p>
    <w:p>
      <w:pPr>
        <w:jc w:val="both"/>
        <w:ind w:right="120" w:firstLine="864"/>
        <w:spacing w:after="0" w:line="254" w:lineRule="auto"/>
        <w:tabs>
          <w:tab w:leader="none" w:pos="125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The Committee may, in its sole discretion, set a lower maximum number of shares which may be purchased by any Participant during any Offering Period than that determined under Section 10(a) above, which will then be the Maximum Share Amount for subsequent Offering Periods; </w:t>
      </w:r>
      <w:r>
        <w:rPr>
          <w:rFonts w:ascii="Arial" w:cs="Arial" w:eastAsia="Arial" w:hAnsi="Arial"/>
          <w:sz w:val="18"/>
          <w:szCs w:val="18"/>
          <w:u w:val="single" w:color="auto"/>
          <w:color w:val="auto"/>
        </w:rPr>
        <w:t>provided</w:t>
      </w:r>
      <w:r>
        <w:rPr>
          <w:rFonts w:ascii="Arial" w:cs="Arial" w:eastAsia="Arial" w:hAnsi="Arial"/>
          <w:sz w:val="18"/>
          <w:szCs w:val="18"/>
          <w:color w:val="auto"/>
        </w:rPr>
        <w:t>, however, in no event will a Participant be permitted to purchase more than Two Thousand Five Hundred (2,500) Shares during any one Purchase Period or such greater or lesser number as the Committee may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20" w:top="273" w:right="499" w:bottom="1440" w:gutter="0" w:footer="0" w:header="0"/>
        </w:sectPr>
      </w:pPr>
    </w:p>
    <w:bookmarkStart w:id="353" w:name="page354"/>
    <w:bookmarkEnd w:id="353"/>
    <w:p>
      <w:pPr>
        <w:jc w:val="both"/>
        <w:ind w:right="20"/>
        <w:spacing w:after="0" w:line="30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t>determine, irrespective of the Maximum Share Amount set forth in (a) and (b) hereof. If a new Maximum Share Amount is set, then all Participants will be notified of such Maximum Share Amount prior to the commencement of the next Offering Period for which it is to be effective. The Maximum Share Amount will continue to apply with respect to all succeeding Offering Periods unless revised by the Committee as set forth above.</w:t>
      </w:r>
    </w:p>
    <w:p>
      <w:pPr>
        <w:spacing w:after="0" w:line="154" w:lineRule="exact"/>
        <w:rPr>
          <w:sz w:val="20"/>
          <w:szCs w:val="20"/>
          <w:color w:val="auto"/>
        </w:rPr>
      </w:pPr>
    </w:p>
    <w:p>
      <w:pPr>
        <w:ind w:firstLine="864"/>
        <w:spacing w:after="0" w:line="254" w:lineRule="auto"/>
        <w:tabs>
          <w:tab w:leader="none" w:pos="1245"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will be reasonably practicable and as the Committee will determine to be equitable. In such event, the Company will give written notice of such reduction of the number of shares to be purchased under a Participant’s option to each Participant affected.</w:t>
      </w:r>
    </w:p>
    <w:p>
      <w:pPr>
        <w:spacing w:after="0" w:line="190" w:lineRule="exact"/>
        <w:rPr>
          <w:rFonts w:ascii="Arial" w:cs="Arial" w:eastAsia="Arial" w:hAnsi="Arial"/>
          <w:sz w:val="18"/>
          <w:szCs w:val="18"/>
          <w:color w:val="auto"/>
        </w:rPr>
      </w:pPr>
    </w:p>
    <w:p>
      <w:pPr>
        <w:ind w:right="340" w:firstLine="864"/>
        <w:spacing w:after="0" w:line="279" w:lineRule="auto"/>
        <w:tabs>
          <w:tab w:leader="none" w:pos="1245" w:val="left"/>
        </w:tabs>
        <w:numPr>
          <w:ilvl w:val="1"/>
          <w:numId w:val="302"/>
        </w:numPr>
        <w:rPr>
          <w:rFonts w:ascii="Arial" w:cs="Arial" w:eastAsia="Arial" w:hAnsi="Arial"/>
          <w:sz w:val="17"/>
          <w:szCs w:val="17"/>
          <w:color w:val="auto"/>
        </w:rPr>
      </w:pPr>
      <w:r>
        <w:rPr>
          <w:rFonts w:ascii="Arial" w:cs="Arial" w:eastAsia="Arial" w:hAnsi="Arial"/>
          <w:sz w:val="17"/>
          <w:szCs w:val="17"/>
          <w:color w:val="auto"/>
        </w:rPr>
        <w:t>Any payroll deductions accumulated in a Participant’s account which are not used to purchase stock due to the limitations in this Section 10, and not covered by Section 9(e), will be returned to the Participant as soon as administratively practicable after the end of the applicable Purchase Period, without interest (except to the extent required due to local legal requirements outside the United States).</w:t>
      </w:r>
    </w:p>
    <w:p>
      <w:pPr>
        <w:spacing w:after="0" w:line="272" w:lineRule="exact"/>
        <w:rPr>
          <w:rFonts w:ascii="Arial" w:cs="Arial" w:eastAsia="Arial" w:hAnsi="Arial"/>
          <w:sz w:val="17"/>
          <w:szCs w:val="17"/>
          <w:color w:val="auto"/>
        </w:rPr>
      </w:pPr>
    </w:p>
    <w:p>
      <w:pPr>
        <w:ind w:left="820" w:hanging="392"/>
        <w:spacing w:after="0"/>
        <w:tabs>
          <w:tab w:leader="none" w:pos="82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r>
        <w:rPr>
          <w:rFonts w:ascii="Arial" w:cs="Arial" w:eastAsia="Arial" w:hAnsi="Arial"/>
          <w:sz w:val="18"/>
          <w:szCs w:val="18"/>
          <w:color w:val="auto"/>
        </w:rPr>
        <w:t>.</w:t>
      </w:r>
    </w:p>
    <w:p>
      <w:pPr>
        <w:spacing w:after="0" w:line="119" w:lineRule="exact"/>
        <w:rPr>
          <w:rFonts w:ascii="Arial" w:cs="Arial" w:eastAsia="Arial" w:hAnsi="Arial"/>
          <w:sz w:val="18"/>
          <w:szCs w:val="18"/>
          <w:b w:val="1"/>
          <w:bCs w:val="1"/>
          <w:color w:val="auto"/>
        </w:rPr>
      </w:pPr>
    </w:p>
    <w:p>
      <w:pPr>
        <w:ind w:firstLine="864"/>
        <w:spacing w:after="0" w:line="254" w:lineRule="auto"/>
        <w:tabs>
          <w:tab w:leader="none" w:pos="1245"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Each Participant may withdraw from an Offering Period under this Plan pursuant to a method specified by the Company. Such withdrawal may be elected at any time prior to the end of an Offering Period, or such other time period as specified by the Committee. The Committee may set forth a deadline of when a withdrawal must occur to be effective prior to a given Purchase Date in accordance with policies it may approve from time to time.</w:t>
      </w:r>
    </w:p>
    <w:p>
      <w:pPr>
        <w:spacing w:after="0" w:line="190" w:lineRule="exact"/>
        <w:rPr>
          <w:rFonts w:ascii="Arial" w:cs="Arial" w:eastAsia="Arial" w:hAnsi="Arial"/>
          <w:sz w:val="18"/>
          <w:szCs w:val="18"/>
          <w:color w:val="auto"/>
        </w:rPr>
      </w:pPr>
    </w:p>
    <w:p>
      <w:pPr>
        <w:ind w:right="80" w:firstLine="864"/>
        <w:spacing w:after="0" w:line="291" w:lineRule="auto"/>
        <w:tabs>
          <w:tab w:leader="none" w:pos="1255" w:val="left"/>
        </w:tabs>
        <w:numPr>
          <w:ilvl w:val="1"/>
          <w:numId w:val="303"/>
        </w:numPr>
        <w:rPr>
          <w:rFonts w:ascii="Arial" w:cs="Arial" w:eastAsia="Arial" w:hAnsi="Arial"/>
          <w:sz w:val="16"/>
          <w:szCs w:val="16"/>
          <w:color w:val="auto"/>
        </w:rPr>
      </w:pPr>
      <w:r>
        <w:rPr>
          <w:rFonts w:ascii="Arial" w:cs="Arial" w:eastAsia="Arial" w:hAnsi="Arial"/>
          <w:sz w:val="16"/>
          <w:szCs w:val="16"/>
          <w:color w:val="auto"/>
        </w:rPr>
        <w:t>Upon withdrawal from this Plan, the accumulated payroll deductions will be returned to the withdrawn Participant, without interest (except to the extent required due to local legal requirements outside the United States), and his or her interest in this Plan will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payroll deductions in the same manner as set forth in Section 6 above for initial participation in this Plan.</w:t>
      </w:r>
    </w:p>
    <w:p>
      <w:pPr>
        <w:spacing w:after="0" w:line="164" w:lineRule="exact"/>
        <w:rPr>
          <w:rFonts w:ascii="Arial" w:cs="Arial" w:eastAsia="Arial" w:hAnsi="Arial"/>
          <w:sz w:val="16"/>
          <w:szCs w:val="16"/>
          <w:color w:val="auto"/>
        </w:rPr>
      </w:pPr>
    </w:p>
    <w:p>
      <w:pPr>
        <w:ind w:firstLine="864"/>
        <w:spacing w:after="0" w:line="273" w:lineRule="auto"/>
        <w:tabs>
          <w:tab w:leader="none" w:pos="1242" w:val="left"/>
        </w:tabs>
        <w:numPr>
          <w:ilvl w:val="1"/>
          <w:numId w:val="303"/>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71" w:lineRule="exact"/>
        <w:rPr>
          <w:rFonts w:ascii="Arial" w:cs="Arial" w:eastAsia="Arial" w:hAnsi="Arial"/>
          <w:sz w:val="17"/>
          <w:szCs w:val="17"/>
          <w:color w:val="auto"/>
        </w:rPr>
      </w:pPr>
    </w:p>
    <w:p>
      <w:pPr>
        <w:ind w:right="60" w:firstLine="428"/>
        <w:spacing w:after="0" w:line="286" w:lineRule="auto"/>
        <w:tabs>
          <w:tab w:leader="none" w:pos="835"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w:t>
      </w:r>
      <w:r>
        <w:rPr>
          <w:rFonts w:ascii="Arial" w:cs="Arial" w:eastAsia="Arial" w:hAnsi="Arial"/>
          <w:sz w:val="16"/>
          <w:szCs w:val="16"/>
          <w:color w:val="auto"/>
        </w:rPr>
        <w:t>. Termination of a Participant’s employment for any reason, including (but not limited to) retirement, death,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disability, or the failure of a Participant to remain an eligible employee of the Company or of a Participating Corporation, or Participant’s employer no longer being a Participating Corporation, immediately terminates his or her participation in this Plan (except to the extent required due to local legal requirements outside the United States). In such event, accumulated payroll deductions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leave is for a period of not more than ninety (90) days or reemployment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20" w:top="274" w:right="519" w:bottom="1440" w:gutter="0" w:footer="0" w:header="0"/>
        </w:sectPr>
      </w:pPr>
    </w:p>
    <w:bookmarkStart w:id="354" w:name="page355"/>
    <w:bookmarkEnd w:id="35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t>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82" w:lineRule="exact"/>
        <w:rPr>
          <w:sz w:val="20"/>
          <w:szCs w:val="20"/>
          <w:color w:val="auto"/>
        </w:rPr>
      </w:pPr>
    </w:p>
    <w:p>
      <w:pPr>
        <w:ind w:firstLine="428"/>
        <w:spacing w:after="0" w:line="256" w:lineRule="auto"/>
        <w:tabs>
          <w:tab w:leader="none" w:pos="83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Payroll Deductions</w:t>
      </w:r>
      <w:r>
        <w:rPr>
          <w:rFonts w:ascii="Arial" w:cs="Arial" w:eastAsia="Arial" w:hAnsi="Arial"/>
          <w:sz w:val="18"/>
          <w:szCs w:val="18"/>
          <w:color w:val="auto"/>
        </w:rPr>
        <w:t>. 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will deliver to the Participant all accumulated payroll deductions credited to such Participant’s account. No interest will accrue on the payroll deductions of a Participant in this Plan (except to the extent required due to local legal requirements outside the United States).</w:t>
      </w:r>
    </w:p>
    <w:p>
      <w:pPr>
        <w:spacing w:after="0" w:line="183" w:lineRule="exact"/>
        <w:rPr>
          <w:rFonts w:ascii="Arial" w:cs="Arial" w:eastAsia="Arial" w:hAnsi="Arial"/>
          <w:sz w:val="18"/>
          <w:szCs w:val="18"/>
          <w:b w:val="1"/>
          <w:bCs w:val="1"/>
          <w:color w:val="auto"/>
        </w:rPr>
      </w:pPr>
    </w:p>
    <w:p>
      <w:pPr>
        <w:ind w:right="120" w:firstLine="428"/>
        <w:spacing w:after="0" w:line="252" w:lineRule="auto"/>
        <w:tabs>
          <w:tab w:leader="none" w:pos="83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Capital Changes</w:t>
      </w:r>
      <w:r>
        <w:rPr>
          <w:rFonts w:ascii="Arial" w:cs="Arial" w:eastAsia="Arial" w:hAnsi="Arial"/>
          <w:sz w:val="18"/>
          <w:szCs w:val="18"/>
          <w:color w:val="auto"/>
        </w:rPr>
        <w:t>. If the number of outstanding shares is changed by a stock dividend, recapitalization, stock split, reverse stock split,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subdivision, combination, reclassification, or similar change in the capital structure of the Company, without consideration, then the Committee will adjust the number and class of Common Stock that may be delivered under the Plan, the Purchase Price, and the number of shares of Common Stock covered by each option under the Plan which has not yet been exercised, and the numerical limits of Sections 1 and 10 will be proportionately adjusted, subject to any required action by the Board or the stockholders of the Company and in compliance with applicable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that fractions of a Share will not be issued.</w:t>
      </w:r>
    </w:p>
    <w:p>
      <w:pPr>
        <w:spacing w:after="0" w:line="189" w:lineRule="exact"/>
        <w:rPr>
          <w:rFonts w:ascii="Arial" w:cs="Arial" w:eastAsia="Arial" w:hAnsi="Arial"/>
          <w:sz w:val="18"/>
          <w:szCs w:val="18"/>
          <w:b w:val="1"/>
          <w:bCs w:val="1"/>
          <w:color w:val="auto"/>
        </w:rPr>
      </w:pPr>
    </w:p>
    <w:p>
      <w:pPr>
        <w:ind w:right="120" w:firstLine="428"/>
        <w:spacing w:after="0" w:line="256" w:lineRule="auto"/>
        <w:tabs>
          <w:tab w:leader="none" w:pos="83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Nonassignability</w:t>
      </w:r>
      <w:r>
        <w:rPr>
          <w:rFonts w:ascii="Arial" w:cs="Arial" w:eastAsia="Arial" w:hAnsi="Arial"/>
          <w:sz w:val="18"/>
          <w:szCs w:val="18"/>
          <w:color w:val="auto"/>
        </w:rPr>
        <w:t>. Neither payroll deductions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pursuant to the laws of descent and distribution, or as provided in Section 22 below) by the Participant. Any such attempt at assignment, transfer, pledge, or other disposition will be void and without effect.</w:t>
      </w:r>
    </w:p>
    <w:p>
      <w:pPr>
        <w:spacing w:after="0" w:line="183" w:lineRule="exact"/>
        <w:rPr>
          <w:rFonts w:ascii="Arial" w:cs="Arial" w:eastAsia="Arial" w:hAnsi="Arial"/>
          <w:sz w:val="18"/>
          <w:szCs w:val="18"/>
          <w:b w:val="1"/>
          <w:bCs w:val="1"/>
          <w:color w:val="auto"/>
        </w:rPr>
      </w:pPr>
    </w:p>
    <w:p>
      <w:pPr>
        <w:ind w:right="60" w:firstLine="428"/>
        <w:spacing w:after="0" w:line="251" w:lineRule="auto"/>
        <w:tabs>
          <w:tab w:leader="none" w:pos="83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Use of Participant Funds and Reports</w:t>
      </w:r>
      <w:r>
        <w:rPr>
          <w:rFonts w:ascii="Arial" w:cs="Arial" w:eastAsia="Arial" w:hAnsi="Arial"/>
          <w:sz w:val="18"/>
          <w:szCs w:val="18"/>
          <w:color w:val="auto"/>
        </w:rPr>
        <w:t>. The Company may use all payroll deductions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payroll deductions (except to the extent required due to local legal requirements outside the United States). Until shares are issued, Participants will only have the rights of an unsecured creditor (except to the extent required due to local legal requirements outside the United States). Each Participant will receive, or have access to, promptly after the end of each Purchase Period a report of his or her account setting forth the total payroll deductions accumulated, the number of shares purchased, the Purchase Price thereof, and the remaining cash balance, if any, carried forward or refunded, as determined by the Committee, to the next Purchase Period or Offering Period, as the case may be.</w:t>
      </w:r>
    </w:p>
    <w:p>
      <w:pPr>
        <w:spacing w:after="0" w:line="191" w:lineRule="exact"/>
        <w:rPr>
          <w:rFonts w:ascii="Arial" w:cs="Arial" w:eastAsia="Arial" w:hAnsi="Arial"/>
          <w:sz w:val="18"/>
          <w:szCs w:val="18"/>
          <w:b w:val="1"/>
          <w:bCs w:val="1"/>
          <w:color w:val="auto"/>
        </w:rPr>
      </w:pPr>
    </w:p>
    <w:p>
      <w:pPr>
        <w:ind w:right="120" w:firstLine="428"/>
        <w:spacing w:after="0" w:line="252" w:lineRule="auto"/>
        <w:tabs>
          <w:tab w:leader="none" w:pos="83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Disposition</w:t>
      </w:r>
      <w:r>
        <w:rPr>
          <w:rFonts w:ascii="Arial" w:cs="Arial" w:eastAsia="Arial" w:hAnsi="Arial"/>
          <w:sz w:val="18"/>
          <w:szCs w:val="18"/>
          <w:color w:val="auto"/>
        </w:rPr>
        <w:t>. If Participant is subject to tax in the United States, Participant will notify the Company in writing if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disposes of any of the 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will continue notwithstanding the placement of any such legend on the certificates.</w:t>
      </w:r>
    </w:p>
    <w:p>
      <w:pPr>
        <w:spacing w:after="0" w:line="189" w:lineRule="exact"/>
        <w:rPr>
          <w:rFonts w:ascii="Arial" w:cs="Arial" w:eastAsia="Arial" w:hAnsi="Arial"/>
          <w:sz w:val="18"/>
          <w:szCs w:val="18"/>
          <w:b w:val="1"/>
          <w:bCs w:val="1"/>
          <w:color w:val="auto"/>
        </w:rPr>
      </w:pPr>
    </w:p>
    <w:p>
      <w:pPr>
        <w:ind w:right="320" w:firstLine="428"/>
        <w:spacing w:after="0" w:line="260" w:lineRule="auto"/>
        <w:tabs>
          <w:tab w:leader="none" w:pos="83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to Continued Employment</w:t>
      </w:r>
      <w:r>
        <w:rPr>
          <w:rFonts w:ascii="Arial" w:cs="Arial" w:eastAsia="Arial" w:hAnsi="Arial"/>
          <w:sz w:val="18"/>
          <w:szCs w:val="18"/>
          <w:color w:val="auto"/>
        </w:rPr>
        <w:t>. Neither this Plan nor the grant of any option hereunder will confer any right on any employee to</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the employ of the Company or any Participating Corporation, or restrict the right of the Company or any Participating Corporation to terminate such employee’s employment.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520" w:top="273" w:right="499" w:bottom="1440" w:gutter="0" w:footer="0" w:header="0"/>
        </w:sectPr>
      </w:pPr>
    </w:p>
    <w:bookmarkStart w:id="355" w:name="page356"/>
    <w:bookmarkEnd w:id="355"/>
    <w:p>
      <w:pPr>
        <w:ind w:left="-20" w:firstLine="428"/>
        <w:spacing w:after="0" w:line="251" w:lineRule="auto"/>
        <w:tabs>
          <w:tab w:leader="none" w:pos="81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t>Equal Rights And Privileges</w:t>
      </w:r>
      <w:r>
        <w:rPr>
          <w:rFonts w:ascii="Arial" w:cs="Arial" w:eastAsia="Arial" w:hAnsi="Arial"/>
          <w:sz w:val="18"/>
          <w:szCs w:val="18"/>
          <w:color w:val="auto"/>
        </w:rPr>
        <w:t>. All eligible employees granted an option under this Plan that is intended to meet the Code Section 423</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will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will, without further act or amendment by the Company or the Committee, be reformed to comply with the requirements of Section 423 (unless such provision applies exclusively to options that granted under the Plan that are not intended to comply with the Code Section 423 requirements). This Section 19 will take precedence over all other provisions in this Plan.</w:t>
      </w:r>
    </w:p>
    <w:p>
      <w:pPr>
        <w:spacing w:after="0" w:line="191" w:lineRule="exact"/>
        <w:rPr>
          <w:rFonts w:ascii="Arial" w:cs="Arial" w:eastAsia="Arial" w:hAnsi="Arial"/>
          <w:sz w:val="18"/>
          <w:szCs w:val="18"/>
          <w:b w:val="1"/>
          <w:bCs w:val="1"/>
          <w:color w:val="auto"/>
        </w:rPr>
      </w:pPr>
    </w:p>
    <w:p>
      <w:pPr>
        <w:ind w:left="-20" w:right="80" w:firstLine="428"/>
        <w:spacing w:after="0" w:line="260" w:lineRule="auto"/>
        <w:tabs>
          <w:tab w:leader="none" w:pos="81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by a Participant to the Company under or in connection with this Plan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received in the form specified by the Company at the location, or by the person, designated by the Company for the receipt thereof.</w:t>
      </w:r>
    </w:p>
    <w:p>
      <w:pPr>
        <w:spacing w:after="0" w:line="180" w:lineRule="exact"/>
        <w:rPr>
          <w:rFonts w:ascii="Arial" w:cs="Arial" w:eastAsia="Arial" w:hAnsi="Arial"/>
          <w:sz w:val="18"/>
          <w:szCs w:val="18"/>
          <w:b w:val="1"/>
          <w:bCs w:val="1"/>
          <w:color w:val="auto"/>
        </w:rPr>
      </w:pPr>
    </w:p>
    <w:p>
      <w:pPr>
        <w:ind w:left="-20" w:right="40" w:firstLine="428"/>
        <w:spacing w:after="0" w:line="266" w:lineRule="auto"/>
        <w:tabs>
          <w:tab w:leader="none" w:pos="815"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Term; Stockholder Approval</w:t>
      </w:r>
      <w:r>
        <w:rPr>
          <w:rFonts w:ascii="Arial" w:cs="Arial" w:eastAsia="Arial" w:hAnsi="Arial"/>
          <w:sz w:val="17"/>
          <w:szCs w:val="17"/>
          <w:color w:val="auto"/>
        </w:rPr>
        <w:t>. This Plan will become effective on the Effective Date. This Plan will be approved by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within twelve (12) months before or after the date this Plan is adopted by the Board. No purchase of shares that are subject to such stockholder approval before becoming available under this Plan will occur prior to stockholder approval of such shares, and the Committee may delay any Purchase Date and postpone the commencement of any Offering Period subsequent to such Purchase Date as deemed necessary or desirable to obtain such approval (</w:t>
      </w:r>
      <w:r>
        <w:rPr>
          <w:rFonts w:ascii="Arial" w:cs="Arial" w:eastAsia="Arial" w:hAnsi="Arial"/>
          <w:sz w:val="17"/>
          <w:szCs w:val="17"/>
          <w:u w:val="single" w:color="auto"/>
          <w:color w:val="auto"/>
        </w:rPr>
        <w:t>provided</w:t>
      </w:r>
      <w:r>
        <w:rPr>
          <w:rFonts w:ascii="Arial" w:cs="Arial" w:eastAsia="Arial" w:hAnsi="Arial"/>
          <w:sz w:val="17"/>
          <w:szCs w:val="17"/>
          <w:color w:val="auto"/>
        </w:rPr>
        <w:t>, that if a Purchase Date would occur more than twenty-four (24) months after commencement of the Offering Period to which it relates, then such Purchase Date will not occur, and instead such Offering Period will terminate without the purchase of such shares and Participants in such Offering Period will be refunded their contributions without interest unless the payment of interest is required under local laws). This Plan will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first Purchase Date under the Plan.</w:t>
      </w:r>
    </w:p>
    <w:p>
      <w:pPr>
        <w:spacing w:after="0" w:line="287" w:lineRule="exact"/>
        <w:rPr>
          <w:rFonts w:ascii="Arial" w:cs="Arial" w:eastAsia="Arial" w:hAnsi="Arial"/>
          <w:sz w:val="17"/>
          <w:szCs w:val="17"/>
          <w:b w:val="1"/>
          <w:bCs w:val="1"/>
          <w:color w:val="auto"/>
        </w:rPr>
      </w:pPr>
    </w:p>
    <w:p>
      <w:pPr>
        <w:ind w:left="800" w:hanging="392"/>
        <w:spacing w:after="0"/>
        <w:tabs>
          <w:tab w:leader="none" w:pos="80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19" w:lineRule="exact"/>
        <w:rPr>
          <w:rFonts w:ascii="Arial" w:cs="Arial" w:eastAsia="Arial" w:hAnsi="Arial"/>
          <w:sz w:val="18"/>
          <w:szCs w:val="18"/>
          <w:b w:val="1"/>
          <w:bCs w:val="1"/>
          <w:color w:val="auto"/>
        </w:rPr>
      </w:pPr>
    </w:p>
    <w:p>
      <w:pPr>
        <w:ind w:left="-20" w:right="80" w:firstLine="864"/>
        <w:spacing w:after="0" w:line="291" w:lineRule="auto"/>
        <w:tabs>
          <w:tab w:leader="none" w:pos="122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If provided in the subscription agreement, a Participant may file a written or electronic designation of a beneficiary who is to receive any shares and cash, if any, from the Participant’s account under this Plan in the event of such Participant’s death subsequent to the end of a Purchase Period but prior to delivery to him of such shares and cash. In addition, a Participant may file a written or electronic designation of a beneficiary who is to receive any cash from the Participant’s account under this Plan in the event of such Participant’s death prior to a Purchase Date. Such form will be valid only if it was filed with the Company and/or the Third Party Administrator at the prescribed location before the Participant’s death.</w:t>
      </w:r>
    </w:p>
    <w:p>
      <w:pPr>
        <w:spacing w:after="0" w:line="164" w:lineRule="exact"/>
        <w:rPr>
          <w:rFonts w:ascii="Arial" w:cs="Arial" w:eastAsia="Arial" w:hAnsi="Arial"/>
          <w:sz w:val="16"/>
          <w:szCs w:val="16"/>
          <w:color w:val="auto"/>
        </w:rPr>
      </w:pPr>
    </w:p>
    <w:p>
      <w:pPr>
        <w:ind w:left="-20" w:right="80" w:firstLine="864"/>
        <w:spacing w:after="0" w:line="288" w:lineRule="auto"/>
        <w:tabs>
          <w:tab w:leader="none" w:pos="123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the Company will deliver such cash to the executor or administrator of the estate of the Participant, or if no such executor or administrator has been appointed (to the knowledge of the Company), the Company, in its discretion, may deliver such shares or cash to the spouse or, if no spouse is known to the Company, then to any one or more dependents or relatives of the Participant, or if no spouse, dependent or relative is known to the Company, then to such other person as the Company may designate.</w:t>
      </w:r>
    </w:p>
    <w:p>
      <w:pPr>
        <w:spacing w:after="0" w:line="162" w:lineRule="exact"/>
        <w:rPr>
          <w:rFonts w:ascii="Arial" w:cs="Arial" w:eastAsia="Arial" w:hAnsi="Arial"/>
          <w:sz w:val="16"/>
          <w:szCs w:val="16"/>
          <w:color w:val="auto"/>
        </w:rPr>
      </w:pPr>
    </w:p>
    <w:p>
      <w:pPr>
        <w:ind w:left="-20" w:firstLine="428"/>
        <w:spacing w:after="0" w:line="274" w:lineRule="auto"/>
        <w:tabs>
          <w:tab w:leader="none" w:pos="81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Issuance of Shares; Limitation on Sale of Shares</w:t>
      </w:r>
      <w:r>
        <w:rPr>
          <w:rFonts w:ascii="Arial" w:cs="Arial" w:eastAsia="Arial" w:hAnsi="Arial"/>
          <w:sz w:val="18"/>
          <w:szCs w:val="18"/>
          <w:color w:val="auto"/>
        </w:rPr>
        <w:t>. Shares will not be issued with respect to an option unless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option and the issuance and delivery of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540" w:top="268" w:right="539" w:bottom="1440" w:gutter="0" w:footer="0" w:header="0"/>
        </w:sectPr>
      </w:pPr>
    </w:p>
    <w:bookmarkStart w:id="356" w:name="page357"/>
    <w:bookmarkEnd w:id="356"/>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7">
                      <a:extLst>
                        <a:ext uri="{28A0092B-C50C-407E-A947-70E740481C1C}"/>
                      </a:extLst>
                    </a:blip>
                    <a:srcRect/>
                    <a:stretch>
                      <a:fillRect/>
                    </a:stretch>
                  </pic:blipFill>
                  <pic:spPr bwMode="auto">
                    <a:xfrm>
                      <a:off x="0" y="0"/>
                      <a:ext cx="7290435" cy="37465"/>
                    </a:xfrm>
                    <a:prstGeom prst="rect">
                      <a:avLst/>
                    </a:prstGeom>
                    <a:noFill/>
                  </pic:spPr>
                </pic:pic>
              </a:graphicData>
            </a:graphic>
          </wp:anchor>
        </w:drawing>
        <w:t>shares pursuant thereto will comply with all applicable provisions of law, domestic or foreign, including, without limitation, the Securities Act, the Exchange Act, the rules and regulations promulgated thereunder, and the requirements of any stock exchange or automated quotation system upon which the shares may then be listed, exchange control restrictions, securities law restrictions, or other applicable laws outside the United States, and will be further subject to the approval of counsel for the Company with respect to such compliance. Shares may be held in trust or subject to further restrictions as permitted by any subplan.</w:t>
      </w:r>
    </w:p>
    <w:p>
      <w:pPr>
        <w:spacing w:after="0" w:line="187" w:lineRule="exact"/>
        <w:rPr>
          <w:sz w:val="20"/>
          <w:szCs w:val="20"/>
          <w:color w:val="auto"/>
        </w:rPr>
      </w:pPr>
    </w:p>
    <w:p>
      <w:pPr>
        <w:ind w:left="820" w:hanging="392"/>
        <w:spacing w:after="0"/>
        <w:tabs>
          <w:tab w:leader="none" w:pos="820"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Applicable Law</w:t>
      </w:r>
      <w:r>
        <w:rPr>
          <w:rFonts w:ascii="Arial" w:cs="Arial" w:eastAsia="Arial" w:hAnsi="Arial"/>
          <w:sz w:val="17"/>
          <w:szCs w:val="17"/>
          <w:color w:val="auto"/>
        </w:rPr>
        <w:t>. The Plan will be governed by the substantive laws (excluding the conflict of laws rules) of the State of Delaware.</w:t>
      </w:r>
    </w:p>
    <w:p>
      <w:pPr>
        <w:spacing w:after="0" w:line="231" w:lineRule="exact"/>
        <w:rPr>
          <w:rFonts w:ascii="Arial" w:cs="Arial" w:eastAsia="Arial" w:hAnsi="Arial"/>
          <w:sz w:val="17"/>
          <w:szCs w:val="17"/>
          <w:b w:val="1"/>
          <w:bCs w:val="1"/>
          <w:color w:val="auto"/>
        </w:rPr>
      </w:pPr>
    </w:p>
    <w:p>
      <w:pPr>
        <w:ind w:firstLine="428"/>
        <w:spacing w:after="0" w:line="280" w:lineRule="auto"/>
        <w:tabs>
          <w:tab w:leader="none" w:pos="835"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or Termination</w:t>
      </w:r>
      <w:r>
        <w:rPr>
          <w:rFonts w:ascii="Arial" w:cs="Arial" w:eastAsia="Arial" w:hAnsi="Arial"/>
          <w:sz w:val="16"/>
          <w:szCs w:val="16"/>
          <w:color w:val="auto"/>
        </w:rPr>
        <w:t>. The Committee, in its sole discretion, may amend, suspend, or terminate the Plan, or any part thereof,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for any reason.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will be returned to those Participants (without interest thereon, except as otherwise required under local laws) as soon as administratively practicable. Further, the Committee will be entitled to establish rules to change the Purchase Periods and Offering Periods, limit the frequency and/or number of changes in the amount contributed during a Purchase Period or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Compensation, and establish such other limitations or procedures as the Committee determines in its sole discretion advisable which are consistent with the Plan. Such actions will not require stockholder approval or the consent of any Participants. However, no amendment will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Committee determines that the ongoing operation of the Plan may result in unfavorable financial accounting consequences, the Committee may, in its discretion and, to the extent necessary or desirable, modify, amend, or terminate the Plan to reduce or eliminate such accounting consequences including, but not limited to: (a) amending the definition of compensation, including with respect to an Offering Period underway at the time; (b) altering the Purchase Price for any Offering Period including an Offering Period underway at the time of the change in Purchase Price; (c) shortening any Offering Period by setting a Purchase Date, including an Offering Period underway at the time of the Committee action; (d) reducing the maximum percentage of compensation a participant may elect to set aside as payroll deductions; and (e) reducing the maximum number of shares of Common Stock a Participant may purchase during any Offering Period. Such modifications or amendments will not require approval of the stockholders of the Company or the consent of any Participants.</w:t>
      </w:r>
    </w:p>
    <w:p>
      <w:pPr>
        <w:spacing w:after="0" w:line="182" w:lineRule="exact"/>
        <w:rPr>
          <w:rFonts w:ascii="Arial" w:cs="Arial" w:eastAsia="Arial" w:hAnsi="Arial"/>
          <w:sz w:val="16"/>
          <w:szCs w:val="16"/>
          <w:b w:val="1"/>
          <w:bCs w:val="1"/>
          <w:color w:val="auto"/>
        </w:rPr>
      </w:pPr>
    </w:p>
    <w:p>
      <w:pPr>
        <w:ind w:firstLine="428"/>
        <w:spacing w:after="0" w:line="293" w:lineRule="auto"/>
        <w:tabs>
          <w:tab w:leader="none" w:pos="835"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Transactions</w:t>
      </w:r>
      <w:r>
        <w:rPr>
          <w:rFonts w:ascii="Arial" w:cs="Arial" w:eastAsia="Arial" w:hAnsi="Arial"/>
          <w:sz w:val="16"/>
          <w:szCs w:val="16"/>
          <w:color w:val="auto"/>
        </w:rPr>
        <w:t>. In the event of a Corporate Transaction (as defined below), each outstanding right to purchase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assumed or an equivalent option substituted by the successor corporation or a parent or a subsidiary of the successor corporation. In the event that the successor corporation refuses to assume or substitute for the purchase right, the Offering Period with respect to which such purchase right relates will be shortened by setting a new Purchase Date (the “</w:t>
      </w:r>
      <w:r>
        <w:rPr>
          <w:rFonts w:ascii="Arial" w:cs="Arial" w:eastAsia="Arial" w:hAnsi="Arial"/>
          <w:sz w:val="16"/>
          <w:szCs w:val="16"/>
          <w:b w:val="1"/>
          <w:bCs w:val="1"/>
          <w:i w:val="1"/>
          <w:iCs w:val="1"/>
          <w:color w:val="auto"/>
        </w:rPr>
        <w:t>New Purchase Date</w:t>
      </w:r>
      <w:r>
        <w:rPr>
          <w:rFonts w:ascii="Arial" w:cs="Arial" w:eastAsia="Arial" w:hAnsi="Arial"/>
          <w:sz w:val="16"/>
          <w:szCs w:val="16"/>
          <w:color w:val="auto"/>
        </w:rPr>
        <w:t>”) and will end on the New Purchase Date. The New Purchase Date will occur on or prior to the consummation of the Corporate Transaction, and the Plan will terminate on the consummation of the Corporate Transaction.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520" w:top="273" w:right="519" w:bottom="1440" w:gutter="0" w:footer="0" w:header="0"/>
        </w:sectPr>
      </w:pPr>
    </w:p>
    <w:bookmarkStart w:id="357" w:name="page358"/>
    <w:bookmarkEnd w:id="357"/>
    <w:p>
      <w:pPr>
        <w:ind w:left="827" w:hanging="392"/>
        <w:spacing w:after="0"/>
        <w:tabs>
          <w:tab w:leader="none" w:pos="827" w:val="left"/>
        </w:tabs>
        <w:numPr>
          <w:ilvl w:val="1"/>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Definitions.</w:t>
      </w:r>
    </w:p>
    <w:p>
      <w:pPr>
        <w:spacing w:after="0" w:line="119" w:lineRule="exact"/>
        <w:rPr>
          <w:rFonts w:ascii="Arial" w:cs="Arial" w:eastAsia="Arial" w:hAnsi="Arial"/>
          <w:sz w:val="18"/>
          <w:szCs w:val="18"/>
          <w:b w:val="1"/>
          <w:bCs w:val="1"/>
          <w:color w:val="auto"/>
        </w:rPr>
      </w:pPr>
    </w:p>
    <w:p>
      <w:pPr>
        <w:jc w:val="both"/>
        <w:ind w:left="7" w:right="400" w:firstLine="864"/>
        <w:spacing w:after="0" w:line="257" w:lineRule="auto"/>
        <w:tabs>
          <w:tab w:leader="none" w:pos="125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88" w:lineRule="exact"/>
        <w:rPr>
          <w:rFonts w:ascii="Arial" w:cs="Arial" w:eastAsia="Arial" w:hAnsi="Arial"/>
          <w:sz w:val="18"/>
          <w:szCs w:val="18"/>
          <w:color w:val="auto"/>
        </w:rPr>
      </w:pPr>
    </w:p>
    <w:p>
      <w:pPr>
        <w:ind w:left="1247" w:hanging="376"/>
        <w:spacing w:after="0"/>
        <w:tabs>
          <w:tab w:leader="none" w:pos="1247" w:val="left"/>
        </w:tabs>
        <w:numPr>
          <w:ilvl w:val="2"/>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9" w:lineRule="exact"/>
        <w:rPr>
          <w:rFonts w:ascii="Arial" w:cs="Arial" w:eastAsia="Arial" w:hAnsi="Arial"/>
          <w:sz w:val="18"/>
          <w:szCs w:val="18"/>
          <w:color w:val="auto"/>
        </w:rPr>
      </w:pPr>
    </w:p>
    <w:p>
      <w:pPr>
        <w:ind w:left="1247" w:hanging="376"/>
        <w:spacing w:after="0"/>
        <w:tabs>
          <w:tab w:leader="none" w:pos="1247" w:val="left"/>
        </w:tabs>
        <w:numPr>
          <w:ilvl w:val="2"/>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219" w:lineRule="exact"/>
        <w:rPr>
          <w:rFonts w:ascii="Arial" w:cs="Arial" w:eastAsia="Arial" w:hAnsi="Arial"/>
          <w:sz w:val="18"/>
          <w:szCs w:val="18"/>
          <w:color w:val="auto"/>
        </w:rPr>
      </w:pPr>
    </w:p>
    <w:p>
      <w:pPr>
        <w:ind w:left="1247" w:hanging="376"/>
        <w:spacing w:after="0"/>
        <w:tabs>
          <w:tab w:leader="none" w:pos="1247" w:val="left"/>
        </w:tabs>
        <w:numPr>
          <w:ilvl w:val="2"/>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19" w:lineRule="exact"/>
        <w:rPr>
          <w:rFonts w:ascii="Arial" w:cs="Arial" w:eastAsia="Arial" w:hAnsi="Arial"/>
          <w:sz w:val="18"/>
          <w:szCs w:val="18"/>
          <w:color w:val="auto"/>
        </w:rPr>
      </w:pPr>
    </w:p>
    <w:p>
      <w:pPr>
        <w:ind w:left="7" w:firstLine="864"/>
        <w:spacing w:after="0" w:line="283" w:lineRule="auto"/>
        <w:tabs>
          <w:tab w:leader="none" w:pos="1252" w:val="left"/>
        </w:tabs>
        <w:numPr>
          <w:ilvl w:val="2"/>
          <w:numId w:val="3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w:t>
      </w:r>
    </w:p>
    <w:p>
      <w:pPr>
        <w:ind w:left="7" w:hanging="7"/>
        <w:spacing w:after="0" w:line="267" w:lineRule="auto"/>
        <w:tabs>
          <w:tab w:leader="none" w:pos="26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81" w:lineRule="exact"/>
        <w:rPr>
          <w:rFonts w:ascii="Arial" w:cs="Arial" w:eastAsia="Arial" w:hAnsi="Arial"/>
          <w:sz w:val="17"/>
          <w:szCs w:val="17"/>
          <w:color w:val="auto"/>
        </w:rPr>
      </w:pPr>
    </w:p>
    <w:p>
      <w:pPr>
        <w:ind w:left="7" w:right="380" w:firstLine="864"/>
        <w:spacing w:after="0" w:line="267" w:lineRule="auto"/>
        <w:tabs>
          <w:tab w:leader="none" w:pos="1232" w:val="left"/>
        </w:tabs>
        <w:numPr>
          <w:ilvl w:val="2"/>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the Registration Statement covering the initial public offering of the shares of Common Stock is declared effective by the U.S. Securities and Exchange Commission.</w:t>
      </w:r>
    </w:p>
    <w:p>
      <w:pPr>
        <w:spacing w:after="0" w:line="179" w:lineRule="exact"/>
        <w:rPr>
          <w:rFonts w:ascii="Arial" w:cs="Arial" w:eastAsia="Arial" w:hAnsi="Arial"/>
          <w:sz w:val="18"/>
          <w:szCs w:val="18"/>
          <w:color w:val="auto"/>
        </w:rPr>
      </w:pPr>
    </w:p>
    <w:p>
      <w:pPr>
        <w:ind w:left="1247" w:hanging="376"/>
        <w:spacing w:after="0"/>
        <w:tabs>
          <w:tab w:leader="none" w:pos="1247" w:val="left"/>
        </w:tabs>
        <w:numPr>
          <w:ilvl w:val="2"/>
          <w:numId w:val="30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U.S. Securities Exchange Act of 1934, as amended.</w:t>
      </w:r>
    </w:p>
    <w:p>
      <w:pPr>
        <w:spacing w:after="0" w:line="219" w:lineRule="exact"/>
        <w:rPr>
          <w:rFonts w:ascii="Arial" w:cs="Arial" w:eastAsia="Arial" w:hAnsi="Arial"/>
          <w:sz w:val="18"/>
          <w:szCs w:val="18"/>
          <w:color w:val="auto"/>
        </w:rPr>
      </w:pPr>
    </w:p>
    <w:p>
      <w:pPr>
        <w:ind w:left="1247" w:hanging="376"/>
        <w:spacing w:after="0"/>
        <w:tabs>
          <w:tab w:leader="none" w:pos="1247" w:val="left"/>
        </w:tabs>
        <w:numPr>
          <w:ilvl w:val="2"/>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Common Stock determined as follows:</w:t>
      </w:r>
    </w:p>
    <w:p>
      <w:pPr>
        <w:spacing w:after="0" w:line="219" w:lineRule="exact"/>
        <w:rPr>
          <w:rFonts w:ascii="Arial" w:cs="Arial" w:eastAsia="Arial" w:hAnsi="Arial"/>
          <w:sz w:val="18"/>
          <w:szCs w:val="18"/>
          <w:color w:val="auto"/>
        </w:rPr>
      </w:pPr>
    </w:p>
    <w:p>
      <w:pPr>
        <w:ind w:left="7" w:right="240" w:firstLine="1408"/>
        <w:spacing w:after="0" w:line="257" w:lineRule="auto"/>
        <w:tabs>
          <w:tab w:leader="none" w:pos="1767" w:val="left"/>
        </w:tabs>
        <w:numPr>
          <w:ilvl w:val="3"/>
          <w:numId w:val="308"/>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Journal or such other source as the Committee deems reliable;</w:t>
      </w:r>
    </w:p>
    <w:p>
      <w:pPr>
        <w:spacing w:after="0" w:line="188" w:lineRule="exact"/>
        <w:rPr>
          <w:rFonts w:ascii="Arial" w:cs="Arial" w:eastAsia="Arial" w:hAnsi="Arial"/>
          <w:sz w:val="18"/>
          <w:szCs w:val="18"/>
          <w:color w:val="auto"/>
        </w:rPr>
      </w:pPr>
    </w:p>
    <w:p>
      <w:pPr>
        <w:ind w:left="7" w:right="260" w:firstLine="1408"/>
        <w:spacing w:after="0" w:line="257" w:lineRule="auto"/>
        <w:tabs>
          <w:tab w:leader="none" w:pos="1816" w:val="left"/>
        </w:tabs>
        <w:numPr>
          <w:ilvl w:val="3"/>
          <w:numId w:val="308"/>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w:t>
      </w:r>
    </w:p>
    <w:p>
      <w:pPr>
        <w:spacing w:after="0" w:line="188" w:lineRule="exact"/>
        <w:rPr>
          <w:rFonts w:ascii="Arial" w:cs="Arial" w:eastAsia="Arial" w:hAnsi="Arial"/>
          <w:sz w:val="18"/>
          <w:szCs w:val="18"/>
          <w:color w:val="auto"/>
        </w:rPr>
      </w:pPr>
    </w:p>
    <w:p>
      <w:pPr>
        <w:ind w:left="7" w:right="120" w:firstLine="1408"/>
        <w:spacing w:after="0" w:line="257" w:lineRule="auto"/>
        <w:tabs>
          <w:tab w:leader="none" w:pos="1865" w:val="left"/>
        </w:tabs>
        <w:numPr>
          <w:ilvl w:val="3"/>
          <w:numId w:val="308"/>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 and</w:t>
      </w:r>
    </w:p>
    <w:p>
      <w:pPr>
        <w:spacing w:after="0" w:line="12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7"/>
          </w:cols>
          <w:pgMar w:left="513" w:top="267" w:right="519" w:bottom="1440" w:gutter="0" w:footer="0" w:header="0"/>
        </w:sectPr>
      </w:pPr>
    </w:p>
    <w:bookmarkStart w:id="358" w:name="page359"/>
    <w:bookmarkEnd w:id="358"/>
    <w:p>
      <w:pPr>
        <w:ind w:left="1820" w:hanging="432"/>
        <w:spacing w:after="0"/>
        <w:tabs>
          <w:tab w:leader="none" w:pos="1820" w:val="left"/>
        </w:tabs>
        <w:numPr>
          <w:ilvl w:val="1"/>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t>if none of the foregoing is applicable, by the Committee in good faith.</w:t>
      </w:r>
    </w:p>
    <w:p>
      <w:pPr>
        <w:spacing w:after="0" w:line="219" w:lineRule="exact"/>
        <w:rPr>
          <w:rFonts w:ascii="Arial" w:cs="Arial" w:eastAsia="Arial" w:hAnsi="Arial"/>
          <w:sz w:val="18"/>
          <w:szCs w:val="18"/>
          <w:color w:val="auto"/>
        </w:rPr>
      </w:pPr>
    </w:p>
    <w:p>
      <w:pPr>
        <w:ind w:left="1180" w:hanging="336"/>
        <w:spacing w:after="0"/>
        <w:tabs>
          <w:tab w:leader="none" w:pos="11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the first Trading Day of each Offering Period.</w:t>
      </w:r>
    </w:p>
    <w:p>
      <w:pPr>
        <w:spacing w:after="0" w:line="219" w:lineRule="exact"/>
        <w:rPr>
          <w:rFonts w:ascii="Arial" w:cs="Arial" w:eastAsia="Arial" w:hAnsi="Arial"/>
          <w:sz w:val="18"/>
          <w:szCs w:val="18"/>
          <w:color w:val="auto"/>
        </w:rPr>
      </w:pPr>
    </w:p>
    <w:p>
      <w:pPr>
        <w:ind w:left="-20" w:right="520" w:firstLine="864"/>
        <w:spacing w:after="0" w:line="267" w:lineRule="auto"/>
        <w:tabs>
          <w:tab w:leader="none" w:pos="119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means a period with respect to which the right to purchase Common Stock may be granted under the Plan, as determined by the Committee pursuant to Section 5.</w:t>
      </w:r>
    </w:p>
    <w:p>
      <w:pPr>
        <w:spacing w:after="0" w:line="179" w:lineRule="exact"/>
        <w:rPr>
          <w:rFonts w:ascii="Arial" w:cs="Arial" w:eastAsia="Arial" w:hAnsi="Arial"/>
          <w:sz w:val="18"/>
          <w:szCs w:val="18"/>
          <w:color w:val="auto"/>
        </w:rPr>
      </w:pPr>
    </w:p>
    <w:p>
      <w:pPr>
        <w:ind w:left="1220" w:hanging="376"/>
        <w:spacing w:after="0"/>
        <w:tabs>
          <w:tab w:leader="none" w:pos="1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will have the same meaning as “parent corporation” in Sections 424(e) and 424(f) of the Code.</w:t>
      </w:r>
    </w:p>
    <w:p>
      <w:pPr>
        <w:spacing w:after="0" w:line="219" w:lineRule="exact"/>
        <w:rPr>
          <w:rFonts w:ascii="Arial" w:cs="Arial" w:eastAsia="Arial" w:hAnsi="Arial"/>
          <w:sz w:val="18"/>
          <w:szCs w:val="18"/>
          <w:color w:val="auto"/>
        </w:rPr>
      </w:pPr>
    </w:p>
    <w:p>
      <w:pPr>
        <w:ind w:left="-20" w:right="60" w:firstLine="864"/>
        <w:spacing w:after="0" w:line="267" w:lineRule="auto"/>
        <w:tabs>
          <w:tab w:leader="none" w:pos="119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meets the eligibility requirements set forth in Section 4 and who elects to participate in this Plan subject and pursuant to Section 6.</w:t>
      </w:r>
    </w:p>
    <w:p>
      <w:pPr>
        <w:spacing w:after="0" w:line="179" w:lineRule="exact"/>
        <w:rPr>
          <w:rFonts w:ascii="Arial" w:cs="Arial" w:eastAsia="Arial" w:hAnsi="Arial"/>
          <w:sz w:val="18"/>
          <w:szCs w:val="18"/>
          <w:color w:val="auto"/>
        </w:rPr>
      </w:pPr>
    </w:p>
    <w:p>
      <w:pPr>
        <w:ind w:left="-20" w:right="200" w:firstLine="864"/>
        <w:spacing w:after="0" w:line="267" w:lineRule="auto"/>
        <w:tabs>
          <w:tab w:leader="none" w:pos="128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means any Parent, Subsidiary or Affiliate that the Board designates from time to time as a corporation that will participate in this Plan.</w:t>
      </w:r>
    </w:p>
    <w:p>
      <w:pPr>
        <w:spacing w:after="0" w:line="179" w:lineRule="exact"/>
        <w:rPr>
          <w:rFonts w:ascii="Arial" w:cs="Arial" w:eastAsia="Arial" w:hAnsi="Arial"/>
          <w:sz w:val="18"/>
          <w:szCs w:val="18"/>
          <w:color w:val="auto"/>
        </w:rPr>
      </w:pPr>
    </w:p>
    <w:p>
      <w:pPr>
        <w:ind w:left="1220" w:hanging="376"/>
        <w:spacing w:after="0"/>
        <w:tabs>
          <w:tab w:leader="none" w:pos="1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Stoke Therapeutics, Inc. 2019 Employee Stock Purchase Plan.</w:t>
      </w:r>
    </w:p>
    <w:p>
      <w:pPr>
        <w:spacing w:after="0" w:line="219" w:lineRule="exact"/>
        <w:rPr>
          <w:rFonts w:ascii="Arial" w:cs="Arial" w:eastAsia="Arial" w:hAnsi="Arial"/>
          <w:sz w:val="18"/>
          <w:szCs w:val="18"/>
          <w:color w:val="auto"/>
        </w:rPr>
      </w:pPr>
    </w:p>
    <w:p>
      <w:pPr>
        <w:ind w:left="1220" w:hanging="376"/>
        <w:spacing w:after="0"/>
        <w:tabs>
          <w:tab w:leader="none" w:pos="12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last Trading Day of each Purchase Period.</w:t>
      </w:r>
    </w:p>
    <w:p>
      <w:pPr>
        <w:spacing w:after="0" w:line="219" w:lineRule="exact"/>
        <w:rPr>
          <w:rFonts w:ascii="Arial" w:cs="Arial" w:eastAsia="Arial" w:hAnsi="Arial"/>
          <w:sz w:val="18"/>
          <w:szCs w:val="18"/>
          <w:color w:val="auto"/>
        </w:rPr>
      </w:pPr>
    </w:p>
    <w:p>
      <w:pPr>
        <w:ind w:left="-20" w:firstLine="864"/>
        <w:spacing w:after="0" w:line="267" w:lineRule="auto"/>
        <w:tabs>
          <w:tab w:leader="none" w:pos="123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during which contributions may be made toward the purchase of Common Stock under the Plan, as determined by the Committee pursuant to Section 5(b).</w:t>
      </w:r>
    </w:p>
    <w:p>
      <w:pPr>
        <w:spacing w:after="0" w:line="179" w:lineRule="exact"/>
        <w:rPr>
          <w:rFonts w:ascii="Arial" w:cs="Arial" w:eastAsia="Arial" w:hAnsi="Arial"/>
          <w:sz w:val="18"/>
          <w:szCs w:val="18"/>
          <w:color w:val="auto"/>
        </w:rPr>
      </w:pPr>
    </w:p>
    <w:p>
      <w:pPr>
        <w:ind w:left="-20" w:right="540" w:firstLine="864"/>
        <w:spacing w:after="0" w:line="267" w:lineRule="auto"/>
        <w:tabs>
          <w:tab w:leader="none" w:pos="123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at which Participants may purchase a share of Common Stock under the Plan, as determined pursuant to Section 8.</w:t>
      </w:r>
    </w:p>
    <w:p>
      <w:pPr>
        <w:spacing w:after="0" w:line="179" w:lineRule="exact"/>
        <w:rPr>
          <w:rFonts w:ascii="Arial" w:cs="Arial" w:eastAsia="Arial" w:hAnsi="Arial"/>
          <w:sz w:val="18"/>
          <w:szCs w:val="18"/>
          <w:color w:val="auto"/>
        </w:rPr>
      </w:pPr>
    </w:p>
    <w:p>
      <w:pPr>
        <w:ind w:left="1200" w:hanging="356"/>
        <w:spacing w:after="0"/>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219" w:lineRule="exact"/>
        <w:rPr>
          <w:rFonts w:ascii="Arial" w:cs="Arial" w:eastAsia="Arial" w:hAnsi="Arial"/>
          <w:sz w:val="18"/>
          <w:szCs w:val="18"/>
          <w:color w:val="auto"/>
        </w:rPr>
      </w:pPr>
    </w:p>
    <w:p>
      <w:pPr>
        <w:ind w:left="1200" w:hanging="356"/>
        <w:spacing w:after="0"/>
        <w:tabs>
          <w:tab w:leader="none" w:pos="12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will have the same meaning as “subsidiary corporation” in Sections 424(e) and 424(f) of the Code.</w:t>
      </w:r>
    </w:p>
    <w:p>
      <w:pPr>
        <w:spacing w:after="0" w:line="219" w:lineRule="exact"/>
        <w:rPr>
          <w:rFonts w:ascii="Arial" w:cs="Arial" w:eastAsia="Arial" w:hAnsi="Arial"/>
          <w:sz w:val="18"/>
          <w:szCs w:val="18"/>
          <w:color w:val="auto"/>
        </w:rPr>
      </w:pPr>
    </w:p>
    <w:p>
      <w:pPr>
        <w:ind w:left="1180" w:hanging="336"/>
        <w:spacing w:after="0"/>
        <w:tabs>
          <w:tab w:leader="none" w:pos="11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means a day on which the national stock exchange upon which the Common Stock is listed is open for trading.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540" w:top="274" w:right="539"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213"/>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TOKE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w:t>
            </w:r>
            <w:r>
              <w:rPr>
                <w:rFonts w:ascii="Arial" w:cs="Arial" w:eastAsia="Arial" w:hAnsi="Arial"/>
                <w:sz w:val="14"/>
                <w:szCs w:val="14"/>
                <w:b w:val="1"/>
                <w:b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w:t>
            </w:r>
            <w:r>
              <w:rPr>
                <w:rFonts w:ascii="Arial" w:cs="Arial" w:eastAsia="Arial" w:hAnsi="Arial"/>
                <w:sz w:val="14"/>
                <w:szCs w:val="14"/>
                <w:b w:val="1"/>
                <w:bCs w:val="1"/>
                <w:i w:val="1"/>
                <w:iCs w:val="1"/>
                <w:color w:val="auto"/>
              </w:rPr>
              <w:t>OMPANY</w:t>
            </w:r>
            <w:r>
              <w:rPr>
                <w:rFonts w:ascii="Arial" w:cs="Arial" w:eastAsia="Arial" w:hAnsi="Arial"/>
                <w:sz w:val="18"/>
                <w:szCs w:val="18"/>
                <w:b w:val="1"/>
                <w:bCs w:val="1"/>
                <w:color w:val="auto"/>
              </w:rPr>
              <w:t>”)</w:t>
            </w:r>
          </w:p>
        </w:tc>
        <w:tc>
          <w:tcPr>
            <w:tcW w:w="4580" w:type="dxa"/>
            <w:vAlign w:val="bottom"/>
            <w:gridSpan w:val="5"/>
          </w:tcPr>
          <w:p>
            <w:pPr>
              <w:ind w:left="9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NROLLMENT</w:t>
            </w:r>
            <w:r>
              <w:rPr>
                <w:rFonts w:ascii="Arial" w:cs="Arial" w:eastAsia="Arial" w:hAnsi="Arial"/>
                <w:sz w:val="18"/>
                <w:szCs w:val="18"/>
                <w:b w:val="1"/>
                <w:bCs w:val="1"/>
                <w:color w:val="auto"/>
              </w:rPr>
              <w:t>/C</w:t>
            </w:r>
            <w:r>
              <w:rPr>
                <w:rFonts w:ascii="Arial" w:cs="Arial" w:eastAsia="Arial" w:hAnsi="Arial"/>
                <w:sz w:val="14"/>
                <w:szCs w:val="14"/>
                <w:b w:val="1"/>
                <w:bCs w:val="1"/>
                <w:color w:val="auto"/>
              </w:rPr>
              <w:t>HANGE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ORM</w:t>
            </w:r>
          </w:p>
        </w:tc>
      </w:tr>
      <w:tr>
        <w:trPr>
          <w:trHeight w:val="230"/>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2019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67"/>
        </w:trPr>
        <w:tc>
          <w:tcPr>
            <w:tcW w:w="15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w:t>
            </w:r>
          </w:p>
        </w:tc>
        <w:tc>
          <w:tcPr>
            <w:tcW w:w="4420" w:type="dxa"/>
            <w:vAlign w:val="bottom"/>
            <w:gridSpan w:val="3"/>
          </w:tcPr>
          <w:p>
            <w:pPr>
              <w:ind w:left="2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HECK</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ESIRED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w:t>
            </w:r>
            <w:r>
              <w:rPr>
                <w:rFonts w:ascii="Arial" w:cs="Arial" w:eastAsia="Arial" w:hAnsi="Arial"/>
                <w:sz w:val="18"/>
                <w:szCs w:val="18"/>
                <w:color w:val="auto"/>
              </w:rPr>
              <w:t>:</w:t>
            </w:r>
          </w:p>
        </w:tc>
        <w:tc>
          <w:tcPr>
            <w:tcW w:w="4580" w:type="dxa"/>
            <w:vAlign w:val="bottom"/>
            <w:gridSpan w:val="5"/>
          </w:tcPr>
          <w:p>
            <w:pPr>
              <w:ind w:left="1180"/>
              <w:spacing w:after="0"/>
              <w:rPr>
                <w:sz w:val="20"/>
                <w:szCs w:val="20"/>
                <w:color w:val="auto"/>
              </w:rPr>
            </w:pPr>
            <w:r>
              <w:rPr>
                <w:rFonts w:ascii="Arial" w:cs="Arial" w:eastAsia="Arial" w:hAnsi="Arial"/>
                <w:sz w:val="15"/>
                <w:szCs w:val="15"/>
                <w:b w:val="1"/>
                <w:bCs w:val="1"/>
                <w:color w:val="auto"/>
              </w:rPr>
              <w:t xml:space="preserve">AND </w:t>
            </w:r>
            <w:r>
              <w:rPr>
                <w:rFonts w:ascii="Arial" w:cs="Arial" w:eastAsia="Arial" w:hAnsi="Arial"/>
                <w:sz w:val="17"/>
                <w:szCs w:val="17"/>
                <w:b w:val="1"/>
                <w:bCs w:val="1"/>
                <w:color w:val="auto"/>
              </w:rPr>
              <w:t>C</w:t>
            </w:r>
            <w:r>
              <w:rPr>
                <w:rFonts w:ascii="Arial" w:cs="Arial" w:eastAsia="Arial" w:hAnsi="Arial"/>
                <w:sz w:val="15"/>
                <w:szCs w:val="15"/>
                <w:b w:val="1"/>
                <w:bCs w:val="1"/>
                <w:color w:val="auto"/>
              </w:rPr>
              <w:t xml:space="preserve">OMPLETE </w:t>
            </w:r>
            <w:r>
              <w:rPr>
                <w:rFonts w:ascii="Arial" w:cs="Arial" w:eastAsia="Arial" w:hAnsi="Arial"/>
                <w:sz w:val="17"/>
                <w:szCs w:val="17"/>
                <w:b w:val="1"/>
                <w:bCs w:val="1"/>
                <w:color w:val="auto"/>
              </w:rPr>
              <w:t>S</w:t>
            </w:r>
            <w:r>
              <w:rPr>
                <w:rFonts w:ascii="Arial" w:cs="Arial" w:eastAsia="Arial" w:hAnsi="Arial"/>
                <w:sz w:val="15"/>
                <w:szCs w:val="15"/>
                <w:b w:val="1"/>
                <w:bCs w:val="1"/>
                <w:color w:val="auto"/>
              </w:rPr>
              <w:t>ECTIONS</w:t>
            </w:r>
            <w:r>
              <w:rPr>
                <w:rFonts w:ascii="Arial" w:cs="Arial" w:eastAsia="Arial" w:hAnsi="Arial"/>
                <w:sz w:val="17"/>
                <w:szCs w:val="17"/>
                <w:b w:val="1"/>
                <w:bCs w:val="1"/>
                <w:color w:val="auto"/>
              </w:rPr>
              <w:t>:</w:t>
            </w:r>
          </w:p>
        </w:tc>
      </w:tr>
      <w:tr>
        <w:trPr>
          <w:trHeight w:val="288"/>
        </w:trPr>
        <w:tc>
          <w:tcPr>
            <w:tcW w:w="158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CTIONS</w:t>
            </w:r>
          </w:p>
        </w:tc>
        <w:tc>
          <w:tcPr>
            <w:tcW w:w="4420" w:type="dxa"/>
            <w:vAlign w:val="bottom"/>
            <w:gridSpan w:val="3"/>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Enroll in the ESPP</w:t>
            </w:r>
          </w:p>
        </w:tc>
        <w:tc>
          <w:tcPr>
            <w:tcW w:w="1300" w:type="dxa"/>
            <w:vAlign w:val="bottom"/>
          </w:tcPr>
          <w:p>
            <w:pPr>
              <w:ind w:left="1180"/>
              <w:spacing w:after="0"/>
              <w:rPr>
                <w:sz w:val="20"/>
                <w:szCs w:val="20"/>
                <w:color w:val="auto"/>
              </w:rPr>
            </w:pPr>
            <w:r>
              <w:rPr>
                <w:rFonts w:ascii="Arial" w:cs="Arial" w:eastAsia="Arial" w:hAnsi="Arial"/>
                <w:sz w:val="18"/>
                <w:szCs w:val="18"/>
                <w:color w:val="auto"/>
                <w:w w:val="99"/>
              </w:rPr>
              <w:t>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+ 3</w:t>
            </w:r>
          </w:p>
        </w:tc>
        <w:tc>
          <w:tcPr>
            <w:tcW w:w="900" w:type="dxa"/>
            <w:vAlign w:val="bottom"/>
          </w:tcPr>
          <w:p>
            <w:pPr>
              <w:ind w:left="20"/>
              <w:spacing w:after="0"/>
              <w:rPr>
                <w:sz w:val="20"/>
                <w:szCs w:val="20"/>
                <w:color w:val="auto"/>
              </w:rPr>
            </w:pPr>
            <w:r>
              <w:rPr>
                <w:rFonts w:ascii="Arial" w:cs="Arial" w:eastAsia="Arial" w:hAnsi="Arial"/>
                <w:sz w:val="18"/>
                <w:szCs w:val="18"/>
                <w:color w:val="auto"/>
              </w:rPr>
              <w:t>+ 4 + 16</w:t>
            </w:r>
          </w:p>
        </w:tc>
        <w:tc>
          <w:tcPr>
            <w:tcW w:w="2100" w:type="dxa"/>
            <w:vAlign w:val="bottom"/>
          </w:tcPr>
          <w:p>
            <w:pPr>
              <w:spacing w:after="0"/>
              <w:rPr>
                <w:sz w:val="24"/>
                <w:szCs w:val="24"/>
                <w:color w:val="auto"/>
              </w:rPr>
            </w:pPr>
          </w:p>
        </w:tc>
      </w:tr>
      <w:tr>
        <w:trPr>
          <w:trHeight w:val="213"/>
        </w:trPr>
        <w:tc>
          <w:tcPr>
            <w:tcW w:w="1580" w:type="dxa"/>
            <w:vAlign w:val="bottom"/>
          </w:tcPr>
          <w:p>
            <w:pPr>
              <w:spacing w:after="0"/>
              <w:rPr>
                <w:sz w:val="18"/>
                <w:szCs w:val="18"/>
                <w:color w:val="auto"/>
              </w:rPr>
            </w:pPr>
          </w:p>
        </w:tc>
        <w:tc>
          <w:tcPr>
            <w:tcW w:w="4420" w:type="dxa"/>
            <w:vAlign w:val="bottom"/>
            <w:gridSpan w:val="3"/>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Elect / Change Contribution Percentage</w:t>
            </w:r>
          </w:p>
        </w:tc>
        <w:tc>
          <w:tcPr>
            <w:tcW w:w="1300" w:type="dxa"/>
            <w:vAlign w:val="bottom"/>
          </w:tcPr>
          <w:p>
            <w:pPr>
              <w:ind w:left="1180"/>
              <w:spacing w:after="0"/>
              <w:rPr>
                <w:sz w:val="20"/>
                <w:szCs w:val="20"/>
                <w:color w:val="auto"/>
              </w:rPr>
            </w:pPr>
            <w:r>
              <w:rPr>
                <w:rFonts w:ascii="Arial" w:cs="Arial" w:eastAsia="Arial" w:hAnsi="Arial"/>
                <w:sz w:val="18"/>
                <w:szCs w:val="18"/>
                <w:color w:val="auto"/>
                <w:w w:val="99"/>
              </w:rPr>
              <w:t>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+ 4</w:t>
            </w:r>
          </w:p>
        </w:tc>
        <w:tc>
          <w:tcPr>
            <w:tcW w:w="900" w:type="dxa"/>
            <w:vAlign w:val="bottom"/>
          </w:tcPr>
          <w:p>
            <w:pPr>
              <w:ind w:left="20"/>
              <w:spacing w:after="0"/>
              <w:rPr>
                <w:sz w:val="20"/>
                <w:szCs w:val="20"/>
                <w:color w:val="auto"/>
              </w:rPr>
            </w:pPr>
            <w:r>
              <w:rPr>
                <w:rFonts w:ascii="Arial" w:cs="Arial" w:eastAsia="Arial" w:hAnsi="Arial"/>
                <w:sz w:val="18"/>
                <w:szCs w:val="18"/>
                <w:color w:val="auto"/>
              </w:rPr>
              <w:t>+ 16</w:t>
            </w:r>
          </w:p>
        </w:tc>
        <w:tc>
          <w:tcPr>
            <w:tcW w:w="2100" w:type="dxa"/>
            <w:vAlign w:val="bottom"/>
          </w:tcPr>
          <w:p>
            <w:pPr>
              <w:spacing w:after="0"/>
              <w:rPr>
                <w:sz w:val="18"/>
                <w:szCs w:val="18"/>
                <w:color w:val="auto"/>
              </w:rPr>
            </w:pPr>
          </w:p>
        </w:tc>
      </w:tr>
      <w:tr>
        <w:trPr>
          <w:trHeight w:val="261"/>
        </w:trPr>
        <w:tc>
          <w:tcPr>
            <w:tcW w:w="1580" w:type="dxa"/>
            <w:vAlign w:val="bottom"/>
          </w:tcPr>
          <w:p>
            <w:pPr>
              <w:spacing w:after="0"/>
              <w:rPr>
                <w:sz w:val="22"/>
                <w:szCs w:val="22"/>
                <w:color w:val="auto"/>
              </w:rPr>
            </w:pPr>
          </w:p>
        </w:tc>
        <w:tc>
          <w:tcPr>
            <w:tcW w:w="4420" w:type="dxa"/>
            <w:vAlign w:val="bottom"/>
            <w:gridSpan w:val="3"/>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Withdraw from Plan</w:t>
            </w:r>
          </w:p>
        </w:tc>
        <w:tc>
          <w:tcPr>
            <w:tcW w:w="1300" w:type="dxa"/>
            <w:vAlign w:val="bottom"/>
          </w:tcPr>
          <w:p>
            <w:pPr>
              <w:ind w:left="1180"/>
              <w:spacing w:after="0"/>
              <w:rPr>
                <w:sz w:val="20"/>
                <w:szCs w:val="20"/>
                <w:color w:val="auto"/>
              </w:rPr>
            </w:pPr>
            <w:r>
              <w:rPr>
                <w:rFonts w:ascii="Arial" w:cs="Arial" w:eastAsia="Arial" w:hAnsi="Arial"/>
                <w:sz w:val="18"/>
                <w:szCs w:val="18"/>
                <w:color w:val="auto"/>
                <w:w w:val="99"/>
              </w:rPr>
              <w:t>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+ 5</w:t>
            </w:r>
          </w:p>
        </w:tc>
        <w:tc>
          <w:tcPr>
            <w:tcW w:w="900" w:type="dxa"/>
            <w:vAlign w:val="bottom"/>
          </w:tcPr>
          <w:p>
            <w:pPr>
              <w:ind w:left="20"/>
              <w:spacing w:after="0"/>
              <w:rPr>
                <w:sz w:val="20"/>
                <w:szCs w:val="20"/>
                <w:color w:val="auto"/>
              </w:rPr>
            </w:pPr>
            <w:r>
              <w:rPr>
                <w:rFonts w:ascii="Arial" w:cs="Arial" w:eastAsia="Arial" w:hAnsi="Arial"/>
                <w:sz w:val="18"/>
                <w:szCs w:val="18"/>
                <w:color w:val="auto"/>
              </w:rPr>
              <w:t>+ 16</w:t>
            </w:r>
          </w:p>
        </w:tc>
        <w:tc>
          <w:tcPr>
            <w:tcW w:w="2100" w:type="dxa"/>
            <w:vAlign w:val="bottom"/>
          </w:tcPr>
          <w:p>
            <w:pPr>
              <w:spacing w:after="0"/>
              <w:rPr>
                <w:sz w:val="22"/>
                <w:szCs w:val="22"/>
                <w:color w:val="auto"/>
              </w:rPr>
            </w:pPr>
          </w:p>
        </w:tc>
      </w:tr>
      <w:tr>
        <w:trPr>
          <w:trHeight w:val="186"/>
        </w:trPr>
        <w:tc>
          <w:tcPr>
            <w:tcW w:w="1580" w:type="dxa"/>
            <w:vAlign w:val="bottom"/>
          </w:tcPr>
          <w:p>
            <w:pPr>
              <w:spacing w:after="0" w:line="18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w:t>
            </w:r>
          </w:p>
        </w:tc>
        <w:tc>
          <w:tcPr>
            <w:tcW w:w="800" w:type="dxa"/>
            <w:vAlign w:val="bottom"/>
          </w:tcPr>
          <w:p>
            <w:pPr>
              <w:ind w:left="280"/>
              <w:spacing w:after="0" w:line="186" w:lineRule="exact"/>
              <w:rPr>
                <w:sz w:val="20"/>
                <w:szCs w:val="20"/>
                <w:color w:val="auto"/>
              </w:rPr>
            </w:pPr>
            <w:r>
              <w:rPr>
                <w:rFonts w:ascii="Arial" w:cs="Arial" w:eastAsia="Arial" w:hAnsi="Arial"/>
                <w:sz w:val="18"/>
                <w:szCs w:val="18"/>
                <w:color w:val="auto"/>
                <w:w w:val="94"/>
              </w:rPr>
              <w:t>Name:</w:t>
            </w:r>
          </w:p>
        </w:tc>
        <w:tc>
          <w:tcPr>
            <w:tcW w:w="3620" w:type="dxa"/>
            <w:vAlign w:val="bottom"/>
            <w:tcBorders>
              <w:bottom w:val="single" w:sz="8" w:color="auto"/>
            </w:tcBorders>
            <w:gridSpan w:val="2"/>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0" w:type="dxa"/>
            <w:vAlign w:val="bottom"/>
            <w:gridSpan w:val="2"/>
          </w:tcPr>
          <w:p>
            <w:pPr>
              <w:ind w:left="900"/>
              <w:spacing w:after="0" w:line="186" w:lineRule="exact"/>
              <w:rPr>
                <w:sz w:val="20"/>
                <w:szCs w:val="20"/>
                <w:color w:val="auto"/>
              </w:rPr>
            </w:pPr>
            <w:r>
              <w:rPr>
                <w:rFonts w:ascii="Arial" w:cs="Arial" w:eastAsia="Arial" w:hAnsi="Arial"/>
                <w:sz w:val="18"/>
                <w:szCs w:val="18"/>
                <w:color w:val="auto"/>
              </w:rPr>
              <w:t>Employee ID:</w:t>
            </w:r>
          </w:p>
        </w:tc>
      </w:tr>
      <w:tr>
        <w:trPr>
          <w:trHeight w:val="313"/>
        </w:trPr>
        <w:tc>
          <w:tcPr>
            <w:tcW w:w="158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ERSONAL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w w:val="90"/>
              </w:rPr>
              <w:t>Home Address:</w:t>
            </w:r>
          </w:p>
        </w:tc>
        <w:tc>
          <w:tcPr>
            <w:tcW w:w="30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drawing>
          <wp:anchor simplePos="0" relativeHeight="251657728" behindDoc="1" locked="0" layoutInCell="0" allowOverlap="1">
            <wp:simplePos x="0" y="0"/>
            <wp:positionH relativeFrom="column">
              <wp:posOffset>1181100</wp:posOffset>
            </wp:positionH>
            <wp:positionV relativeFrom="paragraph">
              <wp:posOffset>203200</wp:posOffset>
            </wp:positionV>
            <wp:extent cx="36398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1">
                      <a:extLst>
                        <a:ext uri="{28A0092B-C50C-407E-A947-70E740481C1C}"/>
                      </a:extLst>
                    </a:blip>
                    <a:srcRect/>
                    <a:stretch>
                      <a:fillRect/>
                    </a:stretch>
                  </pic:blipFill>
                  <pic:spPr bwMode="auto">
                    <a:xfrm>
                      <a:off x="0" y="0"/>
                      <a:ext cx="36398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Work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-12700</wp:posOffset>
            </wp:positionV>
            <wp:extent cx="29908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2">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ectPr>
          <w:pgSz w:w="11900" w:h="16838" w:orient="portrait"/>
          <w:cols w:equalWidth="0" w:num="1">
            <w:col w:w="10860"/>
          </w:cols>
          <w:pgMar w:left="520" w:top="267" w:right="51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LECT</w:t>
      </w:r>
      <w:r>
        <w:rPr>
          <w:rFonts w:ascii="Arial" w:cs="Arial" w:eastAsia="Arial" w:hAnsi="Arial"/>
          <w:sz w:val="18"/>
          <w:szCs w:val="18"/>
          <w:b w:val="1"/>
          <w:bCs w:val="1"/>
          <w:color w:val="auto"/>
        </w:rPr>
        <w:t>/C</w:t>
      </w:r>
      <w:r>
        <w:rPr>
          <w:rFonts w:ascii="Arial" w:cs="Arial" w:eastAsia="Arial" w:hAnsi="Arial"/>
          <w:sz w:val="14"/>
          <w:szCs w:val="14"/>
          <w:b w:val="1"/>
          <w:bCs w:val="1"/>
          <w:color w:val="auto"/>
        </w:rPr>
        <w:t>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ONTRIBUTION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ERCENTAGE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67" w:lineRule="auto"/>
        <w:tabs>
          <w:tab w:leader="none" w:pos="249" w:val="left"/>
        </w:tabs>
        <w:numPr>
          <w:ilvl w:val="0"/>
          <w:numId w:val="311"/>
        </w:numPr>
        <w:rPr>
          <w:rFonts w:ascii="MS PGothic" w:cs="MS PGothic" w:eastAsia="MS PGothic" w:hAnsi="MS PGothic"/>
          <w:sz w:val="17"/>
          <w:szCs w:val="17"/>
          <w:color w:val="auto"/>
        </w:rPr>
      </w:pPr>
      <w:r>
        <w:rPr>
          <w:rFonts w:ascii="Arial" w:cs="Arial" w:eastAsia="Arial" w:hAnsi="Arial"/>
          <w:sz w:val="17"/>
          <w:szCs w:val="17"/>
          <w:color w:val="auto"/>
        </w:rPr>
        <w:t>I hereby elect to participate in the 2019 Employee Stock Purchase Plan, together with any sub-plan thereto for my country of residence (if any) (the “</w:t>
      </w:r>
      <w:r>
        <w:rPr>
          <w:rFonts w:ascii="Arial" w:cs="Arial" w:eastAsia="Arial" w:hAnsi="Arial"/>
          <w:sz w:val="17"/>
          <w:szCs w:val="17"/>
          <w:b w:val="1"/>
          <w:bCs w:val="1"/>
          <w:i w:val="1"/>
          <w:iCs w:val="1"/>
          <w:color w:val="auto"/>
        </w:rPr>
        <w:t>Sub-Plan</w:t>
      </w:r>
      <w:r>
        <w:rPr>
          <w:rFonts w:ascii="Arial" w:cs="Arial" w:eastAsia="Arial" w:hAnsi="Arial"/>
          <w:sz w:val="17"/>
          <w:szCs w:val="17"/>
          <w:color w:val="auto"/>
        </w:rPr>
        <w:t>”) (together, the “</w:t>
      </w:r>
      <w:r>
        <w:rPr>
          <w:rFonts w:ascii="Arial" w:cs="Arial" w:eastAsia="Arial" w:hAnsi="Arial"/>
          <w:sz w:val="17"/>
          <w:szCs w:val="17"/>
          <w:b w:val="1"/>
          <w:bCs w:val="1"/>
          <w:i w:val="1"/>
          <w:iCs w:val="1"/>
          <w:color w:val="auto"/>
        </w:rPr>
        <w:t>ESPP</w:t>
      </w:r>
      <w:r>
        <w:rPr>
          <w:rFonts w:ascii="Arial" w:cs="Arial" w:eastAsia="Arial" w:hAnsi="Arial"/>
          <w:sz w:val="17"/>
          <w:szCs w:val="17"/>
          <w:color w:val="auto"/>
        </w:rPr>
        <w:t>”), effective at the beginning of the next Offering Period (as defined in the ESPP). I elect to purchase shares of Common Stock of the Company pursuant to the ESPP, this Enrollment/Change Form, and any appendix to this Enrollment/Change Form for my country (if any) (the “</w:t>
      </w:r>
      <w:r>
        <w:rPr>
          <w:rFonts w:ascii="Arial" w:cs="Arial" w:eastAsia="Arial" w:hAnsi="Arial"/>
          <w:sz w:val="17"/>
          <w:szCs w:val="17"/>
          <w:b w:val="1"/>
          <w:bCs w:val="1"/>
          <w:i w:val="1"/>
          <w:iCs w:val="1"/>
          <w:color w:val="auto"/>
        </w:rPr>
        <w:t>Appendix</w:t>
      </w:r>
      <w:r>
        <w:rPr>
          <w:rFonts w:ascii="Arial" w:cs="Arial" w:eastAsia="Arial" w:hAnsi="Arial"/>
          <w:sz w:val="17"/>
          <w:szCs w:val="17"/>
          <w:color w:val="auto"/>
        </w:rPr>
        <w:t>”). I understand that the shares purchased on my behalf will be issued in street name and deposited directly into my brokerage account at the Company’s captive broker (the “</w:t>
      </w:r>
      <w:r>
        <w:rPr>
          <w:rFonts w:ascii="Arial" w:cs="Arial" w:eastAsia="Arial" w:hAnsi="Arial"/>
          <w:sz w:val="17"/>
          <w:szCs w:val="17"/>
          <w:b w:val="1"/>
          <w:bCs w:val="1"/>
          <w:i w:val="1"/>
          <w:iCs w:val="1"/>
          <w:color w:val="auto"/>
        </w:rPr>
        <w:t>ESPP Broker</w:t>
      </w:r>
      <w:r>
        <w:rPr>
          <w:rFonts w:ascii="Arial" w:cs="Arial" w:eastAsia="Arial" w:hAnsi="Arial"/>
          <w:sz w:val="17"/>
          <w:szCs w:val="17"/>
          <w:color w:val="auto"/>
        </w:rPr>
        <w:t>”). I hereby agree to take all steps, and sign all forms, required to establish an account with the ESPP Broker for this purpose.</w:t>
      </w:r>
    </w:p>
    <w:p>
      <w:pPr>
        <w:spacing w:after="0" w:line="9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My participation will continue as long as I remain eligible, unless I withdraw from the ESPP by filing a new Enrollment/Change Form with the Company and/or the Third Party Administrator (as defined in the ESPP). I understand that, if I am subject to tax in the U.S., I must notify the Company of any disposition of shares purchased under the ESPP.</w:t>
      </w:r>
    </w:p>
    <w:p>
      <w:pPr>
        <w:spacing w:after="0" w:line="6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 hereby authorize the Company or the Parent, Subsidiary, or Affiliate employing me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xml:space="preserve">”) to withhold from each of my paychecks such amount as is necessary to equal at the end of the applicable Offering Period the percentage of my Compensation (as defined in the ESPP) paid to me during such Offering Period as indicated below, so long as I continue to participate in the ESPP. </w:t>
      </w:r>
      <w:r>
        <w:rPr>
          <w:rFonts w:ascii="Arial" w:cs="Arial" w:eastAsia="Arial" w:hAnsi="Arial"/>
          <w:sz w:val="18"/>
          <w:szCs w:val="18"/>
          <w:b w:val="1"/>
          <w:bCs w:val="1"/>
          <w:color w:val="auto"/>
        </w:rPr>
        <w:t>The percentage must be a whole number (from 1%, up to a maximum of 15%, with respect to</w:t>
      </w:r>
      <w:r>
        <w:rPr>
          <w:rFonts w:ascii="Arial" w:cs="Arial" w:eastAsia="Arial" w:hAnsi="Arial"/>
          <w:sz w:val="18"/>
          <w:szCs w:val="18"/>
          <w:color w:val="auto"/>
        </w:rPr>
        <w:t xml:space="preserve"> </w:t>
      </w:r>
      <w:r>
        <w:rPr>
          <w:rFonts w:ascii="Arial" w:cs="Arial" w:eastAsia="Arial" w:hAnsi="Arial"/>
          <w:sz w:val="18"/>
          <w:szCs w:val="18"/>
          <w:b w:val="1"/>
          <w:bCs w:val="1"/>
          <w:color w:val="auto"/>
        </w:rPr>
        <w:t>enrollment or an increase in contribution percentage; and from 0%, up to a maximum of 14%, for a decrease in contribution percentage).</w:t>
      </w:r>
    </w:p>
    <w:p>
      <w:pPr>
        <w:spacing w:after="0" w:line="101" w:lineRule="exact"/>
        <w:rPr>
          <w:sz w:val="20"/>
          <w:szCs w:val="20"/>
          <w:color w:val="auto"/>
        </w:rPr>
      </w:pPr>
    </w:p>
    <w:p>
      <w:pPr>
        <w:sectPr>
          <w:pgSz w:w="11900" w:h="16838" w:orient="portrait"/>
          <w:cols w:equalWidth="0" w:num="2">
            <w:col w:w="1240" w:space="620"/>
            <w:col w:w="9000"/>
          </w:cols>
          <w:pgMar w:left="520" w:top="267"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w:t>
      </w:r>
    </w:p>
    <w:p>
      <w:pPr>
        <w:spacing w:after="0" w:line="12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ITHDRAW FROM</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br w:type="column"/>
      </w:r>
    </w:p>
    <w:p>
      <w:pPr>
        <w:spacing w:after="0"/>
        <w:tabs>
          <w:tab w:leader="none" w:pos="2780" w:val="left"/>
        </w:tabs>
        <w:rPr>
          <w:sz w:val="20"/>
          <w:szCs w:val="20"/>
          <w:color w:val="auto"/>
        </w:rPr>
      </w:pPr>
      <w:r>
        <w:rPr>
          <w:rFonts w:ascii="Arial" w:cs="Arial" w:eastAsia="Arial" w:hAnsi="Arial"/>
          <w:sz w:val="18"/>
          <w:szCs w:val="18"/>
          <w:color w:val="auto"/>
        </w:rPr>
        <w:t>Designated contribution percentage:</w:t>
      </w:r>
      <w:r>
        <w:rPr>
          <w:sz w:val="20"/>
          <w:szCs w:val="20"/>
          <w:color w:val="auto"/>
        </w:rPr>
        <w:tab/>
      </w:r>
      <w:r>
        <w:rPr>
          <w:rFonts w:ascii="Arial" w:cs="Arial" w:eastAsia="Arial" w:hAnsi="Arial"/>
          <w:sz w:val="14"/>
          <w:szCs w:val="14"/>
          <w:color w:val="auto"/>
        </w:rPr>
        <w:t>%</w:t>
      </w:r>
    </w:p>
    <w:p>
      <w:pPr>
        <w:spacing w:after="0" w:line="9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If this is a change to my current enrollment, this represents an </w:t>
      </w:r>
      <w:r>
        <w:rPr>
          <w:rFonts w:ascii="MS PGothic" w:cs="MS PGothic" w:eastAsia="MS PGothic" w:hAnsi="MS PGothic"/>
          <w:sz w:val="17"/>
          <w:szCs w:val="17"/>
          <w:color w:val="auto"/>
        </w:rPr>
        <w:t>☐</w:t>
      </w:r>
      <w:r>
        <w:rPr>
          <w:rFonts w:ascii="Arial" w:cs="Arial" w:eastAsia="Arial" w:hAnsi="Arial"/>
          <w:sz w:val="17"/>
          <w:szCs w:val="17"/>
          <w:color w:val="auto"/>
        </w:rPr>
        <w:t xml:space="preserve"> increase </w:t>
      </w:r>
      <w:r>
        <w:rPr>
          <w:rFonts w:ascii="MS PGothic" w:cs="MS PGothic" w:eastAsia="MS PGothic" w:hAnsi="MS PGothic"/>
          <w:sz w:val="17"/>
          <w:szCs w:val="17"/>
          <w:color w:val="auto"/>
        </w:rPr>
        <w:t>☐</w:t>
      </w:r>
      <w:r>
        <w:rPr>
          <w:rFonts w:ascii="Arial" w:cs="Arial" w:eastAsia="Arial" w:hAnsi="Arial"/>
          <w:sz w:val="17"/>
          <w:szCs w:val="17"/>
          <w:color w:val="auto"/>
        </w:rPr>
        <w:t xml:space="preserve"> decrease to my contribution percentage.</w:t>
      </w:r>
    </w:p>
    <w:p>
      <w:pPr>
        <w:spacing w:after="0" w:line="166" w:lineRule="exact"/>
        <w:rPr>
          <w:sz w:val="20"/>
          <w:szCs w:val="20"/>
          <w:color w:val="auto"/>
        </w:rPr>
      </w:pPr>
    </w:p>
    <w:p>
      <w:pPr>
        <w:ind w:left="540" w:right="100" w:hanging="532"/>
        <w:spacing w:after="0" w:line="270"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You may not increase your contributions at any time within an on-going Offering Period. An increase in your</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 percentage can only take effect with the next Offering Period. You may decrease your contribution percentage to a percentage other than 0% only once within an ongoing Offering Period to be effective during that Offering Period. If you decrease your percentage to 0%, any previously accumulated contributions will be used to purchase shares on the next Purchase Date pursuant to Section 9 of the ESPP. A change will become effective as soon as reasonably practicable after the form is received by the Company.</w:t>
      </w:r>
    </w:p>
    <w:p>
      <w:pPr>
        <w:spacing w:after="0" w:line="87" w:lineRule="exact"/>
        <w:rPr>
          <w:sz w:val="20"/>
          <w:szCs w:val="20"/>
          <w:color w:val="auto"/>
        </w:rPr>
      </w:pPr>
    </w:p>
    <w:p>
      <w:pPr>
        <w:ind w:left="360" w:hanging="360"/>
        <w:spacing w:after="0" w:line="254" w:lineRule="auto"/>
        <w:tabs>
          <w:tab w:leader="none" w:pos="324" w:val="left"/>
        </w:tabs>
        <w:numPr>
          <w:ilvl w:val="0"/>
          <w:numId w:val="312"/>
        </w:numPr>
        <w:rPr>
          <w:rFonts w:ascii="MS PGothic" w:cs="MS PGothic" w:eastAsia="MS PGothic" w:hAnsi="MS PGothic"/>
          <w:sz w:val="18"/>
          <w:szCs w:val="18"/>
          <w:color w:val="auto"/>
        </w:rPr>
      </w:pPr>
      <w:r>
        <w:rPr>
          <w:rFonts w:ascii="Arial" w:cs="Arial" w:eastAsia="Arial" w:hAnsi="Arial"/>
          <w:sz w:val="18"/>
          <w:szCs w:val="18"/>
          <w:color w:val="auto"/>
        </w:rPr>
        <w:t xml:space="preserve">I hereby elect to </w:t>
      </w:r>
      <w:r>
        <w:rPr>
          <w:rFonts w:ascii="Arial" w:cs="Arial" w:eastAsia="Arial" w:hAnsi="Arial"/>
          <w:sz w:val="18"/>
          <w:szCs w:val="18"/>
          <w:u w:val="single" w:color="auto"/>
          <w:color w:val="auto"/>
        </w:rPr>
        <w:t>withdraw from, and discontinue my participation in, the ESPP</w:t>
      </w:r>
      <w:r>
        <w:rPr>
          <w:rFonts w:ascii="Arial" w:cs="Arial" w:eastAsia="Arial" w:hAnsi="Arial"/>
          <w:sz w:val="18"/>
          <w:szCs w:val="18"/>
          <w:color w:val="auto"/>
        </w:rPr>
        <w:t>, effective as soon as reasonably practicable after this form is received by the Company. Accumulated contributions will be returned to me without interest (except to the extent required due to local legal requirements outside the United States), pursuant to Section 11 of the ESPP.</w:t>
      </w:r>
    </w:p>
    <w:p>
      <w:pPr>
        <w:sectPr>
          <w:pgSz w:w="11900" w:h="16838" w:orient="portrait"/>
          <w:cols w:equalWidth="0" w:num="2">
            <w:col w:w="1400" w:space="460"/>
            <w:col w:w="9000"/>
          </w:cols>
          <w:pgMar w:left="520" w:top="267" w:right="519" w:bottom="1440" w:gutter="0" w:footer="0" w:header="0"/>
          <w:type w:val="continuous"/>
        </w:sectPr>
      </w:pPr>
    </w:p>
    <w:bookmarkStart w:id="360" w:name="page361"/>
    <w:bookmarkEnd w:id="360"/>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p>
    <w:p>
      <w:pPr>
        <w:spacing w:after="0" w:line="20" w:lineRule="exact"/>
        <w:rPr>
          <w:sz w:val="20"/>
          <w:szCs w:val="20"/>
          <w:color w:val="auto"/>
        </w:rPr>
      </w:pPr>
      <w:r>
        <w:rPr>
          <w:sz w:val="20"/>
          <w:szCs w:val="20"/>
          <w:color w:val="auto"/>
        </w:rPr>
        <w:br w:type="column"/>
      </w:r>
    </w:p>
    <w:p>
      <w:pPr>
        <w:jc w:val="both"/>
        <w:ind w:left="6" w:right="40"/>
        <w:spacing w:after="0" w:line="285" w:lineRule="auto"/>
        <w:rPr>
          <w:sz w:val="20"/>
          <w:szCs w:val="20"/>
          <w:color w:val="auto"/>
        </w:rPr>
      </w:pPr>
      <w:r>
        <w:rPr>
          <w:rFonts w:ascii="Arial" w:cs="Arial" w:eastAsia="Arial" w:hAnsi="Arial"/>
          <w:sz w:val="16"/>
          <w:szCs w:val="16"/>
          <w:color w:val="auto"/>
        </w:rPr>
        <w:t>By enrolling in the ESPP, I understand, acknowledge, and agree that (a) the ESPP is established voluntarily by the Company, it is discretionary in nature and it may be amended, terminated or modified at any time, to the extent permitted by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-361950</wp:posOffset>
            </wp:positionV>
            <wp:extent cx="72904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ind w:left="6" w:right="20" w:hanging="6"/>
        <w:spacing w:after="0" w:line="278" w:lineRule="auto"/>
        <w:tabs>
          <w:tab w:leader="none" w:pos="258"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grant of the right to purchase shares of Common Stock under the ESPP is voluntary and does not create any contractual or other right to receive future rights to purchase shares of Common Stock, or benefits in lieu of rights to purchase shares, even if rights to purchase shares have been granted in the past; (c) all decisions with respect to future grants of rights to purchase shares of Common Stock under the ESPP, if any, will be at the sole discretion of the Company; (d) the grant of rights to purchase shares of Common Stock under the ESPP and my participation in the ESPP shall not create a right to employment or be interpreted as forming an employment or service agreement with the Company; (e) the grant of rights to purchase shares of Common Stock under the ESPP and my participation in the ESPP shall not interfere with the ability of the Employer to terminate my employment relationship at any time with or without cause; (f) I am voluntarily participating in the ESPP; (g) the rights to purchase shares of Common Stock and the shares purchased under the ESPP, and the income and value of same, are not intended to replace any pension rights or compensation; (h) the rights to purchase shares of Common Stock and the shares purchased under the ESPP, and the income and value of same, are not part of normal or expected compensation for purposes of, including, but not limited to, calculating any severance, resignation, termination, redundancy, dismissal, end of service payments, bonuses, long-service awards, pension or retirement benefits or similar payments;</w:t>
      </w:r>
    </w:p>
    <w:p>
      <w:pPr>
        <w:spacing w:after="0" w:line="3" w:lineRule="exact"/>
        <w:rPr>
          <w:rFonts w:ascii="Arial" w:cs="Arial" w:eastAsia="Arial" w:hAnsi="Arial"/>
          <w:sz w:val="16"/>
          <w:szCs w:val="16"/>
          <w:color w:val="auto"/>
        </w:rPr>
      </w:pPr>
    </w:p>
    <w:p>
      <w:pPr>
        <w:ind w:left="6" w:hanging="6"/>
        <w:spacing w:after="0" w:line="279" w:lineRule="auto"/>
        <w:tabs>
          <w:tab w:leader="none" w:pos="21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unless otherwise agreed with the Company, the rights to purchase shares of Common Stock and the shares purchased under the ESPP, and the income and value of same, are not granted as consideration for, or in connection with, any service I may provide as a director of the Subsidiary or Affiliate; (j) the future value of the underlying shares purchased or to be purchased under the ESPP is unknown, indeterminable, and cannot be predicted with certainty, and the value of the shares of Common Stock purchased under the ESPP may increase or decrease in the future, even below the Purchase Price; (k) no claim or entitlement to compensation or damages shall arise from termination of the right to purchase shares of Common Stock under the ESPP resulting from termination of my employment (for any reason whatsoever and whether or not later found to be invalid or in breach of employment laws in the jurisdiction where I am employed or the terms of my employment agreement, if any) and in consideration of the grant of rights to purchase shares of Common Stock under the ESPP, I irrevocably agree never to institute any claim against the Company, the Parent, the Employer or any other Subsidiary or Affiliate, I hereby waive my ability, if any, to bring any such claim, and I release the Company, the Parent, the Employer or any other Subsidiary or Affiliate from any such claim; if, notwithstanding the foregoing, any such claim is allowed by a court of competent jurisdiction, then, by enrolling in the ESPP, I shall be deemed irrevocably to have agreed not to pursue such claim and agree to execute any and all documents necessary to request dismissal or withdrawal of such claims; (l) in the event of termination of my employment (for any reason whatsoever, whether or not later found to be invalid or in breach of employment laws in the jurisdiction where I am employed or the terms of my employment agreement, if any), my right to participate in the ESPP and my right to purchase shares of Common Stock, if any, will terminate effective as of the date I cease to actively provide services and will not be extended by any notice period (</w:t>
      </w:r>
      <w:r>
        <w:rPr>
          <w:rFonts w:ascii="Arial" w:cs="Arial" w:eastAsia="Arial" w:hAnsi="Arial"/>
          <w:sz w:val="16"/>
          <w:szCs w:val="16"/>
          <w:i w:val="1"/>
          <w:iCs w:val="1"/>
          <w:color w:val="auto"/>
        </w:rPr>
        <w:t>e.g.</w:t>
      </w:r>
      <w:r>
        <w:rPr>
          <w:rFonts w:ascii="Arial" w:cs="Arial" w:eastAsia="Arial" w:hAnsi="Arial"/>
          <w:sz w:val="16"/>
          <w:szCs w:val="16"/>
          <w:color w:val="auto"/>
        </w:rPr>
        <w:t>, employment would not include any contractual notice or any period of “garden leave” or similar period mandated under employment laws in the jurisdiction where I am employed or the terms of my employment agreement, if any); the Committee shall have exclusive discretion to determine when I am no longer actively employed for purposes of my participation in the ESPP (including whether I may still be considered to be providing services while on a leave of absence); (m) unless otherwise provided in the ESPP or by the Company in its discretion, the right to purchase shares of Common Stock and the benefits evidenced by this Enrollment/Change Form do not create any entitlement to have the ESPP or any such benefits granted thereunder transferred to, or assumed by, another company nor to be exchanged, cashed out or substituted for, in connection with any Corporate Transaction affecting the Common Stock; and (n) if I am providing services outside the United States: (1) the rights to purchase shares of Common Stock and the shares purchased under the ESPP, and the income and value of same, are not part of normal or expected compensation or salary for any purpose, and (2) neither the Company, the Parent, the Employer nor any other Subsidiary or Affiliate shall be liable for any foreign exchange rate fluctuation between my local currency and the United States Dollar that may affect the value of the rights to purchase shares of Common Stock, the shares purchased under the ESPP or any amounts due to me pursuant to the sale of any shares of Common Stock acquired under the ESPP.</w:t>
      </w:r>
    </w:p>
    <w:p>
      <w:pPr>
        <w:sectPr>
          <w:pgSz w:w="11900" w:h="16838" w:orient="portrait"/>
          <w:cols w:equalWidth="0" w:num="2">
            <w:col w:w="1480" w:space="474"/>
            <w:col w:w="8926"/>
          </w:cols>
          <w:pgMar w:left="520" w:top="274" w:right="49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8:</w:t>
      </w:r>
    </w:p>
    <w:p>
      <w:pPr>
        <w:spacing w:after="0" w:line="12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ESPONSIBILITY FOR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20" w:lineRule="exact"/>
        <w:rPr>
          <w:sz w:val="20"/>
          <w:szCs w:val="20"/>
          <w:color w:val="auto"/>
        </w:rPr>
      </w:pPr>
      <w:r>
        <w:rPr>
          <w:sz w:val="20"/>
          <w:szCs w:val="20"/>
          <w:color w:val="auto"/>
        </w:rPr>
        <w:br w:type="column"/>
      </w:r>
    </w:p>
    <w:p>
      <w:pPr>
        <w:ind w:left="6"/>
        <w:spacing w:after="0" w:line="278" w:lineRule="auto"/>
        <w:rPr>
          <w:sz w:val="20"/>
          <w:szCs w:val="20"/>
          <w:color w:val="auto"/>
        </w:rPr>
      </w:pPr>
      <w:r>
        <w:rPr>
          <w:rFonts w:ascii="Arial" w:cs="Arial" w:eastAsia="Arial" w:hAnsi="Arial"/>
          <w:sz w:val="16"/>
          <w:szCs w:val="16"/>
          <w:color w:val="auto"/>
        </w:rPr>
        <w:t>I understand that the Company and its Parent, Subsidiaries, or Affiliates need to collect and use certain personal information about me (known as “personal data”) in order to administer and manage my participation in the ESPP. For the purposes of data protection law, my employer and the Company will be the relevant data controllers. This personal data may include, but may not be limited to, my name, home address and telephone number, email address, date of birth, social insurance number or other identification number, salary, nationality, job title, any shares or directorships held in the Company, details of my participation in the ESPP or any other entitlement to shares awarded, canceled, vested, unvested or outstanding in my favor, for the purpose of implementing, administering and managing the ESPP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Data will be processed for the purposes of managing my participation in the ESPP, for example, to maintain a record of outstanding awards, contribution rates, to provide shares on Purchase Dates, to enable relevant information to be supplied to taxation authorities, to enable relevant tax deductions to be made in relation to share awards, and to contact me in relation to events which affect my participation in the ESPP (“</w:t>
      </w:r>
      <w:r>
        <w:rPr>
          <w:rFonts w:ascii="Arial" w:cs="Arial" w:eastAsia="Arial" w:hAnsi="Arial"/>
          <w:sz w:val="16"/>
          <w:szCs w:val="16"/>
          <w:b w:val="1"/>
          <w:bCs w:val="1"/>
          <w:i w:val="1"/>
          <w:iCs w:val="1"/>
          <w:color w:val="auto"/>
        </w:rPr>
        <w:t>Share Plan Purposes</w:t>
      </w:r>
      <w:r>
        <w:rPr>
          <w:rFonts w:ascii="Arial" w:cs="Arial" w:eastAsia="Arial" w:hAnsi="Arial"/>
          <w:sz w:val="16"/>
          <w:szCs w:val="16"/>
          <w:color w:val="auto"/>
        </w:rPr>
        <w:t>”). The Data processed for Share Plan Purposes will be gathered: (a) from me directly, and/or (b) by the Company (or its Parent, Subsidiary, or Affiliate that employs me) from my human resources or personnel files. I understand that the Data may also be held by the Company and its Parent, Subsidiaries, or Affiliates for other purposes associated with my employment (which are or will be described in separate privacy notices or policies). Processing the Data for Share Plan Purposes is, in most respects, necessary in order to perform this Enrollment/Change Form. In certain cases, processing will instead be based on the legitimate interests of one or more members of the Company and its Parent, Subsidiaries, or Affiliates in processing the Data for the Share Plan Purposes, in order to deliver a benefit to incentivize and reward its employees. Finally, the Company and its Parent, Subsidiaries, or Affiliates may be required to carry out certain processing activities in order to comply with legal obligations to which it is subject. I understand that Data may be transferred between members of the Company and its Parent, Subsidiaries, or Affiliates and to third parties assisting in the implementation, administration and management of the ESPP (such as brokers and share plan administrators). These recipients may be located in my country or elsewhere, and the recipient’s country may have different or less stringent data privacy laws and protections than my country. Where required by law (for example, when Data is transferred outside of the European Economic Area), the Company and its Parent, Subsidiaries, or Affiliates will put in place arrangements (for example, data transfer agreements) to ensure the adequate protection of the Data; non-proprietary or confidential details of such safeguards will be made available to me upon my written request to the Company. I understand that Data will be held by the Company or its Parent, Subsidiaries, or Affiliates for the period specified in its records retention policy. I understand that I have certain rights in respect of the Data, including to access the data, to request erasure of the Data (where no legal basis to continue processing it exists) or to limit or object to processing, to request corrections to inaccurate Data, and to data portability. To exercise any of these rights, or where I have any queries about the processing of their Data, I should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-4144645</wp:posOffset>
            </wp:positionV>
            <wp:extent cx="729043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ind w:left="946" w:hanging="946"/>
        <w:spacing w:after="0"/>
        <w:tabs>
          <w:tab w:leader="none" w:pos="946"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The data protection contact for the Company and its Parent, Subsidiaries, and Affiliates can be contacted</w:t>
      </w:r>
    </w:p>
    <w:p>
      <w:pPr>
        <w:spacing w:after="0" w:line="29" w:lineRule="exact"/>
        <w:rPr>
          <w:sz w:val="20"/>
          <w:szCs w:val="20"/>
          <w:color w:val="auto"/>
        </w:rPr>
      </w:pPr>
    </w:p>
    <w:p>
      <w:pPr>
        <w:ind w:left="6" w:right="580"/>
        <w:spacing w:after="0" w:line="316" w:lineRule="auto"/>
        <w:rPr>
          <w:sz w:val="20"/>
          <w:szCs w:val="20"/>
          <w:color w:val="auto"/>
        </w:rPr>
      </w:pPr>
      <w:r>
        <w:rPr>
          <w:rFonts w:ascii="Arial" w:cs="Arial" w:eastAsia="Arial" w:hAnsi="Arial"/>
          <w:sz w:val="16"/>
          <w:szCs w:val="16"/>
          <w:color w:val="auto"/>
        </w:rPr>
        <w:t>directly: [ ]. I further understand that I have the right to lodge a complaint with a supervisory authority in connection with the violation of the foregoing rights by the Company and its Parent, Subsidiaries, and Affiliates</w:t>
      </w:r>
      <w:r>
        <w:rPr>
          <w:rFonts w:ascii="Arial" w:cs="Arial" w:eastAsia="Arial" w:hAnsi="Arial"/>
          <w:sz w:val="16"/>
          <w:szCs w:val="16"/>
          <w:i w:val="1"/>
          <w:iCs w:val="1"/>
          <w:color w:val="auto"/>
        </w:rPr>
        <w:t>.</w:t>
      </w:r>
    </w:p>
    <w:p>
      <w:pPr>
        <w:spacing w:after="0" w:line="38" w:lineRule="exact"/>
        <w:rPr>
          <w:sz w:val="20"/>
          <w:szCs w:val="20"/>
          <w:color w:val="auto"/>
        </w:rPr>
      </w:pPr>
    </w:p>
    <w:p>
      <w:pPr>
        <w:ind w:left="6"/>
        <w:spacing w:after="0" w:line="285" w:lineRule="auto"/>
        <w:rPr>
          <w:sz w:val="20"/>
          <w:szCs w:val="20"/>
          <w:color w:val="auto"/>
        </w:rPr>
      </w:pPr>
      <w:r>
        <w:rPr>
          <w:rFonts w:ascii="Arial" w:cs="Arial" w:eastAsia="Arial" w:hAnsi="Arial"/>
          <w:sz w:val="16"/>
          <w:szCs w:val="16"/>
          <w:color w:val="auto"/>
        </w:rPr>
        <w:t>I acknowledge that, regardless of any action taken by the Company or the Employer, the ultimate liability for all income tax, social insurance, payroll tax, fringe benefits tax, payment on account, or other tax-related items related to my participation in the ESPP and legally applicable to me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my responsibility and may exceed the amount actually withheld by the Company or the Employer. I further acknowledge that the Company and/or the Employer (a) make no representations or undertakings regarding the treatment of any Tax-Related Items in connection with any aspect of the ESPP, including, but not limited to, my enrollment in the ESPP, the grant of rights to purchase shares of Common Stock, the purchase of shares of Common Stock, the issuance of Common Stock purchased, the sale of shares of Common Stock purchased under the ESPP or the receipt of any dividends; and (b) do not commit to and are under</w:t>
      </w:r>
    </w:p>
    <w:p>
      <w:pPr>
        <w:sectPr>
          <w:pgSz w:w="11900" w:h="16838" w:orient="portrait"/>
          <w:cols w:equalWidth="0" w:num="2">
            <w:col w:w="1640" w:space="314"/>
            <w:col w:w="8886"/>
          </w:cols>
          <w:pgMar w:left="520" w:top="274" w:right="539" w:bottom="1440" w:gutter="0" w:footer="0" w:header="0"/>
        </w:sectPr>
      </w:pPr>
    </w:p>
    <w:bookmarkStart w:id="362" w:name="page363"/>
    <w:bookmarkEnd w:id="3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9:</w:t>
      </w:r>
    </w:p>
    <w:p>
      <w:pPr>
        <w:spacing w:after="0" w:line="12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&amp; L</w:t>
      </w:r>
      <w:r>
        <w:rPr>
          <w:rFonts w:ascii="Arial" w:cs="Arial" w:eastAsia="Arial" w:hAnsi="Arial"/>
          <w:sz w:val="14"/>
          <w:szCs w:val="14"/>
          <w:b w:val="1"/>
          <w:bCs w:val="1"/>
          <w:color w:val="auto"/>
        </w:rPr>
        <w:t>ANGUAGE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&amp;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MPOSITION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11:</w:t>
      </w:r>
    </w:p>
    <w:p>
      <w:pPr>
        <w:spacing w:after="0" w:line="120"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LECTRONIC</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ELIVERY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CCEPTANCE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12:</w:t>
      </w:r>
    </w:p>
    <w:p>
      <w:pPr>
        <w:spacing w:after="0" w:line="120"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 xml:space="preserve"> &amp; W</w:t>
      </w:r>
      <w:r>
        <w:rPr>
          <w:rFonts w:ascii="Arial" w:cs="Arial" w:eastAsia="Arial" w:hAnsi="Arial"/>
          <w:sz w:val="14"/>
          <w:szCs w:val="14"/>
          <w:b w:val="1"/>
          <w:bCs w:val="1"/>
          <w:color w:val="auto"/>
        </w:rPr>
        <w:t>AIVER</w:t>
      </w:r>
    </w:p>
    <w:p>
      <w:pPr>
        <w:spacing w:after="0" w:line="20" w:lineRule="exact"/>
        <w:rPr>
          <w:sz w:val="20"/>
          <w:szCs w:val="20"/>
          <w:color w:val="auto"/>
        </w:rPr>
      </w:pPr>
      <w:r>
        <w:rPr>
          <w:sz w:val="20"/>
          <w:szCs w:val="20"/>
          <w:color w:val="auto"/>
        </w:rPr>
        <w:br w:type="column"/>
      </w:r>
    </w:p>
    <w:p>
      <w:pPr>
        <w:ind w:left="6" w:right="140"/>
        <w:spacing w:after="0" w:line="254" w:lineRule="auto"/>
        <w:rPr>
          <w:sz w:val="20"/>
          <w:szCs w:val="20"/>
          <w:color w:val="auto"/>
        </w:rPr>
      </w:pPr>
      <w:r>
        <w:rPr>
          <w:rFonts w:ascii="Arial" w:cs="Arial" w:eastAsia="Arial" w:hAnsi="Arial"/>
          <w:sz w:val="18"/>
          <w:szCs w:val="18"/>
          <w:color w:val="auto"/>
        </w:rPr>
        <w:t>no obligation to structure the terms of the ESPP to reduce or eliminate my liability for Tax-Related Items or achieve any particular tax result. Further, if I am subject to Tax-Related Items in more than one jurisdiction, I acknowledge that the Company and/or the Employer (or former employer, as applicable)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-640715</wp:posOffset>
            </wp:positionV>
            <wp:extent cx="729043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spacing w:after="0" w:line="77" w:lineRule="exact"/>
        <w:rPr>
          <w:sz w:val="20"/>
          <w:szCs w:val="20"/>
          <w:color w:val="auto"/>
        </w:rPr>
      </w:pPr>
    </w:p>
    <w:p>
      <w:pPr>
        <w:ind w:left="6" w:right="80"/>
        <w:spacing w:after="0" w:line="281" w:lineRule="auto"/>
        <w:rPr>
          <w:sz w:val="20"/>
          <w:szCs w:val="20"/>
          <w:color w:val="auto"/>
        </w:rPr>
      </w:pPr>
      <w:r>
        <w:rPr>
          <w:rFonts w:ascii="Arial" w:cs="Arial" w:eastAsia="Arial" w:hAnsi="Arial"/>
          <w:sz w:val="16"/>
          <w:szCs w:val="16"/>
          <w:color w:val="auto"/>
        </w:rPr>
        <w:t>Prior to any relevant taxable or tax withholding event, as applicable, I agree to make adequate arrangements satisfactory to the Company and/or the Employer to satisfy all Tax-Related Items. In this regard, I authorize the Company and/or the Employer to satisfy their withholding obligations with regard to all Tax-Related Items by one or a combination of the following: (a) withholding from my wages or other cash compensation payable to me by the Company and/or the Employer,</w:t>
      </w:r>
    </w:p>
    <w:p>
      <w:pPr>
        <w:spacing w:after="0" w:line="3" w:lineRule="exact"/>
        <w:rPr>
          <w:sz w:val="20"/>
          <w:szCs w:val="20"/>
          <w:color w:val="auto"/>
        </w:rPr>
      </w:pPr>
    </w:p>
    <w:p>
      <w:pPr>
        <w:ind w:left="6" w:right="80" w:hanging="6"/>
        <w:spacing w:after="0" w:line="272" w:lineRule="auto"/>
        <w:tabs>
          <w:tab w:leader="none" w:pos="25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withholding from proceeds of the sale of shares of Common Stock purchased under the ESPP, either through a voluntary sale or through a mandatory sale arranged by the Company (on my behalf pursuant to this authorization without further consent), and (c) withholding in shares to be issued upon purchase under the ESPP.</w:t>
      </w:r>
    </w:p>
    <w:p>
      <w:pPr>
        <w:spacing w:after="0" w:line="84" w:lineRule="exact"/>
        <w:rPr>
          <w:sz w:val="20"/>
          <w:szCs w:val="20"/>
          <w:color w:val="auto"/>
        </w:rPr>
      </w:pPr>
    </w:p>
    <w:p>
      <w:pPr>
        <w:ind w:left="6" w:right="80"/>
        <w:spacing w:after="0" w:line="288" w:lineRule="auto"/>
        <w:rPr>
          <w:sz w:val="20"/>
          <w:szCs w:val="20"/>
          <w:color w:val="auto"/>
        </w:rPr>
      </w:pPr>
      <w:r>
        <w:rPr>
          <w:rFonts w:ascii="Arial" w:cs="Arial" w:eastAsia="Arial" w:hAnsi="Arial"/>
          <w:sz w:val="16"/>
          <w:szCs w:val="16"/>
          <w:color w:val="auto"/>
        </w:rPr>
        <w:t>Depending on the withholding method, the Company may withhold or account for Tax-Related Items by considering applicable statutory withholding amounts or other applicable withholding rates, including up to the maximum permissible statutory rates, in which case I will receive a refund of any over-withheld amount in cash and will have no entitlement to the Common Stock equivalent. If the obligation for Tax-Related Items is satisfied by withholding in shares of Common Stock, for tax purposes, I am deemed to have been issued the full number of shares of Common Stock, notwithstanding that a number of the shares of Common Stock are held back solely for the purpose of paying the Tax-Related Items.</w:t>
      </w:r>
    </w:p>
    <w:p>
      <w:pPr>
        <w:spacing w:after="0" w:line="75" w:lineRule="exact"/>
        <w:rPr>
          <w:sz w:val="20"/>
          <w:szCs w:val="20"/>
          <w:color w:val="auto"/>
        </w:rPr>
      </w:pPr>
    </w:p>
    <w:p>
      <w:pPr>
        <w:ind w:left="6" w:right="40"/>
        <w:spacing w:after="0" w:line="295" w:lineRule="auto"/>
        <w:rPr>
          <w:sz w:val="20"/>
          <w:szCs w:val="20"/>
          <w:color w:val="auto"/>
        </w:rPr>
      </w:pPr>
      <w:r>
        <w:rPr>
          <w:rFonts w:ascii="Arial" w:cs="Arial" w:eastAsia="Arial" w:hAnsi="Arial"/>
          <w:sz w:val="16"/>
          <w:szCs w:val="16"/>
          <w:color w:val="auto"/>
        </w:rPr>
        <w:t>Finally,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purchase or deliver the shares or the proceeds from the sale of shares of Common Stock, if I fail to comply with my obligations in connection with the Tax-Related Items.</w:t>
      </w:r>
    </w:p>
    <w:p>
      <w:pPr>
        <w:spacing w:after="0" w:line="69" w:lineRule="exact"/>
        <w:rPr>
          <w:sz w:val="20"/>
          <w:szCs w:val="20"/>
          <w:color w:val="auto"/>
        </w:rPr>
      </w:pPr>
    </w:p>
    <w:p>
      <w:pPr>
        <w:ind w:left="6"/>
        <w:spacing w:after="0" w:line="267" w:lineRule="auto"/>
        <w:rPr>
          <w:sz w:val="20"/>
          <w:szCs w:val="20"/>
          <w:color w:val="auto"/>
        </w:rPr>
      </w:pPr>
      <w:r>
        <w:rPr>
          <w:rFonts w:ascii="Arial" w:cs="Arial" w:eastAsia="Arial" w:hAnsi="Arial"/>
          <w:sz w:val="18"/>
          <w:szCs w:val="18"/>
          <w:color w:val="auto"/>
        </w:rPr>
        <w:t>The rights to purchase shares and the provisions of this Enrollment/Change Form are governed by, and subject to, the laws of the State of Delaware, without regard to any conflict of law provisions.</w:t>
      </w:r>
    </w:p>
    <w:p>
      <w:pPr>
        <w:spacing w:after="0" w:line="86" w:lineRule="exact"/>
        <w:rPr>
          <w:sz w:val="20"/>
          <w:szCs w:val="20"/>
          <w:color w:val="auto"/>
        </w:rPr>
      </w:pPr>
    </w:p>
    <w:p>
      <w:pPr>
        <w:ind w:left="6" w:right="360"/>
        <w:spacing w:after="0" w:line="297" w:lineRule="auto"/>
        <w:rPr>
          <w:sz w:val="20"/>
          <w:szCs w:val="20"/>
          <w:color w:val="auto"/>
        </w:rPr>
      </w:pPr>
      <w:r>
        <w:rPr>
          <w:rFonts w:ascii="Arial" w:cs="Arial" w:eastAsia="Arial" w:hAnsi="Arial"/>
          <w:sz w:val="17"/>
          <w:szCs w:val="17"/>
          <w:color w:val="auto"/>
        </w:rPr>
        <w:t>If I have received this or any other document related to the ESPP translated into a language other than English and if the meaning of the translated version is different than the English version, the English version will control.</w:t>
      </w:r>
    </w:p>
    <w:p>
      <w:pPr>
        <w:spacing w:after="0" w:line="63" w:lineRule="exact"/>
        <w:rPr>
          <w:sz w:val="20"/>
          <w:szCs w:val="20"/>
          <w:color w:val="auto"/>
        </w:rPr>
      </w:pPr>
    </w:p>
    <w:p>
      <w:pPr>
        <w:ind w:left="6" w:right="40"/>
        <w:spacing w:after="0" w:line="252" w:lineRule="auto"/>
        <w:rPr>
          <w:sz w:val="20"/>
          <w:szCs w:val="20"/>
          <w:color w:val="auto"/>
        </w:rPr>
      </w:pPr>
      <w:r>
        <w:rPr>
          <w:rFonts w:ascii="Arial" w:cs="Arial" w:eastAsia="Arial" w:hAnsi="Arial"/>
          <w:sz w:val="18"/>
          <w:szCs w:val="18"/>
          <w:color w:val="auto"/>
        </w:rPr>
        <w:t>Notwithstanding any provision herein, my participation in the ESPP shall be subject to any special terms and conditions as set forth in the Appendix for my country, if any. Moreover, if I relocate to one of the countries included in the Appendix, the special terms and conditions for such country will apply to me, to the extent the Company determines that the application of such terms and conditions is necessary or advisable for legal or administrative reasons. The Appendix constitutes part of this Enrollment/Change Form.</w:t>
      </w:r>
    </w:p>
    <w:p>
      <w:pPr>
        <w:spacing w:after="0" w:line="100" w:lineRule="exact"/>
        <w:rPr>
          <w:sz w:val="20"/>
          <w:szCs w:val="20"/>
          <w:color w:val="auto"/>
        </w:rPr>
      </w:pPr>
    </w:p>
    <w:p>
      <w:pPr>
        <w:ind w:left="6" w:right="80"/>
        <w:spacing w:after="0" w:line="254" w:lineRule="auto"/>
        <w:rPr>
          <w:sz w:val="20"/>
          <w:szCs w:val="20"/>
          <w:color w:val="auto"/>
        </w:rPr>
      </w:pPr>
      <w:r>
        <w:rPr>
          <w:rFonts w:ascii="Arial" w:cs="Arial" w:eastAsia="Arial" w:hAnsi="Arial"/>
          <w:sz w:val="18"/>
          <w:szCs w:val="18"/>
          <w:color w:val="auto"/>
        </w:rPr>
        <w:t>The Company reserves the right to impose other requirements on my participation in the ESPP or on any shares of Common Stock purchased under the ESPP, to the extent the Company determines it is necessary or advisable for legal or administrative reasons, and to require me to sign any additional agreements or undertakings that may be necessary to accomplish the foregoing.</w:t>
      </w:r>
    </w:p>
    <w:p>
      <w:pPr>
        <w:spacing w:after="0" w:line="97" w:lineRule="exact"/>
        <w:rPr>
          <w:sz w:val="20"/>
          <w:szCs w:val="20"/>
          <w:color w:val="auto"/>
        </w:rPr>
      </w:pPr>
    </w:p>
    <w:p>
      <w:pPr>
        <w:ind w:left="6" w:right="80"/>
        <w:spacing w:after="0" w:line="254" w:lineRule="auto"/>
        <w:rPr>
          <w:sz w:val="20"/>
          <w:szCs w:val="20"/>
          <w:color w:val="auto"/>
        </w:rPr>
      </w:pPr>
      <w:r>
        <w:rPr>
          <w:rFonts w:ascii="Arial" w:cs="Arial" w:eastAsia="Arial" w:hAnsi="Arial"/>
          <w:sz w:val="18"/>
          <w:szCs w:val="18"/>
          <w:color w:val="auto"/>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spacing w:after="0" w:line="217" w:lineRule="exact"/>
        <w:rPr>
          <w:sz w:val="20"/>
          <w:szCs w:val="20"/>
          <w:color w:val="auto"/>
        </w:rPr>
      </w:pPr>
    </w:p>
    <w:p>
      <w:pPr>
        <w:ind w:left="6" w:right="80"/>
        <w:spacing w:after="0" w:line="295" w:lineRule="auto"/>
        <w:rPr>
          <w:sz w:val="20"/>
          <w:szCs w:val="20"/>
          <w:color w:val="auto"/>
        </w:rPr>
      </w:pPr>
      <w:r>
        <w:rPr>
          <w:rFonts w:ascii="Arial" w:cs="Arial" w:eastAsia="Arial" w:hAnsi="Arial"/>
          <w:sz w:val="16"/>
          <w:szCs w:val="16"/>
          <w:color w:val="auto"/>
        </w:rPr>
        <w:t>The provisions of this Enrollment/Change Form are severable and if any one or more provisions are determined to be illegal or otherwise unenforceable, in whole or in part, the remaining provisions shall nevertheless be binding and enforceable. I acknowledge that a waiver by the Company of breach of any provision of this Enrollment/Change Form shall not operate or be construed as a waiver of any other provision herein, or of any subsequent breach by me or any other Participant.</w:t>
      </w:r>
    </w:p>
    <w:p>
      <w:pPr>
        <w:sectPr>
          <w:pgSz w:w="11900" w:h="16838" w:orient="portrait"/>
          <w:cols w:equalWidth="0" w:num="2">
            <w:col w:w="1540" w:space="414"/>
            <w:col w:w="8906"/>
          </w:cols>
          <w:pgMar w:left="520" w:top="273" w:right="51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NSIDER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ESTRICTIONS</w:t>
      </w:r>
      <w:r>
        <w:rPr>
          <w:rFonts w:ascii="Arial" w:cs="Arial" w:eastAsia="Arial" w:hAnsi="Arial"/>
          <w:sz w:val="18"/>
          <w:szCs w:val="18"/>
          <w:b w:val="1"/>
          <w:bCs w:val="1"/>
          <w:color w:val="auto"/>
        </w:rPr>
        <w:t>/M</w:t>
      </w:r>
      <w:r>
        <w:rPr>
          <w:rFonts w:ascii="Arial" w:cs="Arial" w:eastAsia="Arial" w:hAnsi="Arial"/>
          <w:sz w:val="14"/>
          <w:szCs w:val="14"/>
          <w:b w:val="1"/>
          <w:bCs w:val="1"/>
          <w:color w:val="auto"/>
        </w:rPr>
        <w:t>ARKET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BUSE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14:</w:t>
      </w:r>
    </w:p>
    <w:p>
      <w:pPr>
        <w:spacing w:after="0" w:line="12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DVICE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15:</w:t>
      </w:r>
    </w:p>
    <w:p>
      <w:pPr>
        <w:spacing w:after="0" w:line="120"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OMPLIANCE</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16:</w:t>
      </w:r>
    </w:p>
    <w:p>
      <w:pPr>
        <w:spacing w:after="0" w:line="120"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CKNOWLEDGMENT</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AND </w:t>
      </w: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I acknowledge that I may be subject to insider trading restrictions and/or market abuse laws, which may affect my ability to acquire or sell shares of Common Stock or my rights to purchase shares under the ESPP during such times as I am considered to have “inside information” regarding the Company (as defined by or determined under applicable law). Any restrictions under these laws or regulations are separate from and in addition to any restrictions that may be imposed under any applicable Company insider trading policy. I acknowledge that it is my responsibility to comply with any applicable restrictions, and that I am advised to speak to my personal advisor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-919480</wp:posOffset>
            </wp:positionV>
            <wp:extent cx="729043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spacing w:after="0" w:line="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my participation in the ESPP, or my purchase or sale of the shares of Common Stock. I am hereby advised to consult with my own personal tax, legal, and financial advisors regarding my participation in the ESPP before taking any action related to the ESPP.</w:t>
      </w:r>
    </w:p>
    <w:p>
      <w:pPr>
        <w:spacing w:after="0" w:line="8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Unless there is an available exemption from any registration, qualification, or other legal requirement applicable to the shares of Common Stock, the Company shall not be required to deliver any shares under the ESPP prior to the completion of any registration or qualification of the shares under any local, state, federal, or foreign securities or exchange control law or under rulings or regulations of the U.S.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I understand that the Company is under no obligation to register or qualify the shares with the SEC or any state or foreign securities commission or to seek approval or clearance from any governmental authority for the issuance or sale of the shares. Further, I agree that the Company shall have unilateral authority to amend the ESPP and the Enrollment/Change Form without my consent to the extent necessary to comply with securities or other laws applicable to issuance of shares.</w:t>
      </w:r>
    </w:p>
    <w:p>
      <w:pPr>
        <w:spacing w:after="0" w:line="79" w:lineRule="exact"/>
        <w:rPr>
          <w:sz w:val="20"/>
          <w:szCs w:val="20"/>
          <w:color w:val="auto"/>
        </w:rPr>
      </w:pPr>
    </w:p>
    <w:p>
      <w:pPr>
        <w:ind w:right="220"/>
        <w:spacing w:after="0" w:line="331" w:lineRule="auto"/>
        <w:rPr>
          <w:sz w:val="20"/>
          <w:szCs w:val="20"/>
          <w:color w:val="auto"/>
        </w:rPr>
      </w:pPr>
      <w:r>
        <w:rPr>
          <w:rFonts w:ascii="Arial" w:cs="Arial" w:eastAsia="Arial" w:hAnsi="Arial"/>
          <w:sz w:val="16"/>
          <w:szCs w:val="16"/>
          <w:color w:val="auto"/>
        </w:rPr>
        <w:t>I acknowledge that I have received a copy of the ESPP Prospectus (which summarizes the major features of the ESPP). I have read the Prospectus and my signature below indicates that I hereby agree to be bound by the terms of the ESPP.</w:t>
      </w:r>
    </w:p>
    <w:p>
      <w:pPr>
        <w:spacing w:after="0" w:line="159"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-12700</wp:posOffset>
            </wp:positionV>
            <wp:extent cx="46456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7">
                      <a:extLst>
                        <a:ext uri="{28A0092B-C50C-407E-A947-70E740481C1C}"/>
                      </a:extLst>
                    </a:blip>
                    <a:srcRect/>
                    <a:stretch>
                      <a:fillRect/>
                    </a:stretch>
                  </pic:blipFill>
                  <pic:spPr bwMode="auto">
                    <a:xfrm>
                      <a:off x="0" y="0"/>
                      <a:ext cx="4645660" cy="8255"/>
                    </a:xfrm>
                    <a:prstGeom prst="rect">
                      <a:avLst/>
                    </a:prstGeom>
                    <a:noFill/>
                  </pic:spPr>
                </pic:pic>
              </a:graphicData>
            </a:graphic>
          </wp:anchor>
        </w:drawing>
      </w:r>
    </w:p>
    <w:p>
      <w:pPr>
        <w:sectPr>
          <w:pgSz w:w="11900" w:h="16838" w:orient="portrait"/>
          <w:cols w:equalWidth="0" w:num="2">
            <w:col w:w="1880" w:space="200"/>
            <w:col w:w="8800"/>
          </w:cols>
          <w:pgMar w:left="520" w:top="274" w:right="499" w:bottom="1440" w:gutter="0" w:footer="0" w:header="0"/>
        </w:sectPr>
      </w:pPr>
    </w:p>
    <w:bookmarkStart w:id="364" w:name="page365"/>
    <w:bookmarkEnd w:id="36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t>A</w:t>
      </w:r>
      <w:r>
        <w:rPr>
          <w:rFonts w:ascii="Arial" w:cs="Arial" w:eastAsia="Arial" w:hAnsi="Arial"/>
          <w:sz w:val="14"/>
          <w:szCs w:val="14"/>
          <w:b w:val="1"/>
          <w:bCs w:val="1"/>
          <w:color w:val="auto"/>
        </w:rPr>
        <w:t>PPENDIX</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TOKE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NROLLMENT</w:t>
      </w:r>
      <w:r>
        <w:rPr>
          <w:rFonts w:ascii="Arial" w:cs="Arial" w:eastAsia="Arial" w:hAnsi="Arial"/>
          <w:sz w:val="18"/>
          <w:szCs w:val="18"/>
          <w:b w:val="1"/>
          <w:bCs w:val="1"/>
          <w:color w:val="auto"/>
        </w:rPr>
        <w:t>/C</w:t>
      </w:r>
      <w:r>
        <w:rPr>
          <w:rFonts w:ascii="Arial" w:cs="Arial" w:eastAsia="Arial" w:hAnsi="Arial"/>
          <w:sz w:val="14"/>
          <w:szCs w:val="14"/>
          <w:b w:val="1"/>
          <w:bCs w:val="1"/>
          <w:color w:val="auto"/>
        </w:rPr>
        <w:t>HANGE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ORM</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COUNTRY SPECIFIC PROVISIONS FOR EMPLOYEES OUTSIDE THE U.S.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9019"/>
          </w:cols>
          <w:pgMar w:left="1440" w:top="268"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Stoke Therapeutics, Inc:</w:t>
      </w:r>
    </w:p>
    <w:p>
      <w:pPr>
        <w:spacing w:after="0" w:line="102"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We consent to the use of our report dated March 26, 2019, except as to notes 1 and 14, as to which the date is June 7, 2019, included herein and to the reference to our firm under the heading “Experts” in the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June 7, 2019</w:t>
      </w:r>
    </w:p>
    <w:sectPr>
      <w:pgSz w:w="11900" w:h="16838" w:orient="portrait"/>
      <w:cols w:equalWidth="0" w:num="1">
        <w:col w:w="10880"/>
      </w:cols>
      <w:pgMar w:left="52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205E20"/>
    <w:multiLevelType w:val="hybridMultilevel"/>
    <w:lvl w:ilvl="0">
      <w:lvlJc w:val="left"/>
      <w:lvlText w:val="(%1)"/>
      <w:numFmt w:val="decimal"/>
      <w:start w:val="1"/>
    </w:lvl>
  </w:abstractNum>
  <w:abstractNum w:abstractNumId="1">
    <w:nsid w:val="11CCA8BA"/>
    <w:multiLevelType w:val="hybridMultilevel"/>
    <w:lvl w:ilvl="0">
      <w:lvlJc w:val="left"/>
      <w:lvlText w:val="(%1)"/>
      <w:numFmt w:val="decimal"/>
      <w:start w:val="1"/>
    </w:lvl>
  </w:abstractNum>
  <w:abstractNum w:abstractNumId="2">
    <w:nsid w:val="4D32AB86"/>
    <w:multiLevelType w:val="hybridMultilevel"/>
    <w:lvl w:ilvl="0">
      <w:lvlJc w:val="left"/>
      <w:lvlText w:val="•"/>
      <w:numFmt w:val="bullet"/>
      <w:start w:val="1"/>
    </w:lvl>
  </w:abstractNum>
  <w:abstractNum w:abstractNumId="3">
    <w:nsid w:val="3F07ACC3"/>
    <w:multiLevelType w:val="hybridMultilevel"/>
    <w:lvl w:ilvl="0">
      <w:lvlJc w:val="left"/>
      <w:lvlText w:val="•"/>
      <w:numFmt w:val="bullet"/>
      <w:start w:val="1"/>
    </w:lvl>
  </w:abstractNum>
  <w:abstractNum w:abstractNumId="4">
    <w:nsid w:val="6B47F63E"/>
    <w:multiLevelType w:val="hybridMultilevel"/>
    <w:lvl w:ilvl="0">
      <w:lvlJc w:val="left"/>
      <w:lvlText w:val="•"/>
      <w:numFmt w:val="bullet"/>
      <w:start w:val="1"/>
    </w:lvl>
  </w:abstractNum>
  <w:abstractNum w:abstractNumId="5">
    <w:nsid w:val="5CB44A05"/>
    <w:multiLevelType w:val="hybridMultilevel"/>
    <w:lvl w:ilvl="0">
      <w:lvlJc w:val="left"/>
      <w:lvlText w:val="•"/>
      <w:numFmt w:val="bullet"/>
      <w:start w:val="1"/>
    </w:lvl>
  </w:abstractNum>
  <w:abstractNum w:abstractNumId="6">
    <w:nsid w:val="16CF80F1"/>
    <w:multiLevelType w:val="hybridMultilevel"/>
    <w:lvl w:ilvl="0">
      <w:lvlJc w:val="left"/>
      <w:lvlText w:val="•"/>
      <w:numFmt w:val="bullet"/>
      <w:start w:val="1"/>
    </w:lvl>
  </w:abstractNum>
  <w:abstractNum w:abstractNumId="7">
    <w:nsid w:val="1C695DEC"/>
    <w:multiLevelType w:val="hybridMultilevel"/>
    <w:lvl w:ilvl="0">
      <w:lvlJc w:val="left"/>
      <w:lvlText w:val="•"/>
      <w:numFmt w:val="bullet"/>
      <w:start w:val="1"/>
    </w:lvl>
  </w:abstractNum>
  <w:abstractNum w:abstractNumId="8">
    <w:nsid w:val="3FCFAED9"/>
    <w:multiLevelType w:val="hybridMultilevel"/>
    <w:lvl w:ilvl="0">
      <w:lvlJc w:val="left"/>
      <w:lvlText w:val="•"/>
      <w:numFmt w:val="bullet"/>
      <w:start w:val="1"/>
    </w:lvl>
  </w:abstractNum>
  <w:abstractNum w:abstractNumId="9">
    <w:nsid w:val="F856867"/>
    <w:multiLevelType w:val="hybridMultilevel"/>
    <w:lvl w:ilvl="0">
      <w:lvlJc w:val="left"/>
      <w:lvlText w:val="•"/>
      <w:numFmt w:val="bullet"/>
      <w:start w:val="1"/>
    </w:lvl>
  </w:abstractNum>
  <w:abstractNum w:abstractNumId="10">
    <w:nsid w:val="11B1CC33"/>
    <w:multiLevelType w:val="hybridMultilevel"/>
    <w:lvl w:ilvl="0">
      <w:lvlJc w:val="left"/>
      <w:lvlText w:val="•"/>
      <w:numFmt w:val="bullet"/>
      <w:start w:val="1"/>
    </w:lvl>
  </w:abstractNum>
  <w:abstractNum w:abstractNumId="11">
    <w:nsid w:val="2E22FBB7"/>
    <w:multiLevelType w:val="hybridMultilevel"/>
    <w:lvl w:ilvl="0">
      <w:lvlJc w:val="left"/>
      <w:lvlText w:val="(%1)"/>
      <w:numFmt w:val="decimal"/>
      <w:start w:val="1"/>
    </w:lvl>
  </w:abstractNum>
  <w:abstractNum w:abstractNumId="12">
    <w:nsid w:val="29934699"/>
    <w:multiLevelType w:val="hybridMultilevel"/>
    <w:lvl w:ilvl="0">
      <w:lvlJc w:val="left"/>
      <w:lvlText w:val="(%1)"/>
      <w:numFmt w:val="decimal"/>
      <w:start w:val="1"/>
    </w:lvl>
  </w:abstractNum>
  <w:abstractNum w:abstractNumId="13">
    <w:nsid w:val="77485850"/>
    <w:multiLevelType w:val="hybridMultilevel"/>
    <w:lvl w:ilvl="0">
      <w:lvlJc w:val="left"/>
      <w:lvlText w:val="•"/>
      <w:numFmt w:val="bullet"/>
      <w:start w:val="1"/>
    </w:lvl>
  </w:abstractNum>
  <w:abstractNum w:abstractNumId="14">
    <w:nsid w:val="744939A3"/>
    <w:multiLevelType w:val="hybridMultilevel"/>
    <w:lvl w:ilvl="0">
      <w:lvlJc w:val="left"/>
      <w:lvlText w:val="•"/>
      <w:numFmt w:val="bullet"/>
      <w:start w:val="1"/>
    </w:lvl>
  </w:abstractNum>
  <w:abstractNum w:abstractNumId="15">
    <w:nsid w:val="4FA0D2E3"/>
    <w:multiLevelType w:val="hybridMultilevel"/>
    <w:lvl w:ilvl="0">
      <w:lvlJc w:val="left"/>
      <w:lvlText w:val="•"/>
      <w:numFmt w:val="bullet"/>
      <w:start w:val="1"/>
    </w:lvl>
  </w:abstractNum>
  <w:abstractNum w:abstractNumId="16">
    <w:nsid w:val="6B1D2C14"/>
    <w:multiLevelType w:val="hybridMultilevel"/>
    <w:lvl w:ilvl="0">
      <w:lvlJc w:val="left"/>
      <w:lvlText w:val="•"/>
      <w:numFmt w:val="bullet"/>
      <w:start w:val="1"/>
    </w:lvl>
  </w:abstractNum>
  <w:abstractNum w:abstractNumId="17">
    <w:nsid w:val="68B867D3"/>
    <w:multiLevelType w:val="hybridMultilevel"/>
    <w:lvl w:ilvl="0">
      <w:lvlJc w:val="left"/>
      <w:lvlText w:val="•"/>
      <w:numFmt w:val="bullet"/>
      <w:start w:val="1"/>
    </w:lvl>
  </w:abstractNum>
  <w:abstractNum w:abstractNumId="18">
    <w:nsid w:val="3F7F5DD9"/>
    <w:multiLevelType w:val="hybridMultilevel"/>
    <w:lvl w:ilvl="0">
      <w:lvlJc w:val="left"/>
      <w:lvlText w:val="•"/>
      <w:numFmt w:val="bullet"/>
      <w:start w:val="1"/>
    </w:lvl>
  </w:abstractNum>
  <w:abstractNum w:abstractNumId="19">
    <w:nsid w:val="2AE05A34"/>
    <w:multiLevelType w:val="hybridMultilevel"/>
    <w:lvl w:ilvl="0">
      <w:lvlJc w:val="left"/>
      <w:lvlText w:val="•"/>
      <w:numFmt w:val="bullet"/>
      <w:start w:val="1"/>
    </w:lvl>
  </w:abstractNum>
  <w:abstractNum w:abstractNumId="20">
    <w:nsid w:val="32794FF7"/>
    <w:multiLevelType w:val="hybridMultilevel"/>
    <w:lvl w:ilvl="0">
      <w:lvlJc w:val="left"/>
      <w:lvlText w:val="•"/>
      <w:numFmt w:val="bullet"/>
      <w:start w:val="1"/>
    </w:lvl>
  </w:abstractNum>
  <w:abstractNum w:abstractNumId="21">
    <w:nsid w:val="5454945E"/>
    <w:multiLevelType w:val="hybridMultilevel"/>
    <w:lvl w:ilvl="0">
      <w:lvlJc w:val="left"/>
      <w:lvlText w:val="•"/>
      <w:numFmt w:val="bullet"/>
      <w:start w:val="1"/>
    </w:lvl>
  </w:abstractNum>
  <w:abstractNum w:abstractNumId="22">
    <w:nsid w:val="4DEFDFA0"/>
    <w:multiLevelType w:val="hybridMultilevel"/>
    <w:lvl w:ilvl="0">
      <w:lvlJc w:val="left"/>
      <w:lvlText w:val="•"/>
      <w:numFmt w:val="bullet"/>
      <w:start w:val="1"/>
    </w:lvl>
  </w:abstractNum>
  <w:abstractNum w:abstractNumId="23">
    <w:nsid w:val="2123D5F2"/>
    <w:multiLevelType w:val="hybridMultilevel"/>
    <w:lvl w:ilvl="0">
      <w:lvlJc w:val="left"/>
      <w:lvlText w:val="•"/>
      <w:numFmt w:val="bullet"/>
      <w:start w:val="1"/>
    </w:lvl>
  </w:abstractNum>
  <w:abstractNum w:abstractNumId="24">
    <w:nsid w:val="135B8110"/>
    <w:multiLevelType w:val="hybridMultilevel"/>
    <w:lvl w:ilvl="0">
      <w:lvlJc w:val="left"/>
      <w:lvlText w:val="•"/>
      <w:numFmt w:val="bullet"/>
      <w:start w:val="1"/>
    </w:lvl>
  </w:abstractNum>
  <w:abstractNum w:abstractNumId="25">
    <w:nsid w:val="94927A8"/>
    <w:multiLevelType w:val="hybridMultilevel"/>
    <w:lvl w:ilvl="0">
      <w:lvlJc w:val="left"/>
      <w:lvlText w:val="•"/>
      <w:numFmt w:val="bullet"/>
      <w:start w:val="1"/>
    </w:lvl>
  </w:abstractNum>
  <w:abstractNum w:abstractNumId="26">
    <w:nsid w:val="DCDF8F6"/>
    <w:multiLevelType w:val="hybridMultilevel"/>
    <w:lvl w:ilvl="0">
      <w:lvlJc w:val="left"/>
      <w:lvlText w:val="•"/>
      <w:numFmt w:val="bullet"/>
      <w:start w:val="1"/>
    </w:lvl>
  </w:abstractNum>
  <w:abstractNum w:abstractNumId="27">
    <w:nsid w:val="52D7B105"/>
    <w:multiLevelType w:val="hybridMultilevel"/>
    <w:lvl w:ilvl="0">
      <w:lvlJc w:val="left"/>
      <w:lvlText w:val="•"/>
      <w:numFmt w:val="bullet"/>
      <w:start w:val="1"/>
    </w:lvl>
  </w:abstractNum>
  <w:abstractNum w:abstractNumId="28">
    <w:nsid w:val="2E8A6394"/>
    <w:multiLevelType w:val="hybridMultilevel"/>
    <w:lvl w:ilvl="0">
      <w:lvlJc w:val="left"/>
      <w:lvlText w:val="•"/>
      <w:numFmt w:val="bullet"/>
      <w:start w:val="1"/>
    </w:lvl>
  </w:abstractNum>
  <w:abstractNum w:abstractNumId="29">
    <w:nsid w:val="24E60401"/>
    <w:multiLevelType w:val="hybridMultilevel"/>
    <w:lvl w:ilvl="0">
      <w:lvlJc w:val="left"/>
      <w:lvlText w:val="•"/>
      <w:numFmt w:val="bullet"/>
      <w:start w:val="1"/>
    </w:lvl>
  </w:abstractNum>
  <w:abstractNum w:abstractNumId="30">
    <w:nsid w:val="2A6AD9BE"/>
    <w:multiLevelType w:val="hybridMultilevel"/>
    <w:lvl w:ilvl="0">
      <w:lvlJc w:val="left"/>
      <w:lvlText w:val="•"/>
      <w:numFmt w:val="bullet"/>
      <w:start w:val="1"/>
    </w:lvl>
  </w:abstractNum>
  <w:abstractNum w:abstractNumId="31">
    <w:nsid w:val="BAAC1B4"/>
    <w:multiLevelType w:val="hybridMultilevel"/>
    <w:lvl w:ilvl="0">
      <w:lvlJc w:val="left"/>
      <w:lvlText w:val="•"/>
      <w:numFmt w:val="bullet"/>
      <w:start w:val="1"/>
    </w:lvl>
  </w:abstractNum>
  <w:abstractNum w:abstractNumId="32">
    <w:nsid w:val="36B2ACBC"/>
    <w:multiLevelType w:val="hybridMultilevel"/>
    <w:lvl w:ilvl="0">
      <w:lvlJc w:val="left"/>
      <w:lvlText w:val="•"/>
      <w:numFmt w:val="bullet"/>
      <w:start w:val="1"/>
    </w:lvl>
  </w:abstractNum>
  <w:abstractNum w:abstractNumId="33">
    <w:nsid w:val="779D8544"/>
    <w:multiLevelType w:val="hybridMultilevel"/>
    <w:lvl w:ilvl="0">
      <w:lvlJc w:val="left"/>
      <w:lvlText w:val="•"/>
      <w:numFmt w:val="bullet"/>
      <w:start w:val="1"/>
    </w:lvl>
  </w:abstractNum>
  <w:abstractNum w:abstractNumId="34">
    <w:nsid w:val="4AB26E78"/>
    <w:multiLevelType w:val="hybridMultilevel"/>
    <w:lvl w:ilvl="0">
      <w:lvlJc w:val="left"/>
      <w:lvlText w:val="•"/>
      <w:numFmt w:val="bullet"/>
      <w:start w:val="1"/>
    </w:lvl>
  </w:abstractNum>
  <w:abstractNum w:abstractNumId="35">
    <w:nsid w:val="21FAA2FA"/>
    <w:multiLevelType w:val="hybridMultilevel"/>
    <w:lvl w:ilvl="0">
      <w:lvlJc w:val="left"/>
      <w:lvlText w:val="•"/>
      <w:numFmt w:val="bullet"/>
      <w:start w:val="1"/>
    </w:lvl>
  </w:abstractNum>
  <w:abstractNum w:abstractNumId="36">
    <w:nsid w:val="5451CF49"/>
    <w:multiLevelType w:val="hybridMultilevel"/>
    <w:lvl w:ilvl="0">
      <w:lvlJc w:val="left"/>
      <w:lvlText w:val="•"/>
      <w:numFmt w:val="bullet"/>
      <w:start w:val="1"/>
    </w:lvl>
  </w:abstractNum>
  <w:abstractNum w:abstractNumId="37">
    <w:nsid w:val="6181EF69"/>
    <w:multiLevelType w:val="hybridMultilevel"/>
    <w:lvl w:ilvl="0">
      <w:lvlJc w:val="left"/>
      <w:lvlText w:val="•"/>
      <w:numFmt w:val="bullet"/>
      <w:start w:val="1"/>
    </w:lvl>
  </w:abstractNum>
  <w:abstractNum w:abstractNumId="38">
    <w:nsid w:val="3E6400E6"/>
    <w:multiLevelType w:val="hybridMultilevel"/>
    <w:lvl w:ilvl="0">
      <w:lvlJc w:val="left"/>
      <w:lvlText w:val="•"/>
      <w:numFmt w:val="bullet"/>
      <w:start w:val="1"/>
    </w:lvl>
  </w:abstractNum>
  <w:abstractNum w:abstractNumId="39">
    <w:nsid w:val="14217E23"/>
    <w:multiLevelType w:val="hybridMultilevel"/>
    <w:lvl w:ilvl="0">
      <w:lvlJc w:val="left"/>
      <w:lvlText w:val="•"/>
      <w:numFmt w:val="bullet"/>
      <w:start w:val="1"/>
    </w:lvl>
  </w:abstractNum>
  <w:abstractNum w:abstractNumId="40">
    <w:nsid w:val="710757D0"/>
    <w:multiLevelType w:val="hybridMultilevel"/>
    <w:lvl w:ilvl="0">
      <w:lvlJc w:val="left"/>
      <w:lvlText w:val="•"/>
      <w:numFmt w:val="bullet"/>
      <w:start w:val="1"/>
    </w:lvl>
  </w:abstractNum>
  <w:abstractNum w:abstractNumId="41">
    <w:nsid w:val="5015CD1A"/>
    <w:multiLevelType w:val="hybridMultilevel"/>
    <w:lvl w:ilvl="0">
      <w:lvlJc w:val="left"/>
      <w:lvlText w:val="(%1)"/>
      <w:numFmt w:val="decimal"/>
      <w:start w:val="1"/>
    </w:lvl>
  </w:abstractNum>
  <w:abstractNum w:abstractNumId="42">
    <w:nsid w:val="424479DA"/>
    <w:multiLevelType w:val="hybridMultilevel"/>
    <w:lvl w:ilvl="0">
      <w:lvlJc w:val="left"/>
      <w:lvlText w:val="•"/>
      <w:numFmt w:val="bullet"/>
      <w:start w:val="1"/>
    </w:lvl>
  </w:abstractNum>
  <w:abstractNum w:abstractNumId="43">
    <w:nsid w:val="1A9A9E69"/>
    <w:multiLevelType w:val="hybridMultilevel"/>
    <w:lvl w:ilvl="0">
      <w:lvlJc w:val="left"/>
      <w:lvlText w:val="•"/>
      <w:numFmt w:val="bullet"/>
      <w:start w:val="1"/>
    </w:lvl>
  </w:abstractNum>
  <w:abstractNum w:abstractNumId="44">
    <w:nsid w:val="475E256A"/>
    <w:multiLevelType w:val="hybridMultilevel"/>
    <w:lvl w:ilvl="0">
      <w:lvlJc w:val="left"/>
      <w:lvlText w:val="•"/>
      <w:numFmt w:val="bullet"/>
      <w:start w:val="1"/>
    </w:lvl>
  </w:abstractNum>
  <w:abstractNum w:abstractNumId="45">
    <w:nsid w:val="368DB37E"/>
    <w:multiLevelType w:val="hybridMultilevel"/>
    <w:lvl w:ilvl="0">
      <w:lvlJc w:val="left"/>
      <w:lvlText w:val="(%1)"/>
      <w:numFmt w:val="decimal"/>
      <w:start w:val="1"/>
    </w:lvl>
  </w:abstractNum>
  <w:abstractNum w:abstractNumId="46">
    <w:nsid w:val="6A3B714C"/>
    <w:multiLevelType w:val="hybridMultilevel"/>
    <w:lvl w:ilvl="0">
      <w:lvlJc w:val="left"/>
      <w:lvlText w:val="(%1)"/>
      <w:numFmt w:val="decimal"/>
      <w:start w:val="1"/>
    </w:lvl>
  </w:abstractNum>
  <w:abstractNum w:abstractNumId="47">
    <w:nsid w:val="327B517E"/>
    <w:multiLevelType w:val="hybridMultilevel"/>
    <w:lvl w:ilvl="0">
      <w:lvlJc w:val="left"/>
      <w:lvlText w:val="•"/>
      <w:numFmt w:val="bullet"/>
      <w:start w:val="1"/>
    </w:lvl>
  </w:abstractNum>
  <w:abstractNum w:abstractNumId="48">
    <w:nsid w:val="1F461B51"/>
    <w:multiLevelType w:val="hybridMultilevel"/>
    <w:lvl w:ilvl="0">
      <w:lvlJc w:val="left"/>
      <w:lvlText w:val="•"/>
      <w:numFmt w:val="bullet"/>
      <w:start w:val="1"/>
    </w:lvl>
  </w:abstractNum>
  <w:abstractNum w:abstractNumId="49">
    <w:nsid w:val="29BACF25"/>
    <w:multiLevelType w:val="hybridMultilevel"/>
    <w:lvl w:ilvl="0">
      <w:lvlJc w:val="left"/>
      <w:lvlText w:val="•"/>
      <w:numFmt w:val="bullet"/>
      <w:start w:val="1"/>
    </w:lvl>
  </w:abstractNum>
  <w:abstractNum w:abstractNumId="50">
    <w:nsid w:val="5D5BABB3"/>
    <w:multiLevelType w:val="hybridMultilevel"/>
    <w:lvl w:ilvl="0">
      <w:lvlJc w:val="left"/>
      <w:lvlText w:val="•"/>
      <w:numFmt w:val="bullet"/>
      <w:start w:val="1"/>
    </w:lvl>
  </w:abstractNum>
  <w:abstractNum w:abstractNumId="51">
    <w:nsid w:val="51BF6B48"/>
    <w:multiLevelType w:val="hybridMultilevel"/>
    <w:lvl w:ilvl="0">
      <w:lvlJc w:val="left"/>
      <w:lvlText w:val="•"/>
      <w:numFmt w:val="bullet"/>
      <w:start w:val="1"/>
    </w:lvl>
  </w:abstractNum>
  <w:abstractNum w:abstractNumId="52">
    <w:nsid w:val="7E0F6384"/>
    <w:multiLevelType w:val="hybridMultilevel"/>
    <w:lvl w:ilvl="0">
      <w:lvlJc w:val="left"/>
      <w:lvlText w:val="•"/>
      <w:numFmt w:val="bullet"/>
      <w:start w:val="1"/>
    </w:lvl>
  </w:abstractNum>
  <w:abstractNum w:abstractNumId="53">
    <w:nsid w:val="2B4B8B53"/>
    <w:multiLevelType w:val="hybridMultilevel"/>
    <w:lvl w:ilvl="0">
      <w:lvlJc w:val="left"/>
      <w:lvlText w:val="•"/>
      <w:numFmt w:val="bullet"/>
      <w:start w:val="1"/>
    </w:lvl>
  </w:abstractNum>
  <w:abstractNum w:abstractNumId="54">
    <w:nsid w:val="72E3413A"/>
    <w:multiLevelType w:val="hybridMultilevel"/>
    <w:lvl w:ilvl="0">
      <w:lvlJc w:val="left"/>
      <w:lvlText w:val="(%1)"/>
      <w:numFmt w:val="decimal"/>
      <w:start w:val="1"/>
    </w:lvl>
  </w:abstractNum>
  <w:abstractNum w:abstractNumId="55">
    <w:nsid w:val="116AE494"/>
    <w:multiLevelType w:val="hybridMultilevel"/>
    <w:lvl w:ilvl="0">
      <w:lvlJc w:val="left"/>
      <w:lvlText w:val="•"/>
      <w:numFmt w:val="bullet"/>
      <w:start w:val="1"/>
    </w:lvl>
  </w:abstractNum>
  <w:abstractNum w:abstractNumId="56">
    <w:nsid w:val="3494B2FB"/>
    <w:multiLevelType w:val="hybridMultilevel"/>
    <w:lvl w:ilvl="0">
      <w:lvlJc w:val="left"/>
      <w:lvlText w:val="(%1)"/>
      <w:numFmt w:val="lowerRoman"/>
      <w:start w:val="9"/>
    </w:lvl>
  </w:abstractNum>
  <w:abstractNum w:abstractNumId="57">
    <w:nsid w:val="B13A31"/>
    <w:multiLevelType w:val="hybridMultilevel"/>
    <w:lvl w:ilvl="0">
      <w:lvlJc w:val="left"/>
      <w:lvlText w:val="(%1)"/>
      <w:numFmt w:val="decimal"/>
      <w:start w:val="1"/>
    </w:lvl>
  </w:abstractNum>
  <w:abstractNum w:abstractNumId="58">
    <w:nsid w:val="64429599"/>
    <w:multiLevelType w:val="hybridMultilevel"/>
    <w:lvl w:ilvl="0">
      <w:lvlJc w:val="left"/>
      <w:lvlText w:val="•"/>
      <w:numFmt w:val="bullet"/>
      <w:start w:val="1"/>
    </w:lvl>
  </w:abstractNum>
  <w:abstractNum w:abstractNumId="59">
    <w:nsid w:val="631F1690"/>
    <w:multiLevelType w:val="hybridMultilevel"/>
    <w:lvl w:ilvl="0">
      <w:lvlJc w:val="left"/>
      <w:lvlText w:val="•"/>
      <w:numFmt w:val="bullet"/>
      <w:start w:val="1"/>
    </w:lvl>
  </w:abstractNum>
  <w:abstractNum w:abstractNumId="60">
    <w:nsid w:val="25973E32"/>
    <w:multiLevelType w:val="hybridMultilevel"/>
    <w:lvl w:ilvl="0">
      <w:lvlJc w:val="left"/>
      <w:lvlText w:val="•"/>
      <w:numFmt w:val="bullet"/>
      <w:start w:val="1"/>
    </w:lvl>
  </w:abstractNum>
  <w:abstractNum w:abstractNumId="61">
    <w:nsid w:val="EAD6F57"/>
    <w:multiLevelType w:val="hybridMultilevel"/>
    <w:lvl w:ilvl="0">
      <w:lvlJc w:val="left"/>
      <w:lvlText w:val="•"/>
      <w:numFmt w:val="bullet"/>
      <w:start w:val="1"/>
    </w:lvl>
  </w:abstractNum>
  <w:abstractNum w:abstractNumId="62">
    <w:nsid w:val="6EC9D844"/>
    <w:multiLevelType w:val="hybridMultilevel"/>
    <w:lvl w:ilvl="0">
      <w:lvlJc w:val="left"/>
      <w:lvlText w:val="•"/>
      <w:numFmt w:val="bullet"/>
      <w:start w:val="1"/>
    </w:lvl>
  </w:abstractNum>
  <w:abstractNum w:abstractNumId="63">
    <w:nsid w:val="5C49EAEE"/>
    <w:multiLevelType w:val="hybridMultilevel"/>
    <w:lvl w:ilvl="0">
      <w:lvlJc w:val="left"/>
      <w:lvlText w:val="(%1)"/>
      <w:numFmt w:val="decimal"/>
      <w:start w:val="1"/>
    </w:lvl>
  </w:abstractNum>
  <w:abstractNum w:abstractNumId="64">
    <w:nsid w:val="64AF49B"/>
    <w:multiLevelType w:val="hybridMultilevel"/>
    <w:lvl w:ilvl="0">
      <w:lvlJc w:val="left"/>
      <w:lvlText w:val="(%1)"/>
      <w:numFmt w:val="decimal"/>
      <w:start w:val="2"/>
    </w:lvl>
  </w:abstractNum>
  <w:abstractNum w:abstractNumId="65">
    <w:nsid w:val="397C46BC"/>
    <w:multiLevelType w:val="hybridMultilevel"/>
    <w:lvl w:ilvl="0">
      <w:lvlJc w:val="left"/>
      <w:lvlText w:val="%1"/>
      <w:numFmt w:val="decimal"/>
      <w:start w:val="1"/>
    </w:lvl>
    <w:lvl w:ilvl="1">
      <w:lvlJc w:val="left"/>
      <w:lvlText w:val="(%2)"/>
      <w:numFmt w:val="decimal"/>
      <w:start w:val="1"/>
    </w:lvl>
  </w:abstractNum>
  <w:abstractNum w:abstractNumId="66">
    <w:nsid w:val="7E448DE9"/>
    <w:multiLevelType w:val="hybridMultilevel"/>
    <w:lvl w:ilvl="0">
      <w:lvlJc w:val="left"/>
      <w:lvlText w:val="(%1)"/>
      <w:numFmt w:val="decimal"/>
      <w:start w:val="3"/>
    </w:lvl>
    <w:lvl w:ilvl="1">
      <w:lvlJc w:val="left"/>
      <w:lvlText w:val="%2"/>
      <w:numFmt w:val="decimal"/>
      <w:start w:val="1"/>
    </w:lvl>
  </w:abstractNum>
  <w:abstractNum w:abstractNumId="67">
    <w:nsid w:val="5A9CC3E5"/>
    <w:multiLevelType w:val="hybridMultilevel"/>
    <w:lvl w:ilvl="0">
      <w:lvlJc w:val="left"/>
      <w:lvlText w:val="•"/>
      <w:numFmt w:val="bullet"/>
      <w:start w:val="1"/>
    </w:lvl>
  </w:abstractNum>
  <w:abstractNum w:abstractNumId="68">
    <w:nsid w:val="1AFE3625"/>
    <w:multiLevelType w:val="hybridMultilevel"/>
    <w:lvl w:ilvl="0">
      <w:lvlJc w:val="left"/>
      <w:lvlText w:val="•"/>
      <w:numFmt w:val="bullet"/>
      <w:start w:val="1"/>
    </w:lvl>
  </w:abstractNum>
  <w:abstractNum w:abstractNumId="69">
    <w:nsid w:val="3CA88ECF"/>
    <w:multiLevelType w:val="hybridMultilevel"/>
    <w:lvl w:ilvl="0">
      <w:lvlJc w:val="left"/>
      <w:lvlText w:val="(%1)"/>
      <w:numFmt w:val="decimal"/>
      <w:start w:val="1"/>
    </w:lvl>
  </w:abstractNum>
  <w:abstractNum w:abstractNumId="70">
    <w:nsid w:val="6EBE4208"/>
    <w:multiLevelType w:val="hybridMultilevel"/>
    <w:lvl w:ilvl="0">
      <w:lvlJc w:val="left"/>
      <w:lvlText w:val="(%1)"/>
      <w:numFmt w:val="decimal"/>
      <w:start w:val="1"/>
    </w:lvl>
  </w:abstractNum>
  <w:abstractNum w:abstractNumId="71">
    <w:nsid w:val="C058DF5"/>
    <w:multiLevelType w:val="hybridMultilevel"/>
    <w:lvl w:ilvl="0">
      <w:lvlJc w:val="left"/>
      <w:lvlText w:val="(%1)"/>
      <w:numFmt w:val="decimal"/>
      <w:start w:val="2"/>
    </w:lvl>
  </w:abstractNum>
  <w:abstractNum w:abstractNumId="72">
    <w:nsid w:val="CBE5BE9"/>
    <w:multiLevelType w:val="hybridMultilevel"/>
    <w:lvl w:ilvl="0">
      <w:lvlJc w:val="left"/>
      <w:lvlText w:val="•"/>
      <w:numFmt w:val="bullet"/>
      <w:start w:val="1"/>
    </w:lvl>
  </w:abstractNum>
  <w:abstractNum w:abstractNumId="73">
    <w:nsid w:val="3102BBE2"/>
    <w:multiLevelType w:val="hybridMultilevel"/>
    <w:lvl w:ilvl="0">
      <w:lvlJc w:val="left"/>
      <w:lvlText w:val="•"/>
      <w:numFmt w:val="bullet"/>
      <w:start w:val="1"/>
    </w:lvl>
  </w:abstractNum>
  <w:abstractNum w:abstractNumId="74">
    <w:nsid w:val="26A02C5E"/>
    <w:multiLevelType w:val="hybridMultilevel"/>
    <w:lvl w:ilvl="0">
      <w:lvlJc w:val="left"/>
      <w:lvlText w:val="•"/>
      <w:numFmt w:val="bullet"/>
      <w:start w:val="1"/>
    </w:lvl>
  </w:abstractNum>
  <w:abstractNum w:abstractNumId="75">
    <w:nsid w:val="541C8153"/>
    <w:multiLevelType w:val="hybridMultilevel"/>
    <w:lvl w:ilvl="0">
      <w:lvlJc w:val="left"/>
      <w:lvlText w:val="•"/>
      <w:numFmt w:val="bullet"/>
      <w:start w:val="1"/>
    </w:lvl>
  </w:abstractNum>
  <w:abstractNum w:abstractNumId="76">
    <w:nsid w:val="67906F60"/>
    <w:multiLevelType w:val="hybridMultilevel"/>
    <w:lvl w:ilvl="0">
      <w:lvlJc w:val="left"/>
      <w:lvlText w:val="•"/>
      <w:numFmt w:val="bullet"/>
      <w:start w:val="1"/>
    </w:lvl>
  </w:abstractNum>
  <w:abstractNum w:abstractNumId="77">
    <w:nsid w:val="10DB9DAA"/>
    <w:multiLevelType w:val="hybridMultilevel"/>
    <w:lvl w:ilvl="0">
      <w:lvlJc w:val="left"/>
      <w:lvlText w:val="•"/>
      <w:numFmt w:val="bullet"/>
      <w:start w:val="1"/>
    </w:lvl>
  </w:abstractNum>
  <w:abstractNum w:abstractNumId="78">
    <w:nsid w:val="697D2D2"/>
    <w:multiLevelType w:val="hybridMultilevel"/>
    <w:lvl w:ilvl="0">
      <w:lvlJc w:val="left"/>
      <w:lvlText w:val="%1."/>
      <w:numFmt w:val="decimal"/>
      <w:start w:val="1"/>
    </w:lvl>
  </w:abstractNum>
  <w:abstractNum w:abstractNumId="79">
    <w:nsid w:val="6D68AB2"/>
    <w:multiLevelType w:val="hybridMultilevel"/>
    <w:lvl w:ilvl="0">
      <w:lvlJc w:val="left"/>
      <w:lvlText w:val="•"/>
      <w:numFmt w:val="bullet"/>
      <w:start w:val="1"/>
    </w:lvl>
  </w:abstractNum>
  <w:abstractNum w:abstractNumId="80">
    <w:nsid w:val="3A966CD0"/>
    <w:multiLevelType w:val="hybridMultilevel"/>
    <w:lvl w:ilvl="0">
      <w:lvlJc w:val="left"/>
      <w:lvlText w:val="*"/>
      <w:numFmt w:val="bullet"/>
      <w:start w:val="1"/>
    </w:lvl>
  </w:abstractNum>
  <w:abstractNum w:abstractNumId="81">
    <w:nsid w:val="63F37E85"/>
    <w:multiLevelType w:val="hybridMultilevel"/>
    <w:lvl w:ilvl="0">
      <w:lvlJc w:val="left"/>
      <w:lvlText w:val="(%1)"/>
      <w:numFmt w:val="decimal"/>
      <w:start w:val="1"/>
    </w:lvl>
  </w:abstractNum>
  <w:abstractNum w:abstractNumId="82">
    <w:nsid w:val="5895F5FA"/>
    <w:multiLevelType w:val="hybridMultilevel"/>
    <w:lvl w:ilvl="0">
      <w:lvlJc w:val="left"/>
      <w:lvlText w:val="(%1)"/>
      <w:numFmt w:val="lowerRoman"/>
      <w:start w:val="1"/>
    </w:lvl>
  </w:abstractNum>
  <w:abstractNum w:abstractNumId="83">
    <w:nsid w:val="38A5D054"/>
    <w:multiLevelType w:val="hybridMultilevel"/>
    <w:lvl w:ilvl="0">
      <w:lvlJc w:val="left"/>
      <w:lvlText w:val="•"/>
      <w:numFmt w:val="bullet"/>
      <w:start w:val="1"/>
    </w:lvl>
  </w:abstractNum>
  <w:abstractNum w:abstractNumId="84">
    <w:nsid w:val="F3F09D8"/>
    <w:multiLevelType w:val="hybridMultilevel"/>
    <w:lvl w:ilvl="0">
      <w:lvlJc w:val="left"/>
      <w:lvlText w:val="•"/>
      <w:numFmt w:val="bullet"/>
      <w:start w:val="1"/>
    </w:lvl>
  </w:abstractNum>
  <w:abstractNum w:abstractNumId="85">
    <w:nsid w:val="4B793735"/>
    <w:multiLevelType w:val="hybridMultilevel"/>
    <w:lvl w:ilvl="0">
      <w:lvlJc w:val="left"/>
      <w:lvlText w:val="•"/>
      <w:numFmt w:val="bullet"/>
      <w:start w:val="1"/>
    </w:lvl>
  </w:abstractNum>
  <w:abstractNum w:abstractNumId="86">
    <w:nsid w:val="4A10B4E8"/>
    <w:multiLevelType w:val="hybridMultilevel"/>
    <w:lvl w:ilvl="0">
      <w:lvlJc w:val="left"/>
      <w:lvlText w:val="•"/>
      <w:numFmt w:val="bullet"/>
      <w:start w:val="1"/>
    </w:lvl>
  </w:abstractNum>
  <w:abstractNum w:abstractNumId="87">
    <w:nsid w:val="43D3BCD4"/>
    <w:multiLevelType w:val="hybridMultilevel"/>
    <w:lvl w:ilvl="0">
      <w:lvlJc w:val="left"/>
      <w:lvlText w:val="(%1)"/>
      <w:numFmt w:val="lowerRoman"/>
      <w:start w:val="2"/>
    </w:lvl>
  </w:abstractNum>
  <w:abstractNum w:abstractNumId="88">
    <w:nsid w:val="4C2A7166"/>
    <w:multiLevelType w:val="hybridMultilevel"/>
    <w:lvl w:ilvl="0">
      <w:lvlJc w:val="left"/>
      <w:lvlText w:val="•"/>
      <w:numFmt w:val="bullet"/>
      <w:start w:val="1"/>
    </w:lvl>
  </w:abstractNum>
  <w:abstractNum w:abstractNumId="89">
    <w:nsid w:val="2E534A82"/>
    <w:multiLevelType w:val="hybridMultilevel"/>
    <w:lvl w:ilvl="0">
      <w:lvlJc w:val="left"/>
      <w:lvlText w:val="•"/>
      <w:numFmt w:val="bullet"/>
      <w:start w:val="1"/>
    </w:lvl>
  </w:abstractNum>
  <w:abstractNum w:abstractNumId="90">
    <w:nsid w:val="26F2D364"/>
    <w:multiLevelType w:val="hybridMultilevel"/>
    <w:lvl w:ilvl="0">
      <w:lvlJc w:val="left"/>
      <w:lvlText w:val="%1."/>
      <w:numFmt w:val="decimal"/>
      <w:start w:val="144"/>
    </w:lvl>
  </w:abstractNum>
  <w:abstractNum w:abstractNumId="91">
    <w:nsid w:val="71C1AF98"/>
    <w:multiLevelType w:val="hybridMultilevel"/>
    <w:lvl w:ilvl="0">
      <w:lvlJc w:val="left"/>
      <w:lvlText w:val="•"/>
      <w:numFmt w:val="bullet"/>
      <w:start w:val="1"/>
    </w:lvl>
  </w:abstractNum>
  <w:abstractNum w:abstractNumId="92">
    <w:nsid w:val="3D00B9D9"/>
    <w:multiLevelType w:val="hybridMultilevel"/>
    <w:lvl w:ilvl="0">
      <w:lvlJc w:val="left"/>
      <w:lvlText w:val="•"/>
      <w:numFmt w:val="bullet"/>
      <w:start w:val="1"/>
    </w:lvl>
  </w:abstractNum>
  <w:abstractNum w:abstractNumId="93">
    <w:nsid w:val="15BCABA8"/>
    <w:multiLevelType w:val="hybridMultilevel"/>
    <w:lvl w:ilvl="0">
      <w:lvlJc w:val="left"/>
      <w:lvlText w:val="•"/>
      <w:numFmt w:val="bullet"/>
      <w:start w:val="1"/>
    </w:lvl>
  </w:abstractNum>
  <w:abstractNum w:abstractNumId="94">
    <w:nsid w:val="4E0B9A87"/>
    <w:multiLevelType w:val="hybridMultilevel"/>
    <w:lvl w:ilvl="0">
      <w:lvlJc w:val="left"/>
      <w:lvlText w:val="•"/>
      <w:numFmt w:val="bullet"/>
      <w:start w:val="1"/>
    </w:lvl>
  </w:abstractNum>
  <w:abstractNum w:abstractNumId="95">
    <w:nsid w:val="434BAE75"/>
    <w:multiLevelType w:val="hybridMultilevel"/>
    <w:lvl w:ilvl="0">
      <w:lvlJc w:val="left"/>
      <w:lvlText w:val="•"/>
      <w:numFmt w:val="bullet"/>
      <w:start w:val="1"/>
    </w:lvl>
  </w:abstractNum>
  <w:abstractNum w:abstractNumId="96">
    <w:nsid w:val="4F38F265"/>
    <w:multiLevelType w:val="hybridMultilevel"/>
    <w:lvl w:ilvl="0">
      <w:lvlJc w:val="left"/>
      <w:lvlText w:val="%1."/>
      <w:numFmt w:val="upperLetter"/>
      <w:start w:val="1"/>
    </w:lvl>
  </w:abstractNum>
  <w:abstractNum w:abstractNumId="97">
    <w:nsid w:val="4C502870"/>
    <w:multiLevelType w:val="hybridMultilevel"/>
    <w:lvl w:ilvl="0">
      <w:lvlJc w:val="left"/>
      <w:lvlText w:val="(%1)"/>
      <w:numFmt w:val="lowerRoman"/>
      <w:start w:val="2"/>
    </w:lvl>
  </w:abstractNum>
  <w:abstractNum w:abstractNumId="98">
    <w:nsid w:val="1DE8725A"/>
    <w:multiLevelType w:val="hybridMultilevel"/>
    <w:lvl w:ilvl="0">
      <w:lvlJc w:val="left"/>
      <w:lvlText w:val="(%1)"/>
      <w:numFmt w:val="decimal"/>
      <w:start w:val="632"/>
    </w:lvl>
  </w:abstractNum>
  <w:abstractNum w:abstractNumId="99">
    <w:nsid w:val="6A37288A"/>
    <w:multiLevelType w:val="hybridMultilevel"/>
    <w:lvl w:ilvl="0">
      <w:lvlJc w:val="left"/>
      <w:lvlText w:val="(%1)"/>
      <w:numFmt w:val="decimal"/>
      <w:start w:val="10"/>
    </w:lvl>
  </w:abstractNum>
  <w:abstractNum w:abstractNumId="100">
    <w:nsid w:val="8F8B73F"/>
    <w:multiLevelType w:val="hybridMultilevel"/>
    <w:lvl w:ilvl="0">
      <w:lvlJc w:val="left"/>
      <w:lvlText w:val="(%1)"/>
      <w:numFmt w:val="decimal"/>
      <w:start w:val="935"/>
    </w:lvl>
  </w:abstractNum>
  <w:abstractNum w:abstractNumId="101">
    <w:nsid w:val="CA6B462"/>
    <w:multiLevelType w:val="hybridMultilevel"/>
    <w:lvl w:ilvl="0">
      <w:lvlJc w:val="left"/>
      <w:lvlText w:val="(%1)"/>
      <w:numFmt w:val="decimal"/>
      <w:start w:val="925"/>
    </w:lvl>
  </w:abstractNum>
  <w:abstractNum w:abstractNumId="102">
    <w:nsid w:val="763CB680"/>
    <w:multiLevelType w:val="hybridMultilevel"/>
    <w:lvl w:ilvl="0">
      <w:lvlJc w:val="left"/>
      <w:lvlText w:val="\emdash "/>
      <w:numFmt w:val="bullet"/>
      <w:start w:val="1"/>
    </w:lvl>
  </w:abstractNum>
  <w:abstractNum w:abstractNumId="103">
    <w:nsid w:val="15B71329"/>
    <w:multiLevelType w:val="hybridMultilevel"/>
    <w:lvl w:ilvl="0">
      <w:lvlJc w:val="left"/>
      <w:lvlText w:val="(%1)"/>
      <w:numFmt w:val="decimal"/>
      <w:start w:val="378"/>
    </w:lvl>
  </w:abstractNum>
  <w:abstractNum w:abstractNumId="104">
    <w:nsid w:val="3DA97044"/>
    <w:multiLevelType w:val="hybridMultilevel"/>
    <w:lvl w:ilvl="0">
      <w:lvlJc w:val="left"/>
      <w:lvlText w:val="(%1)"/>
      <w:numFmt w:val="decimal"/>
      <w:start w:val="2"/>
    </w:lvl>
  </w:abstractNum>
  <w:abstractNum w:abstractNumId="105">
    <w:nsid w:val="1CDCE2DE"/>
    <w:multiLevelType w:val="hybridMultilevel"/>
    <w:lvl w:ilvl="0">
      <w:lvlJc w:val="left"/>
      <w:lvlText w:val="(%1)"/>
      <w:numFmt w:val="lowerRoman"/>
      <w:start w:val="2"/>
    </w:lvl>
  </w:abstractNum>
  <w:abstractNum w:abstractNumId="106">
    <w:nsid w:val="69D3947C"/>
    <w:multiLevelType w:val="hybridMultilevel"/>
    <w:lvl w:ilvl="0">
      <w:lvlJc w:val="left"/>
      <w:lvlText w:val="(%1)"/>
      <w:numFmt w:val="lowerLetter"/>
      <w:start w:val="3"/>
    </w:lvl>
  </w:abstractNum>
  <w:abstractNum w:abstractNumId="107">
    <w:nsid w:val="2539DFA5"/>
    <w:multiLevelType w:val="hybridMultilevel"/>
    <w:lvl w:ilvl="0">
      <w:lvlJc w:val="left"/>
      <w:lvlText w:val="(%1)"/>
      <w:numFmt w:val="decimal"/>
      <w:start w:val="1"/>
    </w:lvl>
  </w:abstractNum>
  <w:abstractNum w:abstractNumId="108">
    <w:nsid w:val="2DB88089"/>
    <w:multiLevelType w:val="hybridMultilevel"/>
    <w:lvl w:ilvl="0">
      <w:lvlJc w:val="left"/>
      <w:lvlText w:val="(%1)"/>
      <w:numFmt w:val="lowerRoman"/>
      <w:start w:val="2"/>
    </w:lvl>
  </w:abstractNum>
  <w:abstractNum w:abstractNumId="109">
    <w:nsid w:val="706B674E"/>
    <w:multiLevelType w:val="hybridMultilevel"/>
    <w:lvl w:ilvl="0">
      <w:lvlJc w:val="left"/>
      <w:lvlText w:val="(%1)"/>
      <w:numFmt w:val="lowerLetter"/>
      <w:start w:val="3"/>
    </w:lvl>
  </w:abstractNum>
  <w:abstractNum w:abstractNumId="110">
    <w:nsid w:val="2C106A57"/>
    <w:multiLevelType w:val="hybridMultilevel"/>
    <w:lvl w:ilvl="0">
      <w:lvlJc w:val="left"/>
      <w:lvlText w:val="(%1)"/>
      <w:numFmt w:val="decimal"/>
      <w:start w:val="1"/>
    </w:lvl>
  </w:abstractNum>
  <w:abstractNum w:abstractNumId="111">
    <w:nsid w:val="684EED59"/>
    <w:multiLevelType w:val="hybridMultilevel"/>
    <w:lvl w:ilvl="0">
      <w:lvlJc w:val="left"/>
      <w:lvlText w:val="*"/>
      <w:numFmt w:val="bullet"/>
      <w:start w:val="1"/>
    </w:lvl>
  </w:abstractNum>
  <w:abstractNum w:abstractNumId="112">
    <w:nsid w:val="545EE5D3"/>
    <w:multiLevelType w:val="hybridMultilevel"/>
    <w:lvl w:ilvl="0">
      <w:lvlJc w:val="left"/>
      <w:lvlText w:val="•"/>
      <w:numFmt w:val="bullet"/>
      <w:start w:val="1"/>
    </w:lvl>
  </w:abstractNum>
  <w:abstractNum w:abstractNumId="113">
    <w:nsid w:val="4A66051"/>
    <w:multiLevelType w:val="hybridMultilevel"/>
    <w:lvl w:ilvl="0">
      <w:lvlJc w:val="left"/>
      <w:lvlText w:val="•"/>
      <w:numFmt w:val="bullet"/>
      <w:start w:val="1"/>
    </w:lvl>
  </w:abstractNum>
  <w:abstractNum w:abstractNumId="114">
    <w:nsid w:val="20F4BDAD"/>
    <w:multiLevelType w:val="hybridMultilevel"/>
    <w:lvl w:ilvl="0">
      <w:lvlJc w:val="left"/>
      <w:lvlText w:val="•"/>
      <w:numFmt w:val="bullet"/>
      <w:start w:val="1"/>
    </w:lvl>
  </w:abstractNum>
  <w:abstractNum w:abstractNumId="115">
    <w:nsid w:val="639DEFAC"/>
    <w:multiLevelType w:val="hybridMultilevel"/>
    <w:lvl w:ilvl="0">
      <w:lvlJc w:val="left"/>
      <w:lvlText w:val="*"/>
      <w:numFmt w:val="bullet"/>
      <w:start w:val="1"/>
    </w:lvl>
  </w:abstractNum>
  <w:abstractNum w:abstractNumId="116">
    <w:nsid w:val="501F9786"/>
    <w:multiLevelType w:val="hybridMultilevel"/>
    <w:lvl w:ilvl="0">
      <w:lvlJc w:val="left"/>
      <w:lvlText w:val="(%1)"/>
      <w:numFmt w:val="decimal"/>
      <w:start w:val="1"/>
    </w:lvl>
  </w:abstractNum>
  <w:abstractNum w:abstractNumId="117">
    <w:nsid w:val="6B057295"/>
    <w:multiLevelType w:val="hybridMultilevel"/>
    <w:lvl w:ilvl="0">
      <w:lvlJc w:val="left"/>
      <w:lvlText w:val="(%1)"/>
      <w:numFmt w:val="decimal"/>
      <w:start w:val="4"/>
    </w:lvl>
  </w:abstractNum>
  <w:abstractNum w:abstractNumId="118">
    <w:nsid w:val="2771AC80"/>
    <w:multiLevelType w:val="hybridMultilevel"/>
    <w:lvl w:ilvl="0">
      <w:lvlJc w:val="left"/>
      <w:lvlText w:val="(%1)"/>
      <w:numFmt w:val="decimal"/>
      <w:start w:val="2"/>
    </w:lvl>
  </w:abstractNum>
  <w:abstractNum w:abstractNumId="119">
    <w:nsid w:val="1C4A08EC"/>
    <w:multiLevelType w:val="hybridMultilevel"/>
    <w:lvl w:ilvl="0">
      <w:lvlJc w:val="left"/>
      <w:lvlText w:val="[\emdash ]"/>
      <w:numFmt w:val="bullet"/>
      <w:start w:val="1"/>
    </w:lvl>
  </w:abstractNum>
  <w:abstractNum w:abstractNumId="120">
    <w:nsid w:val="1958BD17"/>
    <w:multiLevelType w:val="hybridMultilevel"/>
    <w:lvl w:ilvl="0">
      <w:lvlJc w:val="left"/>
      <w:lvlText w:val="%1."/>
      <w:numFmt w:val="decimal"/>
      <w:start w:val="1"/>
    </w:lvl>
  </w:abstractNum>
  <w:abstractNum w:abstractNumId="121">
    <w:nsid w:val="4E647FE4"/>
    <w:multiLevelType w:val="hybridMultilevel"/>
    <w:lvl w:ilvl="0">
      <w:lvlJc w:val="left"/>
      <w:lvlText w:val="%1."/>
      <w:numFmt w:val="decimal"/>
      <w:start w:val="2"/>
    </w:lvl>
  </w:abstractNum>
  <w:abstractNum w:abstractNumId="122">
    <w:nsid w:val="E0BB885"/>
    <w:multiLevelType w:val="hybridMultilevel"/>
    <w:lvl w:ilvl="0">
      <w:lvlJc w:val="left"/>
      <w:lvlText w:val="(%1)"/>
      <w:numFmt w:val="lowerLetter"/>
      <w:start w:val="1"/>
    </w:lvl>
  </w:abstractNum>
  <w:abstractNum w:abstractNumId="123">
    <w:nsid w:val="565976F1"/>
    <w:multiLevelType w:val="hybridMultilevel"/>
    <w:lvl w:ilvl="0">
      <w:lvlJc w:val="left"/>
      <w:lvlText w:val="(%1)"/>
      <w:numFmt w:val="lowerLetter"/>
      <w:start w:val="2"/>
    </w:lvl>
  </w:abstractNum>
  <w:abstractNum w:abstractNumId="124">
    <w:nsid w:val="64212B8C"/>
    <w:multiLevelType w:val="hybridMultilevel"/>
    <w:lvl w:ilvl="0">
      <w:lvlJc w:val="left"/>
      <w:lvlText w:val="(%1)"/>
      <w:numFmt w:val="lowerLetter"/>
      <w:start w:val="4"/>
    </w:lvl>
  </w:abstractNum>
  <w:abstractNum w:abstractNumId="125">
    <w:nsid w:val="5C17530C"/>
    <w:multiLevelType w:val="hybridMultilevel"/>
    <w:lvl w:ilvl="0">
      <w:lvlJc w:val="left"/>
      <w:lvlText w:val="%1."/>
      <w:numFmt w:val="decimal"/>
      <w:start w:val="3"/>
    </w:lvl>
    <w:lvl w:ilvl="1">
      <w:lvlJc w:val="left"/>
      <w:lvlText w:val="(%2)"/>
      <w:numFmt w:val="lowerLetter"/>
      <w:start w:val="1"/>
    </w:lvl>
  </w:abstractNum>
  <w:abstractNum w:abstractNumId="126">
    <w:nsid w:val="19A52566"/>
    <w:multiLevelType w:val="hybridMultilevel"/>
    <w:lvl w:ilvl="0">
      <w:lvlJc w:val="left"/>
      <w:lvlText w:val="(%1)"/>
      <w:numFmt w:val="lowerLetter"/>
      <w:start w:val="2"/>
    </w:lvl>
  </w:abstractNum>
  <w:abstractNum w:abstractNumId="127">
    <w:nsid w:val="335A1DF1"/>
    <w:multiLevelType w:val="hybridMultilevel"/>
    <w:lvl w:ilvl="0">
      <w:lvlJc w:val="left"/>
      <w:lvlText w:val="(%1)"/>
      <w:numFmt w:val="lowerLetter"/>
      <w:start w:val="35"/>
    </w:lvl>
    <w:lvl w:ilvl="1">
      <w:lvlJc w:val="left"/>
      <w:lvlText w:val="(%2)"/>
      <w:numFmt w:val="lowerLetter"/>
      <w:start w:val="6"/>
    </w:lvl>
  </w:abstractNum>
  <w:abstractNum w:abstractNumId="128">
    <w:nsid w:val="28677B7C"/>
    <w:multiLevelType w:val="hybridMultilevel"/>
    <w:lvl w:ilvl="0">
      <w:lvlJc w:val="left"/>
      <w:lvlText w:val="(%1)"/>
      <w:numFmt w:val="lowerLetter"/>
      <w:start w:val="8"/>
    </w:lvl>
  </w:abstractNum>
  <w:abstractNum w:abstractNumId="129">
    <w:nsid w:val="378D97C0"/>
    <w:multiLevelType w:val="hybridMultilevel"/>
    <w:lvl w:ilvl="0">
      <w:lvlJc w:val="left"/>
      <w:lvlText w:val="(%1)"/>
      <w:numFmt w:val="lowerLetter"/>
      <w:start w:val="10"/>
    </w:lvl>
  </w:abstractNum>
  <w:abstractNum w:abstractNumId="130">
    <w:nsid w:val="1D91467C"/>
    <w:multiLevelType w:val="hybridMultilevel"/>
    <w:lvl w:ilvl="0">
      <w:lvlJc w:val="left"/>
      <w:lvlText w:val="(%1)"/>
      <w:numFmt w:val="lowerLetter"/>
      <w:start w:val="15"/>
    </w:lvl>
  </w:abstractNum>
  <w:abstractNum w:abstractNumId="131">
    <w:nsid w:val="316032BB"/>
    <w:multiLevelType w:val="hybridMultilevel"/>
    <w:lvl w:ilvl="0">
      <w:lvlJc w:val="left"/>
      <w:lvlText w:val="(%1)"/>
      <w:numFmt w:val="lowerLetter"/>
      <w:start w:val="20"/>
    </w:lvl>
  </w:abstractNum>
  <w:abstractNum w:abstractNumId="132">
    <w:nsid w:val="44344C22"/>
    <w:multiLevelType w:val="hybridMultilevel"/>
    <w:lvl w:ilvl="0">
      <w:lvlJc w:val="left"/>
      <w:lvlText w:val="(%1)"/>
      <w:numFmt w:val="lowerLetter"/>
      <w:start w:val="23"/>
    </w:lvl>
  </w:abstractNum>
  <w:abstractNum w:abstractNumId="133">
    <w:nsid w:val="13CDFCFC"/>
    <w:multiLevelType w:val="hybridMultilevel"/>
    <w:lvl w:ilvl="0">
      <w:lvlJc w:val="left"/>
      <w:lvlText w:val="(%1)"/>
      <w:numFmt w:val="lowerLetter"/>
      <w:start w:val="25"/>
    </w:lvl>
  </w:abstractNum>
  <w:abstractNum w:abstractNumId="134">
    <w:nsid w:val="471745E4"/>
    <w:multiLevelType w:val="hybridMultilevel"/>
    <w:lvl w:ilvl="0">
      <w:lvlJc w:val="left"/>
      <w:lvlText w:val="(%1)"/>
      <w:numFmt w:val="lowerLetter"/>
      <w:start w:val="27"/>
    </w:lvl>
  </w:abstractNum>
  <w:abstractNum w:abstractNumId="135">
    <w:nsid w:val="1DDBC66"/>
    <w:multiLevelType w:val="hybridMultilevel"/>
    <w:lvl w:ilvl="0">
      <w:lvlJc w:val="left"/>
      <w:lvlText w:val="(%1)"/>
      <w:numFmt w:val="lowerLetter"/>
      <w:start w:val="35"/>
    </w:lvl>
    <w:lvl w:ilvl="1">
      <w:lvlJc w:val="left"/>
      <w:lvlText w:val="%2"/>
      <w:numFmt w:val="lowerLetter"/>
      <w:start w:val="1"/>
    </w:lvl>
  </w:abstractNum>
  <w:abstractNum w:abstractNumId="136">
    <w:nsid w:val="30AADFDA"/>
    <w:multiLevelType w:val="hybridMultilevel"/>
    <w:lvl w:ilvl="0">
      <w:lvlJc w:val="left"/>
      <w:lvlText w:val="(%1)"/>
      <w:numFmt w:val="lowerLetter"/>
      <w:start w:val="26"/>
    </w:lvl>
    <w:lvl w:ilvl="1">
      <w:lvlJc w:val="left"/>
      <w:lvlText w:val="(%2)"/>
      <w:numFmt w:val="lowerLetter"/>
      <w:start w:val="31"/>
    </w:lvl>
  </w:abstractNum>
  <w:abstractNum w:abstractNumId="137">
    <w:nsid w:val="30EADA61"/>
    <w:multiLevelType w:val="hybridMultilevel"/>
    <w:lvl w:ilvl="0">
      <w:lvlJc w:val="left"/>
      <w:lvlText w:val="(%1)"/>
      <w:numFmt w:val="lowerLetter"/>
      <w:start w:val="32"/>
    </w:lvl>
  </w:abstractNum>
  <w:abstractNum w:abstractNumId="138">
    <w:nsid w:val="27179C0B"/>
    <w:multiLevelType w:val="hybridMultilevel"/>
    <w:lvl w:ilvl="0">
      <w:lvlJc w:val="left"/>
      <w:lvlText w:val="(%1)"/>
      <w:numFmt w:val="lowerLetter"/>
      <w:start w:val="35"/>
    </w:lvl>
  </w:abstractNum>
  <w:abstractNum w:abstractNumId="139">
    <w:nsid w:val="5E636063"/>
    <w:multiLevelType w:val="hybridMultilevel"/>
    <w:lvl w:ilvl="0">
      <w:lvlJc w:val="left"/>
      <w:lvlText w:val="%1"/>
      <w:numFmt w:val="lowerLetter"/>
      <w:start w:val="1"/>
    </w:lvl>
    <w:lvl w:ilvl="1">
      <w:lvlJc w:val="left"/>
      <w:lvlText w:val="(%2)"/>
      <w:numFmt w:val="lowerLetter"/>
      <w:start w:val="38"/>
    </w:lvl>
  </w:abstractNum>
  <w:abstractNum w:abstractNumId="140">
    <w:nsid w:val="215641AF"/>
    <w:multiLevelType w:val="hybridMultilevel"/>
    <w:lvl w:ilvl="0">
      <w:lvlJc w:val="left"/>
      <w:lvlText w:val="(%1)"/>
      <w:numFmt w:val="lowerLetter"/>
      <w:start w:val="9"/>
    </w:lvl>
    <w:lvl w:ilvl="1">
      <w:lvlJc w:val="left"/>
      <w:lvlText w:val="(%2)"/>
      <w:numFmt w:val="lowerLetter"/>
      <w:start w:val="39"/>
    </w:lvl>
  </w:abstractNum>
  <w:abstractNum w:abstractNumId="141">
    <w:nsid w:val="53280662"/>
    <w:multiLevelType w:val="hybridMultilevel"/>
    <w:lvl w:ilvl="0">
      <w:lvlJc w:val="left"/>
      <w:lvlText w:val="%1"/>
      <w:numFmt w:val="decimal"/>
      <w:start w:val="1"/>
    </w:lvl>
    <w:lvl w:ilvl="1">
      <w:lvlJc w:val="left"/>
      <w:lvlText w:val="(%2)"/>
      <w:numFmt w:val="lowerLetter"/>
      <w:start w:val="43"/>
    </w:lvl>
  </w:abstractNum>
  <w:abstractNum w:abstractNumId="142">
    <w:nsid w:val="46B24DBC"/>
    <w:multiLevelType w:val="hybridMultilevel"/>
    <w:lvl w:ilvl="0">
      <w:lvlJc w:val="left"/>
      <w:lvlText w:val="%1."/>
      <w:numFmt w:val="decimal"/>
      <w:start w:val="4"/>
    </w:lvl>
    <w:lvl w:ilvl="1">
      <w:lvlJc w:val="left"/>
      <w:lvlText w:val="(%2)"/>
      <w:numFmt w:val="lowerLetter"/>
      <w:start w:val="1"/>
    </w:lvl>
  </w:abstractNum>
  <w:abstractNum w:abstractNumId="143">
    <w:nsid w:val="75B52783"/>
    <w:multiLevelType w:val="hybridMultilevel"/>
    <w:lvl w:ilvl="0">
      <w:lvlJc w:val="left"/>
      <w:lvlText w:val="(%1)"/>
      <w:numFmt w:val="lowerLetter"/>
      <w:start w:val="3"/>
    </w:lvl>
  </w:abstractNum>
  <w:abstractNum w:abstractNumId="144">
    <w:nsid w:val="57CE66B4"/>
    <w:multiLevelType w:val="hybridMultilevel"/>
    <w:lvl w:ilvl="0">
      <w:lvlJc w:val="left"/>
      <w:lvlText w:val="%1"/>
      <w:numFmt w:val="lowerLetter"/>
      <w:start w:val="1"/>
    </w:lvl>
    <w:lvl w:ilvl="1">
      <w:lvlJc w:val="left"/>
      <w:lvlText w:val="(%2)"/>
      <w:numFmt w:val="lowerLetter"/>
      <w:start w:val="5"/>
    </w:lvl>
  </w:abstractNum>
  <w:abstractNum w:abstractNumId="145">
    <w:nsid w:val="67A70B69"/>
    <w:multiLevelType w:val="hybridMultilevel"/>
    <w:lvl w:ilvl="0">
      <w:lvlJc w:val="left"/>
      <w:lvlText w:val="(%1)"/>
      <w:numFmt w:val="lowerLetter"/>
      <w:start w:val="61"/>
    </w:lvl>
    <w:lvl w:ilvl="1">
      <w:lvlJc w:val="left"/>
      <w:lvlText w:val="(%2)"/>
      <w:numFmt w:val="lowerLetter"/>
      <w:start w:val="7"/>
    </w:lvl>
  </w:abstractNum>
  <w:abstractNum w:abstractNumId="146">
    <w:nsid w:val="5953172F"/>
    <w:multiLevelType w:val="hybridMultilevel"/>
    <w:lvl w:ilvl="0">
      <w:lvlJc w:val="left"/>
      <w:lvlText w:val="(%1)"/>
      <w:numFmt w:val="lowerLetter"/>
      <w:start w:val="6"/>
    </w:lvl>
    <w:lvl w:ilvl="1">
      <w:lvlJc w:val="left"/>
      <w:lvlText w:val="(%2)"/>
      <w:numFmt w:val="lowerLetter"/>
      <w:start w:val="9"/>
    </w:lvl>
  </w:abstractNum>
  <w:abstractNum w:abstractNumId="147">
    <w:nsid w:val="27EDFE3A"/>
    <w:multiLevelType w:val="hybridMultilevel"/>
    <w:lvl w:ilvl="0">
      <w:lvlJc w:val="left"/>
      <w:lvlText w:val="%1"/>
      <w:numFmt w:val="decimal"/>
      <w:start w:val="1"/>
    </w:lvl>
    <w:lvl w:ilvl="1">
      <w:lvlJc w:val="left"/>
      <w:lvlText w:val="(%2)"/>
      <w:numFmt w:val="lowerLetter"/>
      <w:start w:val="15"/>
    </w:lvl>
  </w:abstractNum>
  <w:abstractNum w:abstractNumId="148">
    <w:nsid w:val="52AC7DFF"/>
    <w:multiLevelType w:val="hybridMultilevel"/>
    <w:lvl w:ilvl="0">
      <w:lvlJc w:val="left"/>
      <w:lvlText w:val="%1."/>
      <w:numFmt w:val="decimal"/>
      <w:start w:val="5"/>
    </w:lvl>
    <w:lvl w:ilvl="1">
      <w:lvlJc w:val="left"/>
      <w:lvlText w:val="(%2)"/>
      <w:numFmt w:val="lowerLetter"/>
      <w:start w:val="1"/>
    </w:lvl>
  </w:abstractNum>
  <w:abstractNum w:abstractNumId="149">
    <w:nsid w:val="C4C3AF"/>
    <w:multiLevelType w:val="hybridMultilevel"/>
    <w:lvl w:ilvl="0">
      <w:lvlJc w:val="left"/>
      <w:lvlText w:val="%1"/>
      <w:numFmt w:val="lowerLetter"/>
      <w:start w:val="1"/>
    </w:lvl>
    <w:lvl w:ilvl="1">
      <w:lvlJc w:val="left"/>
      <w:lvlText w:val="(%2)"/>
      <w:numFmt w:val="lowerLetter"/>
      <w:start w:val="2"/>
    </w:lvl>
  </w:abstractNum>
  <w:abstractNum w:abstractNumId="150">
    <w:nsid w:val="44380727"/>
    <w:multiLevelType w:val="hybridMultilevel"/>
    <w:lvl w:ilvl="0">
      <w:lvlJc w:val="left"/>
      <w:lvlText w:val="(%1)"/>
      <w:numFmt w:val="lowerLetter"/>
      <w:start w:val="3"/>
    </w:lvl>
    <w:lvl w:ilvl="1">
      <w:lvlJc w:val="left"/>
      <w:lvlText w:val="(%2)"/>
      <w:numFmt w:val="lowerLetter"/>
      <w:start w:val="5"/>
    </w:lvl>
  </w:abstractNum>
  <w:abstractNum w:abstractNumId="151">
    <w:nsid w:val="6C053B16"/>
    <w:multiLevelType w:val="hybridMultilevel"/>
    <w:lvl w:ilvl="0">
      <w:lvlJc w:val="left"/>
      <w:lvlText w:val="(%1)"/>
      <w:numFmt w:val="lowerLetter"/>
      <w:start w:val="8"/>
    </w:lvl>
  </w:abstractNum>
  <w:abstractNum w:abstractNumId="152">
    <w:nsid w:val="4F294393"/>
    <w:multiLevelType w:val="hybridMultilevel"/>
    <w:lvl w:ilvl="0">
      <w:lvlJc w:val="left"/>
      <w:lvlText w:val="(%1)"/>
      <w:numFmt w:val="lowerLetter"/>
      <w:start w:val="16"/>
    </w:lvl>
  </w:abstractNum>
  <w:abstractNum w:abstractNumId="153">
    <w:nsid w:val="5243BFAC"/>
    <w:multiLevelType w:val="hybridMultilevel"/>
    <w:lvl w:ilvl="0">
      <w:lvlJc w:val="left"/>
      <w:lvlText w:val="%1."/>
      <w:numFmt w:val="decimal"/>
      <w:start w:val="7"/>
    </w:lvl>
  </w:abstractNum>
  <w:abstractNum w:abstractNumId="154">
    <w:nsid w:val="425EB207"/>
    <w:multiLevelType w:val="hybridMultilevel"/>
    <w:lvl w:ilvl="0">
      <w:lvlJc w:val="left"/>
      <w:lvlText w:val="%1"/>
      <w:numFmt w:val="lowerLetter"/>
      <w:start w:val="1"/>
    </w:lvl>
    <w:lvl w:ilvl="1">
      <w:lvlJc w:val="left"/>
      <w:lvlText w:val="(%2)"/>
      <w:numFmt w:val="lowerLetter"/>
      <w:start w:val="1"/>
    </w:lvl>
  </w:abstractNum>
  <w:abstractNum w:abstractNumId="155">
    <w:nsid w:val="334A6F1F"/>
    <w:multiLevelType w:val="hybridMultilevel"/>
    <w:lvl w:ilvl="0">
      <w:lvlJc w:val="left"/>
      <w:lvlText w:val="(%1)"/>
      <w:numFmt w:val="lowerLetter"/>
      <w:start w:val="2"/>
    </w:lvl>
    <w:lvl w:ilvl="1">
      <w:lvlJc w:val="left"/>
      <w:lvlText w:val="(%2)"/>
      <w:numFmt w:val="lowerLetter"/>
      <w:start w:val="2"/>
    </w:lvl>
  </w:abstractNum>
  <w:abstractNum w:abstractNumId="156">
    <w:nsid w:val="2E5B12B8"/>
    <w:multiLevelType w:val="hybridMultilevel"/>
    <w:lvl w:ilvl="0">
      <w:lvlJc w:val="left"/>
      <w:lvlText w:val="%1"/>
      <w:numFmt w:val="lowerLetter"/>
      <w:start w:val="1"/>
    </w:lvl>
    <w:lvl w:ilvl="1">
      <w:lvlJc w:val="left"/>
      <w:lvlText w:val="(%2)"/>
      <w:numFmt w:val="lowerLetter"/>
      <w:start w:val="3"/>
    </w:lvl>
  </w:abstractNum>
  <w:abstractNum w:abstractNumId="157">
    <w:nsid w:val="5C03D76D"/>
    <w:multiLevelType w:val="hybridMultilevel"/>
    <w:lvl w:ilvl="0">
      <w:lvlJc w:val="left"/>
      <w:lvlText w:val="(%1)"/>
      <w:numFmt w:val="lowerLetter"/>
      <w:start w:val="9"/>
    </w:lvl>
    <w:lvl w:ilvl="1">
      <w:lvlJc w:val="left"/>
      <w:lvlText w:val="%2"/>
      <w:numFmt w:val="lowerLetter"/>
      <w:start w:val="1"/>
    </w:lvl>
  </w:abstractNum>
  <w:abstractNum w:abstractNumId="158">
    <w:nsid w:val="66A48D11"/>
    <w:multiLevelType w:val="hybridMultilevel"/>
    <w:lvl w:ilvl="0">
      <w:lvlJc w:val="left"/>
      <w:lvlText w:val="%1"/>
      <w:numFmt w:val="lowerLetter"/>
      <w:start w:val="1"/>
    </w:lvl>
    <w:lvl w:ilvl="1">
      <w:lvlJc w:val="left"/>
      <w:lvlText w:val="(%2)"/>
      <w:numFmt w:val="lowerLetter"/>
      <w:start w:val="4"/>
    </w:lvl>
  </w:abstractNum>
  <w:abstractNum w:abstractNumId="159">
    <w:nsid w:val="56C28E34"/>
    <w:multiLevelType w:val="hybridMultilevel"/>
    <w:lvl w:ilvl="0">
      <w:lvlJc w:val="left"/>
      <w:lvlText w:val="(%1)"/>
      <w:numFmt w:val="lowerLetter"/>
      <w:start w:val="4"/>
    </w:lvl>
    <w:lvl w:ilvl="1">
      <w:lvlJc w:val="left"/>
      <w:lvlText w:val="(%2)"/>
      <w:numFmt w:val="lowerLetter"/>
      <w:start w:val="6"/>
    </w:lvl>
  </w:abstractNum>
  <w:abstractNum w:abstractNumId="160">
    <w:nsid w:val="13916F2D"/>
    <w:multiLevelType w:val="hybridMultilevel"/>
    <w:lvl w:ilvl="0">
      <w:lvlJc w:val="left"/>
      <w:lvlText w:val="%1"/>
      <w:numFmt w:val="lowerRoman"/>
      <w:start w:val="1"/>
    </w:lvl>
    <w:lvl w:ilvl="1">
      <w:lvlJc w:val="left"/>
      <w:lvlText w:val="%2."/>
      <w:numFmt w:val="decimal"/>
      <w:start w:val="8"/>
    </w:lvl>
  </w:abstractNum>
  <w:abstractNum w:abstractNumId="161">
    <w:nsid w:val="435D38D"/>
    <w:multiLevelType w:val="hybridMultilevel"/>
    <w:lvl w:ilvl="0">
      <w:lvlJc w:val="left"/>
      <w:lvlText w:val="(%1)"/>
      <w:numFmt w:val="lowerRoman"/>
      <w:start w:val="1"/>
    </w:lvl>
    <w:lvl w:ilvl="1">
      <w:lvlJc w:val="left"/>
      <w:lvlText w:val="%2"/>
      <w:numFmt w:val="decimal"/>
      <w:start w:val="1"/>
    </w:lvl>
  </w:abstractNum>
  <w:abstractNum w:abstractNumId="162">
    <w:nsid w:val="822C0EF"/>
    <w:multiLevelType w:val="hybridMultilevel"/>
    <w:lvl w:ilvl="0">
      <w:lvlJc w:val="left"/>
      <w:lvlText w:val="%1."/>
      <w:numFmt w:val="decimal"/>
      <w:start w:val="10"/>
    </w:lvl>
  </w:abstractNum>
  <w:abstractNum w:abstractNumId="163">
    <w:nsid w:val="57C5BB4F"/>
    <w:multiLevelType w:val="hybridMultilevel"/>
    <w:lvl w:ilvl="0">
      <w:lvlJc w:val="left"/>
      <w:lvlText w:val="(%1)"/>
      <w:numFmt w:val="lowerLetter"/>
      <w:start w:val="1"/>
    </w:lvl>
  </w:abstractNum>
  <w:abstractNum w:abstractNumId="164">
    <w:nsid w:val="1803D089"/>
    <w:multiLevelType w:val="hybridMultilevel"/>
    <w:lvl w:ilvl="0">
      <w:lvlJc w:val="left"/>
      <w:lvlText w:val="(%1)"/>
      <w:numFmt w:val="lowerLetter"/>
      <w:start w:val="4"/>
    </w:lvl>
  </w:abstractNum>
  <w:abstractNum w:abstractNumId="165">
    <w:nsid w:val="4F3A06D4"/>
    <w:multiLevelType w:val="hybridMultilevel"/>
    <w:lvl w:ilvl="0">
      <w:lvlJc w:val="left"/>
      <w:lvlText w:val="%1."/>
      <w:numFmt w:val="decimal"/>
      <w:start w:val="11"/>
    </w:lvl>
  </w:abstractNum>
  <w:abstractNum w:abstractNumId="166">
    <w:nsid w:val="59A377B6"/>
    <w:multiLevelType w:val="hybridMultilevel"/>
    <w:lvl w:ilvl="0">
      <w:lvlJc w:val="left"/>
      <w:lvlText w:val="%1"/>
      <w:numFmt w:val="lowerLetter"/>
      <w:start w:val="1"/>
    </w:lvl>
    <w:lvl w:ilvl="1">
      <w:lvlJc w:val="left"/>
      <w:lvlText w:val="(%2)"/>
      <w:numFmt w:val="lowerLetter"/>
      <w:start w:val="1"/>
    </w:lvl>
  </w:abstractNum>
  <w:abstractNum w:abstractNumId="167">
    <w:nsid w:val="48AEB063"/>
    <w:multiLevelType w:val="hybridMultilevel"/>
    <w:lvl w:ilvl="0">
      <w:lvlJc w:val="left"/>
      <w:lvlText w:val="(%1)"/>
      <w:numFmt w:val="lowerLetter"/>
      <w:start w:val="9"/>
    </w:lvl>
    <w:lvl w:ilvl="1">
      <w:lvlJc w:val="left"/>
      <w:lvlText w:val="(%2)"/>
      <w:numFmt w:val="lowerLetter"/>
      <w:start w:val="2"/>
    </w:lvl>
  </w:abstractNum>
  <w:abstractNum w:abstractNumId="168">
    <w:nsid w:val="24E135"/>
    <w:multiLevelType w:val="hybridMultilevel"/>
    <w:lvl w:ilvl="0">
      <w:lvlJc w:val="left"/>
      <w:lvlText w:val="%1."/>
      <w:numFmt w:val="decimal"/>
      <w:start w:val="12"/>
    </w:lvl>
  </w:abstractNum>
  <w:abstractNum w:abstractNumId="169">
    <w:nsid w:val="BB13C1"/>
    <w:multiLevelType w:val="hybridMultilevel"/>
    <w:lvl w:ilvl="0">
      <w:lvlJc w:val="left"/>
      <w:lvlText w:val="%1."/>
      <w:numFmt w:val="decimal"/>
      <w:start w:val="14"/>
    </w:lvl>
  </w:abstractNum>
  <w:abstractNum w:abstractNumId="170">
    <w:nsid w:val="271210C7"/>
    <w:multiLevelType w:val="hybridMultilevel"/>
    <w:lvl w:ilvl="0">
      <w:lvlJc w:val="left"/>
      <w:lvlText w:val="(%1)"/>
      <w:numFmt w:val="lowerLetter"/>
      <w:start w:val="1"/>
    </w:lvl>
  </w:abstractNum>
  <w:abstractNum w:abstractNumId="171">
    <w:nsid w:val="217B22E4"/>
    <w:multiLevelType w:val="hybridMultilevel"/>
    <w:lvl w:ilvl="0">
      <w:lvlJc w:val="left"/>
      <w:lvlText w:val="•"/>
      <w:numFmt w:val="bullet"/>
      <w:start w:val="1"/>
    </w:lvl>
  </w:abstractNum>
  <w:abstractNum w:abstractNumId="172">
    <w:nsid w:val="53E31A24"/>
    <w:multiLevelType w:val="hybridMultilevel"/>
    <w:lvl w:ilvl="0">
      <w:lvlJc w:val="left"/>
      <w:lvlText w:val="(%1)"/>
      <w:numFmt w:val="lowerLetter"/>
      <w:start w:val="2"/>
    </w:lvl>
  </w:abstractNum>
  <w:abstractNum w:abstractNumId="173">
    <w:nsid w:val="6DC45E83"/>
    <w:multiLevelType w:val="hybridMultilevel"/>
    <w:lvl w:ilvl="0">
      <w:lvlJc w:val="left"/>
      <w:lvlText w:val="(%1)"/>
      <w:numFmt w:val="lowerRoman"/>
      <w:start w:val="1"/>
    </w:lvl>
  </w:abstractNum>
  <w:abstractNum w:abstractNumId="174">
    <w:nsid w:val="17304A67"/>
    <w:multiLevelType w:val="hybridMultilevel"/>
    <w:lvl w:ilvl="0">
      <w:lvlJc w:val="left"/>
      <w:lvlText w:val="(%1)"/>
      <w:numFmt w:val="lowerRoman"/>
      <w:start w:val="1"/>
    </w:lvl>
  </w:abstractNum>
  <w:abstractNum w:abstractNumId="175">
    <w:nsid w:val="2BB180D8"/>
    <w:multiLevelType w:val="hybridMultilevel"/>
    <w:lvl w:ilvl="0">
      <w:lvlJc w:val="left"/>
      <w:lvlText w:val="(%1)"/>
      <w:numFmt w:val="lowerLetter"/>
      <w:start w:val="6"/>
    </w:lvl>
  </w:abstractNum>
  <w:abstractNum w:abstractNumId="176">
    <w:nsid w:val="556B69ED"/>
    <w:multiLevelType w:val="hybridMultilevel"/>
    <w:lvl w:ilvl="0">
      <w:lvlJc w:val="left"/>
      <w:lvlText w:val="•"/>
      <w:numFmt w:val="bullet"/>
      <w:start w:val="1"/>
    </w:lvl>
  </w:abstractNum>
  <w:abstractNum w:abstractNumId="177">
    <w:nsid w:val="70836196"/>
    <w:multiLevelType w:val="hybridMultilevel"/>
    <w:lvl w:ilvl="0">
      <w:lvlJc w:val="left"/>
      <w:lvlText w:val="(%1)"/>
      <w:numFmt w:val="decimal"/>
      <w:start w:val="3"/>
    </w:lvl>
  </w:abstractNum>
  <w:abstractNum w:abstractNumId="178">
    <w:nsid w:val="539F7F12"/>
    <w:multiLevelType w:val="hybridMultilevel"/>
    <w:lvl w:ilvl="0">
      <w:lvlJc w:val="left"/>
      <w:lvlText w:val="(%1)"/>
      <w:numFmt w:val="lowerRoman"/>
      <w:start w:val="4"/>
    </w:lvl>
  </w:abstractNum>
  <w:abstractNum w:abstractNumId="179">
    <w:nsid w:val="2817E7EC"/>
    <w:multiLevelType w:val="hybridMultilevel"/>
    <w:lvl w:ilvl="0">
      <w:lvlJc w:val="left"/>
      <w:lvlText w:val="%1."/>
      <w:numFmt w:val="decimal"/>
      <w:start w:val="1"/>
    </w:lvl>
  </w:abstractNum>
  <w:abstractNum w:abstractNumId="180">
    <w:nsid w:val="71482545"/>
    <w:multiLevelType w:val="hybridMultilevel"/>
    <w:lvl w:ilvl="0">
      <w:lvlJc w:val="left"/>
      <w:lvlText w:val="%1."/>
      <w:numFmt w:val="decimal"/>
      <w:start w:val="1"/>
    </w:lvl>
  </w:abstractNum>
  <w:abstractNum w:abstractNumId="181">
    <w:nsid w:val="17D78639"/>
    <w:multiLevelType w:val="hybridMultilevel"/>
    <w:lvl w:ilvl="0">
      <w:lvlJc w:val="left"/>
      <w:lvlText w:val="%1"/>
      <w:numFmt w:val="upperLetter"/>
      <w:start w:val="1"/>
    </w:lvl>
    <w:lvl w:ilvl="1">
      <w:lvlJc w:val="left"/>
      <w:lvlText w:val="%2."/>
      <w:numFmt w:val="decimal"/>
      <w:start w:val="2"/>
    </w:lvl>
  </w:abstractNum>
  <w:abstractNum w:abstractNumId="182">
    <w:nsid w:val="141D2302"/>
    <w:multiLevelType w:val="hybridMultilevel"/>
    <w:lvl w:ilvl="0">
      <w:lvlJc w:val="left"/>
      <w:lvlText w:val="%1."/>
      <w:numFmt w:val="upperLetter"/>
      <w:start w:val="2"/>
    </w:lvl>
    <w:lvl w:ilvl="1">
      <w:lvlJc w:val="left"/>
      <w:lvlText w:val="%2"/>
      <w:numFmt w:val="decimal"/>
      <w:start w:val="1"/>
    </w:lvl>
  </w:abstractNum>
  <w:abstractNum w:abstractNumId="183">
    <w:nsid w:val="407168D8"/>
    <w:multiLevelType w:val="hybridMultilevel"/>
    <w:lvl w:ilvl="0">
      <w:lvlJc w:val="left"/>
      <w:lvlText w:val="%1."/>
      <w:numFmt w:val="decimal"/>
      <w:start w:val="1"/>
    </w:lvl>
  </w:abstractNum>
  <w:abstractNum w:abstractNumId="184">
    <w:nsid w:val="6A1B45E5"/>
    <w:multiLevelType w:val="hybridMultilevel"/>
    <w:lvl w:ilvl="0">
      <w:lvlJc w:val="left"/>
      <w:lvlText w:val="%1."/>
      <w:numFmt w:val="decimal"/>
      <w:start w:val="2"/>
    </w:lvl>
  </w:abstractNum>
  <w:abstractNum w:abstractNumId="185">
    <w:nsid w:val="567BD50A"/>
    <w:multiLevelType w:val="hybridMultilevel"/>
    <w:lvl w:ilvl="0">
      <w:lvlJc w:val="left"/>
      <w:lvlText w:val="(%1)"/>
      <w:numFmt w:val="lowerLetter"/>
      <w:start w:val="1"/>
    </w:lvl>
    <w:lvl w:ilvl="1">
      <w:lvlJc w:val="left"/>
      <w:lvlText w:val="(%2)"/>
      <w:numFmt w:val="lowerLetter"/>
      <w:start w:val="9"/>
    </w:lvl>
  </w:abstractNum>
  <w:abstractNum w:abstractNumId="186">
    <w:nsid w:val="73BBD7F8"/>
    <w:multiLevelType w:val="hybridMultilevel"/>
    <w:lvl w:ilvl="0">
      <w:lvlJc w:val="left"/>
      <w:lvlText w:val="(%1)"/>
      <w:numFmt w:val="lowerRoman"/>
      <w:start w:val="2"/>
    </w:lvl>
  </w:abstractNum>
  <w:abstractNum w:abstractNumId="187">
    <w:nsid w:val="1876589D"/>
    <w:multiLevelType w:val="hybridMultilevel"/>
    <w:lvl w:ilvl="0">
      <w:lvlJc w:val="left"/>
      <w:lvlText w:val="(%1)"/>
      <w:numFmt w:val="lowerLetter"/>
      <w:start w:val="2"/>
    </w:lvl>
  </w:abstractNum>
  <w:abstractNum w:abstractNumId="188">
    <w:nsid w:val="327FAC77"/>
    <w:multiLevelType w:val="hybridMultilevel"/>
    <w:lvl w:ilvl="0">
      <w:lvlJc w:val="left"/>
      <w:lvlText w:val="(%1)"/>
      <w:numFmt w:val="lowerLetter"/>
      <w:start w:val="1"/>
    </w:lvl>
  </w:abstractNum>
  <w:abstractNum w:abstractNumId="189">
    <w:nsid w:val="5A606509"/>
    <w:multiLevelType w:val="hybridMultilevel"/>
    <w:lvl w:ilvl="0">
      <w:lvlJc w:val="left"/>
      <w:lvlText w:val="%1."/>
      <w:numFmt w:val="decimal"/>
      <w:start w:val="3"/>
    </w:lvl>
  </w:abstractNum>
  <w:abstractNum w:abstractNumId="190">
    <w:nsid w:val="6F38E6D1"/>
    <w:multiLevelType w:val="hybridMultilevel"/>
    <w:lvl w:ilvl="0">
      <w:lvlJc w:val="left"/>
      <w:lvlText w:val="%1."/>
      <w:numFmt w:val="decimal"/>
      <w:start w:val="4"/>
    </w:lvl>
  </w:abstractNum>
  <w:abstractNum w:abstractNumId="191">
    <w:nsid w:val="46111BA5"/>
    <w:multiLevelType w:val="hybridMultilevel"/>
    <w:lvl w:ilvl="0">
      <w:lvlJc w:val="left"/>
      <w:lvlText w:val="(%1)"/>
      <w:numFmt w:val="lowerLetter"/>
      <w:start w:val="2"/>
    </w:lvl>
  </w:abstractNum>
  <w:abstractNum w:abstractNumId="192">
    <w:nsid w:val="5E963896"/>
    <w:multiLevelType w:val="hybridMultilevel"/>
    <w:lvl w:ilvl="0">
      <w:lvlJc w:val="left"/>
      <w:lvlText w:val="(%1)"/>
      <w:numFmt w:val="decimal"/>
      <w:start w:val="2"/>
    </w:lvl>
  </w:abstractNum>
  <w:abstractNum w:abstractNumId="193">
    <w:nsid w:val="775BA7C1"/>
    <w:multiLevelType w:val="hybridMultilevel"/>
    <w:lvl w:ilvl="0">
      <w:lvlJc w:val="left"/>
      <w:lvlText w:val="(%1)"/>
      <w:numFmt w:val="lowerRoman"/>
      <w:start w:val="1"/>
    </w:lvl>
  </w:abstractNum>
  <w:abstractNum w:abstractNumId="194">
    <w:nsid w:val="1DD6D6F4"/>
    <w:multiLevelType w:val="hybridMultilevel"/>
    <w:lvl w:ilvl="0">
      <w:lvlJc w:val="left"/>
      <w:lvlText w:val="(%1)"/>
      <w:numFmt w:val="lowerRoman"/>
      <w:start w:val="8"/>
    </w:lvl>
  </w:abstractNum>
  <w:abstractNum w:abstractNumId="195">
    <w:nsid w:val="769A091F"/>
    <w:multiLevelType w:val="hybridMultilevel"/>
    <w:lvl w:ilvl="0">
      <w:lvlJc w:val="left"/>
      <w:lvlText w:val="(%1)"/>
      <w:numFmt w:val="lowerLetter"/>
      <w:start w:val="1"/>
    </w:lvl>
  </w:abstractNum>
  <w:abstractNum w:abstractNumId="196">
    <w:nsid w:val="4695AE95"/>
    <w:multiLevelType w:val="hybridMultilevel"/>
    <w:lvl w:ilvl="0">
      <w:lvlJc w:val="left"/>
      <w:lvlText w:val="%1"/>
      <w:numFmt w:val="lowerLetter"/>
      <w:start w:val="1"/>
    </w:lvl>
    <w:lvl w:ilvl="1">
      <w:lvlJc w:val="left"/>
      <w:lvlText w:val="(%2)"/>
      <w:numFmt w:val="lowerLetter"/>
      <w:start w:val="3"/>
    </w:lvl>
  </w:abstractNum>
  <w:abstractNum w:abstractNumId="197">
    <w:nsid w:val="777A4EAA"/>
    <w:multiLevelType w:val="hybridMultilevel"/>
    <w:lvl w:ilvl="0">
      <w:lvlJc w:val="left"/>
      <w:lvlText w:val="(%1)"/>
      <w:numFmt w:val="lowerLetter"/>
      <w:start w:val="2"/>
    </w:lvl>
    <w:lvl w:ilvl="1">
      <w:lvlJc w:val="left"/>
      <w:lvlText w:val="%2"/>
      <w:numFmt w:val="lowerLetter"/>
      <w:start w:val="1"/>
    </w:lvl>
  </w:abstractNum>
  <w:abstractNum w:abstractNumId="198">
    <w:nsid w:val="3F48B982"/>
    <w:multiLevelType w:val="hybridMultilevel"/>
    <w:lvl w:ilvl="0">
      <w:lvlJc w:val="left"/>
      <w:lvlText w:val="(%1)"/>
      <w:numFmt w:val="lowerLetter"/>
      <w:start w:val="3"/>
    </w:lvl>
  </w:abstractNum>
  <w:abstractNum w:abstractNumId="199">
    <w:nsid w:val="46BA8FCA"/>
    <w:multiLevelType w:val="hybridMultilevel"/>
    <w:lvl w:ilvl="0">
      <w:lvlJc w:val="left"/>
      <w:lvlText w:val="(%1)"/>
      <w:numFmt w:val="lowerLetter"/>
      <w:start w:val="1"/>
    </w:lvl>
    <w:lvl w:ilvl="1">
      <w:lvlJc w:val="left"/>
      <w:lvlText w:val="(%2)"/>
      <w:numFmt w:val="lowerRoman"/>
      <w:start w:val="1"/>
    </w:lvl>
  </w:abstractNum>
  <w:abstractNum w:abstractNumId="200">
    <w:nsid w:val="7835626C"/>
    <w:multiLevelType w:val="hybridMultilevel"/>
    <w:lvl w:ilvl="0">
      <w:lvlJc w:val="left"/>
      <w:lvlText w:val="(%1)"/>
      <w:numFmt w:val="lowerLetter"/>
      <w:start w:val="2"/>
    </w:lvl>
    <w:lvl w:ilvl="1">
      <w:lvlJc w:val="left"/>
      <w:lvlText w:val="(%2)"/>
      <w:numFmt w:val="lowerRoman"/>
      <w:start w:val="1"/>
    </w:lvl>
  </w:abstractNum>
  <w:abstractNum w:abstractNumId="201">
    <w:nsid w:val="665ACA49"/>
    <w:multiLevelType w:val="hybridMultilevel"/>
    <w:lvl w:ilvl="0">
      <w:lvlJc w:val="left"/>
      <w:lvlText w:val="(%1)"/>
      <w:numFmt w:val="decimal"/>
      <w:start w:val="1"/>
    </w:lvl>
  </w:abstractNum>
  <w:abstractNum w:abstractNumId="202">
    <w:nsid w:val="6835B2AE"/>
    <w:multiLevelType w:val="hybridMultilevel"/>
    <w:lvl w:ilvl="0">
      <w:lvlJc w:val="left"/>
      <w:lvlText w:val="(%1)"/>
      <w:numFmt w:val="lowerLetter"/>
      <w:start w:val="1"/>
    </w:lvl>
  </w:abstractNum>
  <w:abstractNum w:abstractNumId="203">
    <w:nsid w:val="4C187C90"/>
    <w:multiLevelType w:val="hybridMultilevel"/>
    <w:lvl w:ilvl="0">
      <w:lvlJc w:val="left"/>
      <w:lvlText w:val="(%1)"/>
      <w:numFmt w:val="lowerRoman"/>
      <w:start w:val="1"/>
    </w:lvl>
  </w:abstractNum>
  <w:abstractNum w:abstractNumId="204">
    <w:nsid w:val="541F28CD"/>
    <w:multiLevelType w:val="hybridMultilevel"/>
    <w:lvl w:ilvl="0">
      <w:lvlJc w:val="left"/>
      <w:lvlText w:val="%1."/>
      <w:numFmt w:val="decimal"/>
      <w:start w:val="5"/>
    </w:lvl>
  </w:abstractNum>
  <w:abstractNum w:abstractNumId="205">
    <w:nsid w:val="7F65FD16"/>
    <w:multiLevelType w:val="hybridMultilevel"/>
    <w:lvl w:ilvl="0">
      <w:lvlJc w:val="left"/>
      <w:lvlText w:val="%1."/>
      <w:numFmt w:val="decimal"/>
      <w:start w:val="6"/>
    </w:lvl>
  </w:abstractNum>
  <w:abstractNum w:abstractNumId="206">
    <w:nsid w:val="77C9FD68"/>
    <w:multiLevelType w:val="hybridMultilevel"/>
    <w:lvl w:ilvl="0">
      <w:lvlJc w:val="left"/>
      <w:lvlText w:val="%1."/>
      <w:numFmt w:val="decimal"/>
      <w:start w:val="8"/>
    </w:lvl>
  </w:abstractNum>
  <w:abstractNum w:abstractNumId="207">
    <w:nsid w:val="298A92BA"/>
    <w:multiLevelType w:val="hybridMultilevel"/>
    <w:lvl w:ilvl="0">
      <w:lvlJc w:val="left"/>
      <w:lvlText w:val="(%1)"/>
      <w:numFmt w:val="lowerRoman"/>
      <w:start w:val="4"/>
    </w:lvl>
    <w:lvl w:ilvl="1">
      <w:lvlJc w:val="left"/>
      <w:lvlText w:val="%2."/>
      <w:numFmt w:val="decimal"/>
      <w:start w:val="3"/>
    </w:lvl>
    <w:lvl w:ilvl="2">
      <w:lvlJc w:val="left"/>
      <w:lvlText w:val="*"/>
      <w:numFmt w:val="bullet"/>
      <w:start w:val="1"/>
    </w:lvl>
  </w:abstractNum>
  <w:abstractNum w:abstractNumId="208">
    <w:nsid w:val="6FE95EAC"/>
    <w:multiLevelType w:val="hybridMultilevel"/>
    <w:lvl w:ilvl="0">
      <w:lvlJc w:val="left"/>
      <w:lvlText w:val="%1."/>
      <w:numFmt w:val="decimal"/>
      <w:start w:val="2"/>
    </w:lvl>
  </w:abstractNum>
  <w:abstractNum w:abstractNumId="209">
    <w:nsid w:val="4B697C7A"/>
    <w:multiLevelType w:val="hybridMultilevel"/>
    <w:lvl w:ilvl="0">
      <w:lvlJc w:val="left"/>
      <w:lvlText w:val="%1."/>
      <w:numFmt w:val="upperLetter"/>
      <w:start w:val="1"/>
    </w:lvl>
  </w:abstractNum>
  <w:abstractNum w:abstractNumId="210">
    <w:nsid w:val="51A27AA6"/>
    <w:multiLevelType w:val="hybridMultilevel"/>
    <w:lvl w:ilvl="0">
      <w:lvlJc w:val="left"/>
      <w:lvlText w:val="%1."/>
      <w:numFmt w:val="decimal"/>
      <w:start w:val="1"/>
    </w:lvl>
    <w:lvl w:ilvl="1">
      <w:lvlJc w:val="left"/>
      <w:lvlText w:val="(%2)"/>
      <w:numFmt w:val="lowerLetter"/>
      <w:start w:val="1"/>
    </w:lvl>
  </w:abstractNum>
  <w:abstractNum w:abstractNumId="211">
    <w:nsid w:val="613183F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212">
    <w:nsid w:val="634102B4"/>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13">
    <w:nsid w:val="65BF9DA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14">
    <w:nsid w:val="21A2ECCA"/>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15">
    <w:nsid w:val="4D5C4899"/>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216">
    <w:nsid w:val="3C3B72B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17">
    <w:nsid w:val="155EC4C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18">
    <w:nsid w:val="65D2A137"/>
    <w:multiLevelType w:val="hybridMultilevel"/>
    <w:lvl w:ilvl="0">
      <w:lvlJc w:val="left"/>
      <w:lvlText w:val="(%1)"/>
      <w:numFmt w:val="lowerLetter"/>
      <w:start w:val="4"/>
    </w:lvl>
  </w:abstractNum>
  <w:abstractNum w:abstractNumId="219">
    <w:nsid w:val="6EBB1F2A"/>
    <w:multiLevelType w:val="hybridMultilevel"/>
    <w:lvl w:ilvl="0">
      <w:lvlJc w:val="left"/>
      <w:lvlText w:val="%1"/>
      <w:numFmt w:val="decimal"/>
      <w:start w:val="1"/>
    </w:lvl>
    <w:lvl w:ilvl="1">
      <w:lvlJc w:val="left"/>
      <w:lvlText w:val="(%2)"/>
      <w:numFmt w:val="lowerLetter"/>
      <w:start w:val="5"/>
    </w:lvl>
  </w:abstractNum>
  <w:abstractNum w:abstractNumId="220">
    <w:nsid w:val="6FBF29CB"/>
    <w:multiLevelType w:val="hybridMultilevel"/>
    <w:lvl w:ilvl="0">
      <w:lvlJc w:val="left"/>
      <w:lvlText w:val="%1."/>
      <w:numFmt w:val="decimal"/>
      <w:start w:val="9"/>
    </w:lvl>
    <w:lvl w:ilvl="1">
      <w:lvlJc w:val="left"/>
      <w:lvlText w:val="(%2)"/>
      <w:numFmt w:val="lowerLetter"/>
      <w:start w:val="1"/>
    </w:lvl>
  </w:abstractNum>
  <w:abstractNum w:abstractNumId="221">
    <w:nsid w:val="550B88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22">
    <w:nsid w:val="34CC3ACF"/>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23">
    <w:nsid w:val="4E556261"/>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abstractNum>
  <w:abstractNum w:abstractNumId="224">
    <w:nsid w:val="4C672FC9"/>
    <w:multiLevelType w:val="hybridMultilevel"/>
    <w:lvl w:ilvl="0">
      <w:lvlJc w:val="left"/>
      <w:lvlText w:val="(%1)"/>
      <w:numFmt w:val="lowerLetter"/>
      <w:start w:val="9"/>
    </w:lvl>
    <w:lvl w:ilvl="1">
      <w:lvlJc w:val="left"/>
      <w:lvlText w:val="%2."/>
      <w:numFmt w:val="decimal"/>
      <w:start w:val="15"/>
    </w:lvl>
    <w:lvl w:ilvl="2">
      <w:lvlJc w:val="left"/>
      <w:lvlText w:val="%3"/>
      <w:numFmt w:val="lowerLetter"/>
      <w:start w:val="1"/>
    </w:lvl>
  </w:abstractNum>
  <w:abstractNum w:abstractNumId="225">
    <w:nsid w:val="52A311C3"/>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2"/>
    </w:lvl>
  </w:abstractNum>
  <w:abstractNum w:abstractNumId="226">
    <w:nsid w:val="44EF6B8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7">
    <w:nsid w:val="12FCDE5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
    </w:lvl>
  </w:abstractNum>
  <w:abstractNum w:abstractNumId="228">
    <w:nsid w:val="4A1D606E"/>
    <w:multiLevelType w:val="hybridMultilevel"/>
    <w:lvl w:ilvl="0">
      <w:lvlJc w:val="left"/>
      <w:lvlText w:val="(%1)"/>
      <w:numFmt w:val="lowerLetter"/>
      <w:start w:val="6"/>
    </w:lvl>
  </w:abstractNum>
  <w:abstractNum w:abstractNumId="229">
    <w:nsid w:val="438250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0">
    <w:nsid w:val="59B76E28"/>
    <w:multiLevelType w:val="hybridMultilevel"/>
    <w:lvl w:ilvl="0">
      <w:lvlJc w:val="left"/>
      <w:lvlText w:val="%1"/>
      <w:numFmt w:val="lowerLetter"/>
      <w:start w:val="1"/>
    </w:lvl>
    <w:lvl w:ilvl="1">
      <w:lvlJc w:val="left"/>
      <w:lvlText w:val="(%2)"/>
      <w:numFmt w:val="lowerRoman"/>
      <w:start w:val="6"/>
    </w:lvl>
  </w:abstractNum>
  <w:abstractNum w:abstractNumId="231">
    <w:nsid w:val="4252C2DA"/>
    <w:multiLevelType w:val="hybridMultilevel"/>
    <w:lvl w:ilvl="0">
      <w:lvlJc w:val="left"/>
      <w:lvlText w:val="(%1)"/>
      <w:numFmt w:val="lowerLetter"/>
      <w:start w:val="2"/>
    </w:lvl>
    <w:lvl w:ilvl="1">
      <w:lvlJc w:val="left"/>
      <w:lvlText w:val="%2"/>
      <w:numFmt w:val="lowerRoman"/>
      <w:start w:val="1"/>
    </w:lvl>
  </w:abstractNum>
  <w:abstractNum w:abstractNumId="232">
    <w:nsid w:val="6A92EF4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33">
    <w:nsid w:val="41ED20D7"/>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234">
    <w:nsid w:val="E6B3F6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35">
    <w:nsid w:val="3EB21819"/>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9"/>
    </w:lvl>
  </w:abstractNum>
  <w:abstractNum w:abstractNumId="236">
    <w:nsid w:val="41531DED"/>
    <w:multiLevelType w:val="hybridMultilevel"/>
    <w:lvl w:ilvl="0">
      <w:lvlJc w:val="left"/>
      <w:lvlText w:val="%1"/>
      <w:numFmt w:val="lowerLetter"/>
      <w:start w:val="1"/>
    </w:lvl>
    <w:lvl w:ilvl="1">
      <w:lvlJc w:val="left"/>
      <w:lvlText w:val="(%2)"/>
      <w:numFmt w:val="lowerRoman"/>
      <w:start w:val="2"/>
    </w:lvl>
  </w:abstractNum>
  <w:abstractNum w:abstractNumId="237">
    <w:nsid w:val="6353CD2"/>
    <w:multiLevelType w:val="hybridMultilevel"/>
    <w:lvl w:ilvl="0">
      <w:lvlJc w:val="left"/>
      <w:lvlText w:val="(%1)"/>
      <w:numFmt w:val="lowerLetter"/>
      <w:start w:val="7"/>
    </w:lvl>
    <w:lvl w:ilvl="1">
      <w:lvlJc w:val="left"/>
      <w:lvlText w:val="%2"/>
      <w:numFmt w:val="lowerRoman"/>
      <w:start w:val="1"/>
    </w:lvl>
  </w:abstractNum>
  <w:abstractNum w:abstractNumId="238">
    <w:nsid w:val="683CAAD3"/>
    <w:multiLevelType w:val="hybridMultilevel"/>
    <w:lvl w:ilvl="0">
      <w:lvlJc w:val="left"/>
      <w:lvlText w:val="%1."/>
      <w:numFmt w:val="decimal"/>
      <w:start w:val="6"/>
    </w:lvl>
    <w:lvl w:ilvl="1">
      <w:lvlJc w:val="left"/>
      <w:lvlText w:val="(%2)"/>
      <w:numFmt w:val="lowerLetter"/>
      <w:start w:val="1"/>
    </w:lvl>
  </w:abstractNum>
  <w:abstractNum w:abstractNumId="239">
    <w:nsid w:val="313C7C99"/>
    <w:multiLevelType w:val="hybridMultilevel"/>
    <w:lvl w:ilvl="0">
      <w:lvlJc w:val="left"/>
      <w:lvlText w:val="%1"/>
      <w:numFmt w:val="decimal"/>
      <w:start w:val="1"/>
    </w:lvl>
    <w:lvl w:ilvl="1">
      <w:lvlJc w:val="left"/>
      <w:lvlText w:val="(%2)"/>
      <w:numFmt w:val="lowerLetter"/>
      <w:start w:val="2"/>
    </w:lvl>
  </w:abstractNum>
  <w:abstractNum w:abstractNumId="240">
    <w:nsid w:val="519EB94C"/>
    <w:multiLevelType w:val="hybridMultilevel"/>
    <w:lvl w:ilvl="0">
      <w:lvlJc w:val="left"/>
      <w:lvlText w:val="%1."/>
      <w:numFmt w:val="decimal"/>
      <w:start w:val="8"/>
    </w:lvl>
    <w:lvl w:ilvl="1">
      <w:lvlJc w:val="left"/>
      <w:lvlText w:val="(%2)"/>
      <w:numFmt w:val="lowerLetter"/>
      <w:start w:val="1"/>
    </w:lvl>
  </w:abstractNum>
  <w:abstractNum w:abstractNumId="241">
    <w:nsid w:val="39DF2579"/>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242">
    <w:nsid w:val="126E008B"/>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2"/>
    </w:lvl>
    <w:lvl w:ilvl="3">
      <w:lvlJc w:val="left"/>
      <w:lvlText w:val="%4"/>
      <w:numFmt w:val="lowerRoman"/>
      <w:start w:val="1"/>
    </w:lvl>
  </w:abstractNum>
  <w:abstractNum w:abstractNumId="243">
    <w:nsid w:val="34DFBC0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4">
    <w:nsid w:val="1F9EC3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45">
    <w:nsid w:val="3410ED5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46">
    <w:nsid w:val="23C049A"/>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247">
    <w:nsid w:val="5BDA35D4"/>
    <w:multiLevelType w:val="hybridMultilevel"/>
    <w:lvl w:ilvl="0">
      <w:lvlJc w:val="left"/>
      <w:lvlText w:val="(%1)"/>
      <w:numFmt w:val="lowerRoman"/>
      <w:start w:val="2"/>
    </w:lvl>
  </w:abstractNum>
  <w:abstractNum w:abstractNumId="248">
    <w:nsid w:val="496FB218"/>
    <w:multiLevelType w:val="hybridMultilevel"/>
    <w:lvl w:ilvl="0">
      <w:lvlJc w:val="left"/>
      <w:lvlText w:val="(%1)"/>
      <w:numFmt w:val="lowerRoman"/>
      <w:start w:val="5"/>
    </w:lvl>
  </w:abstractNum>
  <w:abstractNum w:abstractNumId="249">
    <w:nsid w:val="680EA5D1"/>
    <w:multiLevelType w:val="hybridMultilevel"/>
    <w:lvl w:ilvl="0">
      <w:lvlJc w:val="left"/>
      <w:lvlText w:val="%1."/>
      <w:numFmt w:val="decimal"/>
      <w:start w:val="13"/>
    </w:lvl>
    <w:lvl w:ilvl="1">
      <w:lvlJc w:val="left"/>
      <w:lvlText w:val="(%2)"/>
      <w:numFmt w:val="lowerLetter"/>
      <w:start w:val="1"/>
    </w:lvl>
  </w:abstractNum>
  <w:abstractNum w:abstractNumId="250">
    <w:nsid w:val="4A9554FE"/>
    <w:multiLevelType w:val="hybridMultilevel"/>
    <w:lvl w:ilvl="0">
      <w:lvlJc w:val="left"/>
      <w:lvlText w:val="%1"/>
      <w:numFmt w:val="decimal"/>
      <w:start w:val="1"/>
    </w:lvl>
    <w:lvl w:ilvl="1">
      <w:lvlJc w:val="left"/>
      <w:lvlText w:val="(%2)"/>
      <w:numFmt w:val="lowerLetter"/>
      <w:start w:val="2"/>
    </w:lvl>
  </w:abstractNum>
  <w:abstractNum w:abstractNumId="251">
    <w:nsid w:val="392EDBE4"/>
    <w:multiLevelType w:val="hybridMultilevel"/>
    <w:lvl w:ilvl="0">
      <w:lvlJc w:val="left"/>
      <w:lvlText w:val="%1."/>
      <w:numFmt w:val="decimal"/>
      <w:start w:val="15"/>
    </w:lvl>
    <w:lvl w:ilvl="1">
      <w:lvlJc w:val="left"/>
      <w:lvlText w:val="(%2)"/>
      <w:numFmt w:val="lowerLetter"/>
      <w:start w:val="1"/>
    </w:lvl>
  </w:abstractNum>
  <w:abstractNum w:abstractNumId="252">
    <w:nsid w:val="3D1A2DD9"/>
    <w:multiLevelType w:val="hybridMultilevel"/>
    <w:lvl w:ilvl="0">
      <w:lvlJc w:val="left"/>
      <w:lvlText w:val="%1"/>
      <w:numFmt w:val="decimal"/>
      <w:start w:val="1"/>
    </w:lvl>
    <w:lvl w:ilvl="1">
      <w:lvlJc w:val="left"/>
      <w:lvlText w:val="(%2)"/>
      <w:numFmt w:val="lowerLetter"/>
      <w:start w:val="2"/>
    </w:lvl>
  </w:abstractNum>
  <w:abstractNum w:abstractNumId="253">
    <w:nsid w:val="7F618FCD"/>
    <w:multiLevelType w:val="hybridMultilevel"/>
    <w:lvl w:ilvl="0">
      <w:lvlJc w:val="left"/>
      <w:lvlText w:val="%1."/>
      <w:numFmt w:val="decimal"/>
      <w:start w:val="17"/>
    </w:lvl>
    <w:lvl w:ilvl="1">
      <w:lvlJc w:val="left"/>
      <w:lvlText w:val="%2"/>
      <w:numFmt w:val="lowerLetter"/>
      <w:start w:val="1"/>
    </w:lvl>
  </w:abstractNum>
  <w:abstractNum w:abstractNumId="254">
    <w:nsid w:val="7843E45"/>
    <w:multiLevelType w:val="hybridMultilevel"/>
    <w:lvl w:ilvl="0">
      <w:lvlJc w:val="left"/>
      <w:lvlText w:val="%1."/>
      <w:numFmt w:val="decimal"/>
      <w:start w:val="21"/>
    </w:lvl>
    <w:lvl w:ilvl="1">
      <w:lvlJc w:val="left"/>
      <w:lvlText w:val="(%2)"/>
      <w:numFmt w:val="lowerLetter"/>
      <w:start w:val="1"/>
    </w:lvl>
  </w:abstractNum>
  <w:abstractNum w:abstractNumId="255">
    <w:nsid w:val="9815DA3"/>
    <w:multiLevelType w:val="hybridMultilevel"/>
    <w:lvl w:ilvl="0">
      <w:lvlJc w:val="left"/>
      <w:lvlText w:val="%1."/>
      <w:numFmt w:val="decimal"/>
      <w:start w:val="23"/>
    </w:lvl>
    <w:lvl w:ilvl="1">
      <w:lvlJc w:val="left"/>
      <w:lvlText w:val="(%2)"/>
      <w:numFmt w:val="lowerLetter"/>
      <w:start w:val="1"/>
    </w:lvl>
  </w:abstractNum>
  <w:abstractNum w:abstractNumId="256">
    <w:nsid w:val="5204A191"/>
    <w:multiLevelType w:val="hybridMultilevel"/>
    <w:lvl w:ilvl="0">
      <w:lvlJc w:val="left"/>
      <w:lvlText w:val="%1"/>
      <w:numFmt w:val="lowerLetter"/>
      <w:start w:val="1"/>
    </w:lvl>
    <w:lvl w:ilvl="1">
      <w:lvlJc w:val="left"/>
      <w:lvlText w:val="(%2)"/>
      <w:numFmt w:val="lowerLetter"/>
      <w:start w:val="2"/>
    </w:lvl>
  </w:abstractNum>
  <w:abstractNum w:abstractNumId="257">
    <w:nsid w:val="4C73A9C6"/>
    <w:multiLevelType w:val="hybridMultilevel"/>
    <w:lvl w:ilvl="0">
      <w:lvlJc w:val="left"/>
      <w:lvlText w:val="(%1)"/>
      <w:numFmt w:val="lowerLetter"/>
      <w:start w:val="9"/>
    </w:lvl>
    <w:lvl w:ilvl="1">
      <w:lvlJc w:val="left"/>
      <w:lvlText w:val="(%2)"/>
      <w:numFmt w:val="lowerLetter"/>
      <w:start w:val="7"/>
    </w:lvl>
  </w:abstractNum>
  <w:abstractNum w:abstractNumId="258">
    <w:nsid w:val="1C7E3C01"/>
    <w:multiLevelType w:val="hybridMultilevel"/>
    <w:lvl w:ilvl="0">
      <w:lvlJc w:val="left"/>
      <w:lvlText w:val="(%1)"/>
      <w:numFmt w:val="lowerLetter"/>
      <w:start w:val="13"/>
    </w:lvl>
  </w:abstractNum>
  <w:abstractNum w:abstractNumId="259">
    <w:nsid w:val="1C2201FF"/>
    <w:multiLevelType w:val="hybridMultilevel"/>
    <w:lvl w:ilvl="0">
      <w:lvlJc w:val="left"/>
      <w:lvlText w:val="(%1)"/>
      <w:numFmt w:val="lowerLetter"/>
      <w:start w:val="19"/>
    </w:lvl>
    <w:lvl w:ilvl="1">
      <w:lvlJc w:val="left"/>
      <w:lvlText w:val="(%2)"/>
      <w:numFmt w:val="lowerRoman"/>
      <w:start w:val="1"/>
    </w:lvl>
  </w:abstractNum>
  <w:abstractNum w:abstractNumId="260">
    <w:nsid w:val="50ABCEC9"/>
    <w:multiLevelType w:val="hybridMultilevel"/>
    <w:lvl w:ilvl="0">
      <w:lvlJc w:val="left"/>
      <w:lvlText w:val="(%1)"/>
      <w:numFmt w:val="lowerLetter"/>
      <w:start w:val="27"/>
    </w:lvl>
  </w:abstractNum>
  <w:abstractNum w:abstractNumId="261">
    <w:nsid w:val="7635AA2A"/>
    <w:multiLevelType w:val="hybridMultilevel"/>
    <w:lvl w:ilvl="0">
      <w:lvlJc w:val="left"/>
      <w:lvlText w:val="(%1)"/>
      <w:numFmt w:val="lowerLetter"/>
      <w:start w:val="30"/>
    </w:lvl>
    <w:lvl w:ilvl="1">
      <w:lvlJc w:val="left"/>
      <w:lvlText w:val="(%2)"/>
      <w:numFmt w:val="lowerRoman"/>
      <w:start w:val="1"/>
    </w:lvl>
  </w:abstractNum>
  <w:abstractNum w:abstractNumId="262">
    <w:nsid w:val="5E74C4D9"/>
    <w:multiLevelType w:val="hybridMultilevel"/>
    <w:lvl w:ilvl="0">
      <w:lvlJc w:val="left"/>
      <w:lvlText w:val="(%1)"/>
      <w:numFmt w:val="lowerRoman"/>
      <w:start w:val="23"/>
    </w:lvl>
  </w:abstractNum>
  <w:abstractNum w:abstractNumId="263">
    <w:nsid w:val="3B3EBE15"/>
    <w:multiLevelType w:val="hybridMultilevel"/>
    <w:lvl w:ilvl="0">
      <w:lvlJc w:val="left"/>
      <w:lvlText w:val="(%1)"/>
      <w:numFmt w:val="lowerLetter"/>
      <w:start w:val="31"/>
    </w:lvl>
  </w:abstractNum>
  <w:abstractNum w:abstractNumId="264">
    <w:nsid w:val="3822CB01"/>
    <w:multiLevelType w:val="hybridMultilevel"/>
    <w:lvl w:ilvl="0">
      <w:lvlJc w:val="left"/>
      <w:lvlText w:val="(%1)"/>
      <w:numFmt w:val="lowerLetter"/>
      <w:start w:val="42"/>
    </w:lvl>
  </w:abstractNum>
  <w:abstractNum w:abstractNumId="265">
    <w:nsid w:val="6CE00443"/>
    <w:multiLevelType w:val="hybridMultilevel"/>
    <w:lvl w:ilvl="0">
      <w:lvlJc w:val="left"/>
      <w:lvlText w:val=","/>
      <w:numFmt w:val="bullet"/>
      <w:start w:val="1"/>
    </w:lvl>
  </w:abstractNum>
  <w:abstractNum w:abstractNumId="266">
    <w:nsid w:val="79F0D62F"/>
    <w:multiLevelType w:val="hybridMultilevel"/>
    <w:lvl w:ilvl="0">
      <w:lvlJc w:val="left"/>
      <w:lvlText w:val="%1)"/>
      <w:numFmt w:val="decimal"/>
      <w:start w:val="1"/>
    </w:lvl>
  </w:abstractNum>
  <w:abstractNum w:abstractNumId="267">
    <w:nsid w:val="7975E8E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68">
    <w:nsid w:val="73154115"/>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269">
    <w:nsid w:val="622D8102"/>
    <w:multiLevelType w:val="hybridMultilevel"/>
    <w:lvl w:ilvl="0">
      <w:lvlJc w:val="left"/>
      <w:lvlText w:val="%1"/>
      <w:numFmt w:val="decimal"/>
      <w:start w:val="1"/>
    </w:lvl>
    <w:lvl w:ilvl="1">
      <w:lvlJc w:val="left"/>
      <w:lvlText w:val="(%2)"/>
      <w:numFmt w:val="lowerLetter"/>
      <w:start w:val="4"/>
    </w:lvl>
  </w:abstractNum>
  <w:abstractNum w:abstractNumId="270">
    <w:nsid w:val="2AB26587"/>
    <w:multiLevelType w:val="hybridMultilevel"/>
    <w:lvl w:ilvl="0">
      <w:lvlJc w:val="left"/>
      <w:lvlText w:val="%1."/>
      <w:numFmt w:val="decimal"/>
      <w:start w:val="4"/>
    </w:lvl>
    <w:lvl w:ilvl="1">
      <w:lvlJc w:val="left"/>
      <w:lvlText w:val="(%2)"/>
      <w:numFmt w:val="lowerLetter"/>
      <w:start w:val="1"/>
    </w:lvl>
  </w:abstractNum>
  <w:abstractNum w:abstractNumId="271">
    <w:nsid w:val="44B3FA61"/>
    <w:multiLevelType w:val="hybridMultilevel"/>
    <w:lvl w:ilvl="0">
      <w:lvlJc w:val="left"/>
      <w:lvlText w:val="%1"/>
      <w:numFmt w:val="decimal"/>
      <w:start w:val="1"/>
    </w:lvl>
    <w:lvl w:ilvl="1">
      <w:lvlJc w:val="left"/>
      <w:lvlText w:val="(%2)"/>
      <w:numFmt w:val="lowerLetter"/>
      <w:start w:val="3"/>
    </w:lvl>
  </w:abstractNum>
  <w:abstractNum w:abstractNumId="272">
    <w:nsid w:val="1C0CA67C"/>
    <w:multiLevelType w:val="hybridMultilevel"/>
    <w:lvl w:ilvl="0">
      <w:lvlJc w:val="left"/>
      <w:lvlText w:val="%1."/>
      <w:numFmt w:val="decimal"/>
      <w:start w:val="5"/>
    </w:lvl>
    <w:lvl w:ilvl="1">
      <w:lvlJc w:val="left"/>
      <w:lvlText w:val="(%2)"/>
      <w:numFmt w:val="lowerLetter"/>
      <w:start w:val="1"/>
    </w:lvl>
  </w:abstractNum>
  <w:abstractNum w:abstractNumId="273">
    <w:nsid w:val="3D206613"/>
    <w:multiLevelType w:val="hybridMultilevel"/>
    <w:lvl w:ilvl="0">
      <w:lvlJc w:val="left"/>
      <w:lvlText w:val="%1."/>
      <w:numFmt w:val="decimal"/>
      <w:start w:val="6"/>
    </w:lvl>
    <w:lvl w:ilvl="1">
      <w:lvlJc w:val="left"/>
      <w:lvlText w:val="(%2)"/>
      <w:numFmt w:val="lowerLetter"/>
      <w:start w:val="1"/>
    </w:lvl>
  </w:abstractNum>
  <w:abstractNum w:abstractNumId="274">
    <w:nsid w:val="7993B662"/>
    <w:multiLevelType w:val="hybridMultilevel"/>
    <w:lvl w:ilvl="0">
      <w:lvlJc w:val="left"/>
      <w:lvlText w:val="(%1)"/>
      <w:numFmt w:val="lowerLetter"/>
      <w:start w:val="2"/>
    </w:lvl>
    <w:lvl w:ilvl="1">
      <w:lvlJc w:val="left"/>
      <w:lvlText w:val="(%2)"/>
      <w:numFmt w:val="lowerRoman"/>
      <w:start w:val="1"/>
    </w:lvl>
  </w:abstractNum>
  <w:abstractNum w:abstractNumId="275">
    <w:nsid w:val="3BAB699E"/>
    <w:multiLevelType w:val="hybridMultilevel"/>
    <w:lvl w:ilvl="0">
      <w:lvlJc w:val="left"/>
      <w:lvlText w:val="%1"/>
      <w:numFmt w:val="decimal"/>
      <w:start w:val="1"/>
    </w:lvl>
    <w:lvl w:ilvl="1">
      <w:lvlJc w:val="left"/>
      <w:lvlText w:val="(%2)"/>
      <w:numFmt w:val="lowerLetter"/>
      <w:start w:val="3"/>
    </w:lvl>
  </w:abstractNum>
  <w:abstractNum w:abstractNumId="276">
    <w:nsid w:val="71315369"/>
    <w:multiLevelType w:val="hybridMultilevel"/>
    <w:lvl w:ilvl="0">
      <w:lvlJc w:val="left"/>
      <w:lvlText w:val="%1."/>
      <w:numFmt w:val="decimal"/>
      <w:start w:val="9"/>
    </w:lvl>
    <w:lvl w:ilvl="1">
      <w:lvlJc w:val="left"/>
      <w:lvlText w:val="(%2)"/>
      <w:numFmt w:val="lowerLetter"/>
      <w:start w:val="1"/>
    </w:lvl>
  </w:abstractNum>
  <w:abstractNum w:abstractNumId="277">
    <w:nsid w:val="7BCFBAFC"/>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278">
    <w:nsid w:val="17859F7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79">
    <w:nsid w:val="3AA10581"/>
    <w:multiLevelType w:val="hybridMultilevel"/>
    <w:lvl w:ilvl="0">
      <w:lvlJc w:val="left"/>
      <w:lvlText w:val="%1"/>
      <w:numFmt w:val="lowerLetter"/>
      <w:start w:val="1"/>
    </w:lvl>
    <w:lvl w:ilvl="1">
      <w:lvlJc w:val="left"/>
      <w:lvlText w:val="%2."/>
      <w:numFmt w:val="decimal"/>
      <w:start w:val="12"/>
    </w:lvl>
  </w:abstractNum>
  <w:abstractNum w:abstractNumId="280">
    <w:nsid w:val="63DE60CD"/>
    <w:multiLevelType w:val="hybridMultilevel"/>
    <w:lvl w:ilvl="0">
      <w:lvlJc w:val="left"/>
      <w:lvlText w:val="(%1)"/>
      <w:numFmt w:val="lowerLetter"/>
      <w:start w:val="2"/>
    </w:lvl>
    <w:lvl w:ilvl="1">
      <w:lvlJc w:val="left"/>
      <w:lvlText w:val="%2."/>
      <w:numFmt w:val="decimal"/>
      <w:start w:val="16"/>
    </w:lvl>
  </w:abstractNum>
  <w:abstractNum w:abstractNumId="281">
    <w:nsid w:val="621AF471"/>
    <w:multiLevelType w:val="hybridMultilevel"/>
    <w:lvl w:ilvl="0">
      <w:lvlJc w:val="left"/>
      <w:lvlText w:val="%1."/>
      <w:numFmt w:val="decimal"/>
      <w:start w:val="17"/>
    </w:lvl>
  </w:abstractNum>
  <w:abstractNum w:abstractNumId="282">
    <w:nsid w:val="73CFE165"/>
    <w:multiLevelType w:val="hybridMultilevel"/>
    <w:lvl w:ilvl="0">
      <w:lvlJc w:val="left"/>
      <w:lvlText w:val="%1."/>
      <w:numFmt w:val="decimal"/>
      <w:start w:val="20"/>
    </w:lvl>
  </w:abstractNum>
  <w:abstractNum w:abstractNumId="283">
    <w:nsid w:val="20F88EA6"/>
    <w:multiLevelType w:val="hybridMultilevel"/>
    <w:lvl w:ilvl="0">
      <w:lvlJc w:val="left"/>
      <w:lvlText w:val="%1."/>
      <w:numFmt w:val="decimal"/>
      <w:start w:val="22"/>
    </w:lvl>
  </w:abstractNum>
  <w:abstractNum w:abstractNumId="284">
    <w:nsid w:val="617C843E"/>
    <w:multiLevelType w:val="hybridMultilevel"/>
    <w:lvl w:ilvl="0">
      <w:lvlJc w:val="left"/>
      <w:lvlText w:val="%1)"/>
      <w:numFmt w:val="decimal"/>
      <w:start w:val="1"/>
    </w:lvl>
  </w:abstractNum>
  <w:abstractNum w:abstractNumId="285">
    <w:nsid w:val="7B541FAB"/>
    <w:multiLevelType w:val="hybridMultilevel"/>
    <w:lvl w:ilvl="0">
      <w:lvlJc w:val="left"/>
      <w:lvlText w:val="%1."/>
      <w:numFmt w:val="decimal"/>
      <w:start w:val="1"/>
    </w:lvl>
  </w:abstractNum>
  <w:abstractNum w:abstractNumId="286">
    <w:nsid w:val="2A79EC4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7">
    <w:nsid w:val="338125CF"/>
    <w:multiLevelType w:val="hybridMultilevel"/>
    <w:lvl w:ilvl="0">
      <w:lvlJc w:val="left"/>
      <w:lvlText w:val="%1."/>
      <w:numFmt w:val="decimal"/>
      <w:start w:val="7"/>
    </w:lvl>
    <w:lvl w:ilvl="1">
      <w:lvlJc w:val="left"/>
      <w:lvlText w:val="(%2)"/>
      <w:numFmt w:val="lowerLetter"/>
      <w:start w:val="1"/>
    </w:lvl>
  </w:abstractNum>
  <w:abstractNum w:abstractNumId="288">
    <w:nsid w:val="47C7C971"/>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289">
    <w:nsid w:val="46F8284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0">
    <w:nsid w:val="4FA327CE"/>
    <w:multiLevelType w:val="hybridMultilevel"/>
    <w:lvl w:ilvl="0">
      <w:lvlJc w:val="left"/>
      <w:lvlText w:val="%1."/>
      <w:numFmt w:val="decimal"/>
      <w:start w:val="10"/>
    </w:lvl>
  </w:abstractNum>
  <w:abstractNum w:abstractNumId="291">
    <w:nsid w:val="1873983A"/>
    <w:multiLevelType w:val="hybridMultilevel"/>
    <w:lvl w:ilvl="0">
      <w:lvlJc w:val="left"/>
      <w:lvlText w:val="%1."/>
      <w:numFmt w:val="decimal"/>
      <w:start w:val="15"/>
    </w:lvl>
  </w:abstractNum>
  <w:abstractNum w:abstractNumId="292">
    <w:nsid w:val="3D2DD275"/>
    <w:multiLevelType w:val="hybridMultilevel"/>
    <w:lvl w:ilvl="0">
      <w:lvlJc w:val="left"/>
      <w:lvlText w:val="%1."/>
      <w:numFmt w:val="decimal"/>
      <w:start w:val="18"/>
    </w:lvl>
  </w:abstractNum>
  <w:abstractNum w:abstractNumId="293">
    <w:nsid w:val="2E17ECA7"/>
    <w:multiLevelType w:val="hybridMultilevel"/>
    <w:lvl w:ilvl="0">
      <w:lvlJc w:val="left"/>
      <w:lvlText w:val="%1."/>
      <w:numFmt w:val="decimal"/>
      <w:start w:val="20"/>
    </w:lvl>
  </w:abstractNum>
  <w:abstractNum w:abstractNumId="294">
    <w:nsid w:val="53B2564F"/>
    <w:multiLevelType w:val="hybridMultilevel"/>
    <w:lvl w:ilvl="0">
      <w:lvlJc w:val="left"/>
      <w:lvlText w:val="%1."/>
      <w:numFmt w:val="decimal"/>
      <w:start w:val="1"/>
    </w:lvl>
  </w:abstractNum>
  <w:abstractNum w:abstractNumId="295">
    <w:nsid w:val="75509D76"/>
    <w:multiLevelType w:val="hybridMultilevel"/>
    <w:lvl w:ilvl="0">
      <w:lvlJc w:val="left"/>
      <w:lvlText w:val="%1"/>
      <w:numFmt w:val="decimal"/>
      <w:start w:val="1"/>
    </w:lvl>
    <w:lvl w:ilvl="1">
      <w:lvlJc w:val="left"/>
      <w:lvlText w:val="(%2)"/>
      <w:numFmt w:val="lowerLetter"/>
      <w:start w:val="2"/>
    </w:lvl>
  </w:abstractNum>
  <w:abstractNum w:abstractNumId="296">
    <w:nsid w:val="1AF7F0EA"/>
    <w:multiLevelType w:val="hybridMultilevel"/>
    <w:lvl w:ilvl="0">
      <w:lvlJc w:val="left"/>
      <w:lvlText w:val="%1."/>
      <w:numFmt w:val="decimal"/>
      <w:start w:val="4"/>
    </w:lvl>
    <w:lvl w:ilvl="1">
      <w:lvlJc w:val="left"/>
      <w:lvlText w:val="(%2)"/>
      <w:numFmt w:val="lowerLetter"/>
      <w:start w:val="1"/>
    </w:lvl>
  </w:abstractNum>
  <w:abstractNum w:abstractNumId="297">
    <w:nsid w:val="4DA32C7E"/>
    <w:multiLevelType w:val="hybridMultilevel"/>
    <w:lvl w:ilvl="0">
      <w:lvlJc w:val="left"/>
      <w:lvlText w:val="%1."/>
      <w:numFmt w:val="decimal"/>
      <w:start w:val="5"/>
    </w:lvl>
    <w:lvl w:ilvl="1">
      <w:lvlJc w:val="left"/>
      <w:lvlText w:val="(%2)"/>
      <w:numFmt w:val="lowerLetter"/>
      <w:start w:val="1"/>
    </w:lvl>
  </w:abstractNum>
  <w:abstractNum w:abstractNumId="298">
    <w:nsid w:val="6EC68664"/>
    <w:multiLevelType w:val="hybridMultilevel"/>
    <w:lvl w:ilvl="0">
      <w:lvlJc w:val="left"/>
      <w:lvlText w:val="%1."/>
      <w:numFmt w:val="decimal"/>
      <w:start w:val="9"/>
    </w:lvl>
    <w:lvl w:ilvl="1">
      <w:lvlJc w:val="left"/>
      <w:lvlText w:val="(%2)"/>
      <w:numFmt w:val="lowerLetter"/>
      <w:start w:val="1"/>
    </w:lvl>
  </w:abstractNum>
  <w:abstractNum w:abstractNumId="299">
    <w:nsid w:val="E0D31FF"/>
    <w:multiLevelType w:val="hybridMultilevel"/>
    <w:lvl w:ilvl="0">
      <w:lvlJc w:val="left"/>
      <w:lvlText w:val="%1"/>
      <w:numFmt w:val="decimal"/>
      <w:start w:val="1"/>
    </w:lvl>
    <w:lvl w:ilvl="1">
      <w:lvlJc w:val="left"/>
      <w:lvlText w:val="(%2)"/>
      <w:numFmt w:val="lowerLetter"/>
      <w:start w:val="6"/>
    </w:lvl>
  </w:abstractNum>
  <w:abstractNum w:abstractNumId="300">
    <w:nsid w:val="2FD0AD81"/>
    <w:multiLevelType w:val="hybridMultilevel"/>
    <w:lvl w:ilvl="0">
      <w:lvlJc w:val="left"/>
      <w:lvlText w:val="%1."/>
      <w:numFmt w:val="decimal"/>
      <w:start w:val="10"/>
    </w:lvl>
    <w:lvl w:ilvl="1">
      <w:lvlJc w:val="left"/>
      <w:lvlText w:val="(%2)"/>
      <w:numFmt w:val="lowerLetter"/>
      <w:start w:val="1"/>
    </w:lvl>
  </w:abstractNum>
  <w:abstractNum w:abstractNumId="301">
    <w:nsid w:val="1978EBEB"/>
    <w:multiLevelType w:val="hybridMultilevel"/>
    <w:lvl w:ilvl="0">
      <w:lvlJc w:val="left"/>
      <w:lvlText w:val="%1"/>
      <w:numFmt w:val="decimal"/>
      <w:start w:val="1"/>
    </w:lvl>
    <w:lvl w:ilvl="1">
      <w:lvlJc w:val="left"/>
      <w:lvlText w:val="(%2)"/>
      <w:numFmt w:val="lowerLetter"/>
      <w:start w:val="3"/>
    </w:lvl>
  </w:abstractNum>
  <w:abstractNum w:abstractNumId="302">
    <w:nsid w:val="52C12C61"/>
    <w:multiLevelType w:val="hybridMultilevel"/>
    <w:lvl w:ilvl="0">
      <w:lvlJc w:val="left"/>
      <w:lvlText w:val="%1."/>
      <w:numFmt w:val="decimal"/>
      <w:start w:val="11"/>
    </w:lvl>
    <w:lvl w:ilvl="1">
      <w:lvlJc w:val="left"/>
      <w:lvlText w:val="(%2)"/>
      <w:numFmt w:val="lowerLetter"/>
      <w:start w:val="1"/>
    </w:lvl>
  </w:abstractNum>
  <w:abstractNum w:abstractNumId="303">
    <w:nsid w:val="4BDD53FD"/>
    <w:multiLevelType w:val="hybridMultilevel"/>
    <w:lvl w:ilvl="0">
      <w:lvlJc w:val="left"/>
      <w:lvlText w:val="%1."/>
      <w:numFmt w:val="decimal"/>
      <w:start w:val="13"/>
    </w:lvl>
  </w:abstractNum>
  <w:abstractNum w:abstractNumId="304">
    <w:nsid w:val="569951FE"/>
    <w:multiLevelType w:val="hybridMultilevel"/>
    <w:lvl w:ilvl="0">
      <w:lvlJc w:val="left"/>
      <w:lvlText w:val="%1."/>
      <w:numFmt w:val="decimal"/>
      <w:start w:val="19"/>
    </w:lvl>
    <w:lvl w:ilvl="1">
      <w:lvlJc w:val="left"/>
      <w:lvlText w:val="(%2)"/>
      <w:numFmt w:val="lowerLetter"/>
      <w:start w:val="1"/>
    </w:lvl>
  </w:abstractNum>
  <w:abstractNum w:abstractNumId="305">
    <w:nsid w:val="4C54E2C3"/>
    <w:multiLevelType w:val="hybridMultilevel"/>
    <w:lvl w:ilvl="0">
      <w:lvlJc w:val="left"/>
      <w:lvlText w:val="%1."/>
      <w:numFmt w:val="decimal"/>
      <w:start w:val="24"/>
    </w:lvl>
  </w:abstractNum>
  <w:abstractNum w:abstractNumId="306">
    <w:nsid w:val="788BD9B"/>
    <w:multiLevelType w:val="hybridMultilevel"/>
    <w:lvl w:ilvl="0">
      <w:lvlJc w:val="left"/>
      <w:lvlText w:val="%1"/>
      <w:numFmt w:val="lowerLetter"/>
      <w:start w:val="1"/>
    </w:lvl>
    <w:lvl w:ilvl="1">
      <w:lvlJc w:val="left"/>
      <w:lvlText w:val="%2."/>
      <w:numFmt w:val="decimal"/>
      <w:start w:val="27"/>
    </w:lvl>
    <w:lvl w:ilvl="2">
      <w:lvlJc w:val="left"/>
      <w:lvlText w:val="(%3)"/>
      <w:numFmt w:val="lowerLetter"/>
      <w:start w:val="1"/>
    </w:lvl>
    <w:lvl w:ilvl="3">
      <w:lvlJc w:val="left"/>
      <w:lvlText w:val="%4"/>
      <w:numFmt w:val="lowerRoman"/>
      <w:start w:val="1"/>
    </w:lvl>
  </w:abstractNum>
  <w:abstractNum w:abstractNumId="307">
    <w:nsid w:val="47CAA56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308">
    <w:nsid w:val="48249DBF"/>
    <w:multiLevelType w:val="hybridMultilevel"/>
    <w:lvl w:ilvl="0">
      <w:lvlJc w:val="left"/>
      <w:lvlText w:val="%1"/>
      <w:numFmt w:val="lowerLetter"/>
      <w:start w:val="1"/>
    </w:lvl>
    <w:lvl w:ilvl="1">
      <w:lvlJc w:val="left"/>
      <w:lvlText w:val="(%2)"/>
      <w:numFmt w:val="lowerRoman"/>
      <w:start w:val="4"/>
    </w:lvl>
  </w:abstractNum>
  <w:abstractNum w:abstractNumId="309">
    <w:nsid w:val="1F0E5D0D"/>
    <w:multiLevelType w:val="hybridMultilevel"/>
    <w:lvl w:ilvl="0">
      <w:lvlJc w:val="left"/>
      <w:lvlText w:val="(%1)"/>
      <w:numFmt w:val="lowerLetter"/>
      <w:start w:val="9"/>
    </w:lvl>
    <w:lvl w:ilvl="1">
      <w:lvlJc w:val="left"/>
      <w:lvlText w:val="%2"/>
      <w:numFmt w:val="lowerRoman"/>
      <w:start w:val="1"/>
    </w:lvl>
  </w:abstractNum>
  <w:abstractNum w:abstractNumId="310">
    <w:nsid w:val="26BAAE9"/>
    <w:multiLevelType w:val="hybridMultilevel"/>
    <w:lvl w:ilvl="0">
      <w:lvlJc w:val="left"/>
      <w:lvlText w:val="☐"/>
      <w:numFmt w:val="bullet"/>
      <w:start w:val="1"/>
    </w:lvl>
  </w:abstractNum>
  <w:abstractNum w:abstractNumId="311">
    <w:nsid w:val="2C02FE8C"/>
    <w:multiLevelType w:val="hybridMultilevel"/>
    <w:lvl w:ilvl="0">
      <w:lvlJc w:val="left"/>
      <w:lvlText w:val="☐"/>
      <w:numFmt w:val="bullet"/>
      <w:start w:val="1"/>
    </w:lvl>
  </w:abstractNum>
  <w:abstractNum w:abstractNumId="312">
    <w:nsid w:val="129517E"/>
    <w:multiLevelType w:val="hybridMultilevel"/>
    <w:lvl w:ilvl="0">
      <w:lvlJc w:val="left"/>
      <w:lvlText w:val="(%1)"/>
      <w:numFmt w:val="lowerLetter"/>
      <w:start w:val="2"/>
    </w:lvl>
  </w:abstractNum>
  <w:abstractNum w:abstractNumId="313">
    <w:nsid w:val="763B8C4E"/>
    <w:multiLevelType w:val="hybridMultilevel"/>
    <w:lvl w:ilvl="0">
      <w:lvlJc w:val="left"/>
      <w:lvlText w:val="(%1)"/>
      <w:numFmt w:val="lowerLetter"/>
      <w:start w:val="9"/>
    </w:lvl>
  </w:abstractNum>
  <w:abstractNum w:abstractNumId="314">
    <w:nsid w:val="4CFB8D32"/>
    <w:multiLevelType w:val="hybridMultilevel"/>
    <w:lvl w:ilvl="0">
      <w:lvlJc w:val="left"/>
      <w:lvlText w:val="["/>
      <w:numFmt w:val="bullet"/>
      <w:start w:val="1"/>
    </w:lvl>
  </w:abstractNum>
  <w:abstractNum w:abstractNumId="315">
    <w:nsid w:val="62A5D5B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jpe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461" Type="http://schemas.openxmlformats.org/officeDocument/2006/relationships/image" Target="media/image439.png"/><Relationship Id="rId462" Type="http://schemas.openxmlformats.org/officeDocument/2006/relationships/image" Target="media/image440.png"/><Relationship Id="rId463" Type="http://schemas.openxmlformats.org/officeDocument/2006/relationships/image" Target="media/image441.png"/><Relationship Id="rId464"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jpe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24" Type="http://schemas.openxmlformats.org/officeDocument/2006/relationships/image" Target="media/image502.png"/><Relationship Id="rId525" Type="http://schemas.openxmlformats.org/officeDocument/2006/relationships/image" Target="media/image503.png"/><Relationship Id="rId526" Type="http://schemas.openxmlformats.org/officeDocument/2006/relationships/image" Target="media/image504.png"/><Relationship Id="rId527" Type="http://schemas.openxmlformats.org/officeDocument/2006/relationships/image" Target="media/image505.png"/><Relationship Id="rId528" Type="http://schemas.openxmlformats.org/officeDocument/2006/relationships/image" Target="media/image506.png"/><Relationship Id="rId529" Type="http://schemas.openxmlformats.org/officeDocument/2006/relationships/image" Target="media/image507.png"/><Relationship Id="rId530" Type="http://schemas.openxmlformats.org/officeDocument/2006/relationships/image" Target="media/image508.png"/><Relationship Id="rId531" Type="http://schemas.openxmlformats.org/officeDocument/2006/relationships/image" Target="media/image509.png"/><Relationship Id="rId532" Type="http://schemas.openxmlformats.org/officeDocument/2006/relationships/image" Target="media/image510.png"/><Relationship Id="rId533" Type="http://schemas.openxmlformats.org/officeDocument/2006/relationships/image" Target="media/image511.png"/><Relationship Id="rId534" Type="http://schemas.openxmlformats.org/officeDocument/2006/relationships/image" Target="media/image512.png"/><Relationship Id="rId535" Type="http://schemas.openxmlformats.org/officeDocument/2006/relationships/image" Target="media/image513.png"/><Relationship Id="rId536" Type="http://schemas.openxmlformats.org/officeDocument/2006/relationships/image" Target="media/image514.png"/><Relationship Id="rId537" Type="http://schemas.openxmlformats.org/officeDocument/2006/relationships/image" Target="media/image515.png"/><Relationship Id="rId538" Type="http://schemas.openxmlformats.org/officeDocument/2006/relationships/image" Target="media/image516.png"/><Relationship Id="rId539" Type="http://schemas.openxmlformats.org/officeDocument/2006/relationships/image" Target="media/image517.png"/><Relationship Id="rId540" Type="http://schemas.openxmlformats.org/officeDocument/2006/relationships/image" Target="media/image518.png"/><Relationship Id="rId541" Type="http://schemas.openxmlformats.org/officeDocument/2006/relationships/image" Target="media/image519.png"/><Relationship Id="rId542" Type="http://schemas.openxmlformats.org/officeDocument/2006/relationships/image" Target="media/image520.png"/><Relationship Id="rId543" Type="http://schemas.openxmlformats.org/officeDocument/2006/relationships/image" Target="media/image521.png"/><Relationship Id="rId544" Type="http://schemas.openxmlformats.org/officeDocument/2006/relationships/image" Target="media/image522.png"/><Relationship Id="rId545" Type="http://schemas.openxmlformats.org/officeDocument/2006/relationships/image" Target="media/image523.png"/><Relationship Id="rId546" Type="http://schemas.openxmlformats.org/officeDocument/2006/relationships/image" Target="media/image524.png"/><Relationship Id="rId547" Type="http://schemas.openxmlformats.org/officeDocument/2006/relationships/image" Target="media/image525.png"/><Relationship Id="rId548" Type="http://schemas.openxmlformats.org/officeDocument/2006/relationships/image" Target="media/image526.png"/><Relationship Id="rId358" Type="http://schemas.openxmlformats.org/officeDocument/2006/relationships/hyperlink" Target="http://www.sec.gov/Archives/edgar/data/1623526/000119312519155301/d675029dex32.htm" TargetMode="External"/><Relationship Id="rId359" Type="http://schemas.openxmlformats.org/officeDocument/2006/relationships/hyperlink" Target="http://www.sec.gov/Archives/edgar/data/1623526/000119312519155301/d675029dex33.htm" TargetMode="External"/><Relationship Id="rId360" Type="http://schemas.openxmlformats.org/officeDocument/2006/relationships/hyperlink" Target="http://www.sec.gov/Archives/edgar/data/1623526/000119312519155301/d675029dex34.htm" TargetMode="External"/><Relationship Id="rId361" Type="http://schemas.openxmlformats.org/officeDocument/2006/relationships/hyperlink" Target="http://www.sec.gov/Archives/edgar/data/1623526/000119312519155301/d675029dex42.htm" TargetMode="External"/><Relationship Id="rId362" Type="http://schemas.openxmlformats.org/officeDocument/2006/relationships/hyperlink" Target="http://www.sec.gov/Archives/edgar/data/1623526/000119312519155301/d675029dex102.htm" TargetMode="External"/><Relationship Id="rId363" Type="http://schemas.openxmlformats.org/officeDocument/2006/relationships/hyperlink" Target="http://www.sec.gov/Archives/edgar/data/1623526/000119312519155301/d675029dex106.htm" TargetMode="External"/><Relationship Id="rId364" Type="http://schemas.openxmlformats.org/officeDocument/2006/relationships/hyperlink" Target="http://www.sec.gov/Archives/edgar/data/1623526/000119312519155301/d675029dex107.htm" TargetMode="External"/><Relationship Id="rId365" Type="http://schemas.openxmlformats.org/officeDocument/2006/relationships/hyperlink" Target="http://www.sec.gov/Archives/edgar/data/1623526/000119312519155301/d675029dex108.htm" TargetMode="External"/><Relationship Id="rId366" Type="http://schemas.openxmlformats.org/officeDocument/2006/relationships/hyperlink" Target="http://www.sec.gov/Archives/edgar/data/1623526/000119312519155301/d675029dex109.htm" TargetMode="External"/><Relationship Id="rId367" Type="http://schemas.openxmlformats.org/officeDocument/2006/relationships/hyperlink" Target="http://www.sec.gov/Archives/edgar/data/1623526/000119312519155301/d675029dex1010.htm" TargetMode="External"/><Relationship Id="rId368" Type="http://schemas.openxmlformats.org/officeDocument/2006/relationships/hyperlink" Target="http://www.sec.gov/Archives/edgar/data/1623526/000119312519155301/d675029dex1011.htm" TargetMode="External"/><Relationship Id="rId369" Type="http://schemas.openxmlformats.org/officeDocument/2006/relationships/hyperlink" Target="http://www.sec.gov/Archives/edgar/data/1623526/000119312519155301/d675029dex1012.htm" TargetMode="External"/><Relationship Id="rId370" Type="http://schemas.openxmlformats.org/officeDocument/2006/relationships/hyperlink" Target="http://www.sec.gov/Archives/edgar/data/1623526/000119312519155301/d675029dex1013.htm" TargetMode="External"/><Relationship Id="rId371" Type="http://schemas.openxmlformats.org/officeDocument/2006/relationships/hyperlink" Target="http://www.sec.gov/Archives/edgar/data/1623526/000119312519155301/d675029dex1014.htm" TargetMode="External"/><Relationship Id="rId372" Type="http://schemas.openxmlformats.org/officeDocument/2006/relationships/hyperlink" Target="http://www.sec.gov/Archives/edgar/data/1623526/000119312519155301/d67502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2019-12-01T20:45:59Z</dcterms:created>
  <dcterms:modified xsi:type="dcterms:W3CDTF">2019-12-01T20:45:59Z</dcterms:modified>
</cp:coreProperties>
</file>