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259080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Stoke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024" w:type="dxa"/>
        <w:tblCellMar>
          <w:top w:w="0" w:type="dxa"/>
          <w:left w:w="0" w:type="dxa"/>
          <w:bottom w:w="0" w:type="dxa"/>
          <w:right w:w="0" w:type="dxa"/>
        </w:tblCellMar>
      </w:tblPr>
      <w:tr>
        <w:trPr>
          <w:trHeight w:val="214"/>
        </w:trPr>
        <w:tc>
          <w:tcPr>
            <w:tcW w:w="358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2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001-38938</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47-1144582</w:t>
            </w:r>
          </w:p>
        </w:tc>
      </w:tr>
      <w:tr>
        <w:trPr>
          <w:trHeight w:val="149"/>
        </w:trPr>
        <w:tc>
          <w:tcPr>
            <w:tcW w:w="3580" w:type="dxa"/>
            <w:vAlign w:val="bottom"/>
          </w:tcPr>
          <w:p>
            <w:pPr>
              <w:jc w:val="center"/>
              <w:ind w:right="17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2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8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2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20"/>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45 Wiggins Ave</w:t>
            </w:r>
          </w:p>
        </w:tc>
        <w:tc>
          <w:tcPr>
            <w:tcW w:w="24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Bedford, Massachusetts</w:t>
            </w:r>
          </w:p>
        </w:tc>
        <w:tc>
          <w:tcPr>
            <w:tcW w:w="242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01730</w:t>
            </w:r>
          </w:p>
        </w:tc>
      </w:tr>
      <w:tr>
        <w:trPr>
          <w:trHeight w:val="190"/>
        </w:trPr>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2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430-8200</w:t>
      </w:r>
    </w:p>
    <w:p>
      <w:pPr>
        <w:spacing w:after="0" w:line="2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37"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STOK</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bookmarkStart w:id="1" w:name="page2"/>
    <w:bookmarkEnd w:id="1"/>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5.07</w:t>
      </w:r>
      <w:r>
        <w:rPr>
          <w:sz w:val="20"/>
          <w:szCs w:val="20"/>
          <w:color w:val="auto"/>
        </w:rPr>
        <w:tab/>
      </w:r>
      <w:r>
        <w:rPr>
          <w:rFonts w:ascii="Times New Roman" w:cs="Times New Roman" w:eastAsia="Times New Roman" w:hAnsi="Times New Roman"/>
          <w:sz w:val="18"/>
          <w:szCs w:val="18"/>
          <w:b w:val="1"/>
          <w:bCs w:val="1"/>
          <w:color w:val="auto"/>
        </w:rPr>
        <w:t>Submission of Matters to a Vote of Security Holders.</w:t>
      </w:r>
    </w:p>
    <w:p>
      <w:pPr>
        <w:spacing w:after="0" w:line="121" w:lineRule="exact"/>
        <w:rPr>
          <w:sz w:val="20"/>
          <w:szCs w:val="20"/>
          <w:color w:val="auto"/>
        </w:rPr>
      </w:pPr>
    </w:p>
    <w:p>
      <w:pPr>
        <w:ind w:left="4" w:right="300" w:firstLine="440"/>
        <w:spacing w:after="0" w:line="282" w:lineRule="auto"/>
        <w:rPr>
          <w:sz w:val="20"/>
          <w:szCs w:val="20"/>
          <w:color w:val="auto"/>
        </w:rPr>
      </w:pPr>
      <w:r>
        <w:rPr>
          <w:rFonts w:ascii="Times New Roman" w:cs="Times New Roman" w:eastAsia="Times New Roman" w:hAnsi="Times New Roman"/>
          <w:sz w:val="18"/>
          <w:szCs w:val="18"/>
          <w:color w:val="auto"/>
        </w:rPr>
        <w:t>On June 3, 2026, Stoke Therapeutics, Inc. (the “Company”) held its 2026 Annual Meeting of Stockholders, and the following proposals were adopted:</w:t>
      </w:r>
    </w:p>
    <w:p>
      <w:pPr>
        <w:spacing w:after="0" w:line="67" w:lineRule="exact"/>
        <w:rPr>
          <w:sz w:val="20"/>
          <w:szCs w:val="20"/>
          <w:color w:val="auto"/>
        </w:rPr>
      </w:pPr>
    </w:p>
    <w:p>
      <w:pPr>
        <w:ind w:left="424" w:hanging="424"/>
        <w:spacing w:after="0" w:line="266"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three Class I directors, G. Clare Kahn, Ph.D., Adrian Krainer, Ph.D. and Julie Anne Smith, each to serve a three-year term, which will expire upon the earlier of the 2029 annual meeting of stockholders or until such time as their respective successors have been duly elected and qualified or their earlier resignation or removal:</w:t>
      </w:r>
    </w:p>
    <w:p>
      <w:pPr>
        <w:spacing w:after="0" w:line="184" w:lineRule="exact"/>
        <w:rPr>
          <w:sz w:val="20"/>
          <w:szCs w:val="20"/>
          <w:color w:val="auto"/>
        </w:rPr>
      </w:pPr>
    </w:p>
    <w:tbl>
      <w:tblPr>
        <w:tblLayout w:type="fixed"/>
        <w:tblInd w:w="884" w:type="dxa"/>
        <w:tblCellMar>
          <w:top w:w="0" w:type="dxa"/>
          <w:left w:w="0" w:type="dxa"/>
          <w:bottom w:w="0" w:type="dxa"/>
          <w:right w:w="0" w:type="dxa"/>
        </w:tblCellMar>
      </w:tblPr>
      <w:tr>
        <w:trPr>
          <w:trHeight w:val="161"/>
        </w:trPr>
        <w:tc>
          <w:tcPr>
            <w:tcW w:w="2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Nominees</w:t>
            </w:r>
          </w:p>
        </w:tc>
        <w:tc>
          <w:tcPr>
            <w:tcW w:w="1280" w:type="dxa"/>
            <w:vAlign w:val="bottom"/>
          </w:tcPr>
          <w:p>
            <w:pPr>
              <w:spacing w:after="0"/>
              <w:rPr>
                <w:sz w:val="13"/>
                <w:szCs w:val="13"/>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For</w:t>
            </w:r>
          </w:p>
        </w:tc>
        <w:tc>
          <w:tcPr>
            <w:tcW w:w="3580" w:type="dxa"/>
            <w:vAlign w:val="bottom"/>
            <w:gridSpan w:val="3"/>
            <w:vMerge w:val="restart"/>
          </w:tcPr>
          <w:p>
            <w:pPr>
              <w:ind w:left="1280"/>
              <w:spacing w:after="0"/>
              <w:rPr>
                <w:sz w:val="20"/>
                <w:szCs w:val="20"/>
                <w:color w:val="auto"/>
              </w:rPr>
            </w:pPr>
            <w:r>
              <w:rPr>
                <w:rFonts w:ascii="Times New Roman" w:cs="Times New Roman" w:eastAsia="Times New Roman" w:hAnsi="Times New Roman"/>
                <w:sz w:val="14"/>
                <w:szCs w:val="14"/>
                <w:b w:val="1"/>
                <w:bCs w:val="1"/>
                <w:color w:val="auto"/>
              </w:rPr>
              <w:t>Shares Withheld</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w:t>
            </w:r>
          </w:p>
        </w:tc>
        <w:tc>
          <w:tcPr>
            <w:tcW w:w="0" w:type="dxa"/>
            <w:vAlign w:val="bottom"/>
          </w:tcPr>
          <w:p>
            <w:pPr>
              <w:spacing w:after="0"/>
              <w:rPr>
                <w:sz w:val="1"/>
                <w:szCs w:val="1"/>
                <w:color w:val="auto"/>
              </w:rPr>
            </w:pPr>
          </w:p>
        </w:tc>
      </w:tr>
      <w:tr>
        <w:trPr>
          <w:trHeight w:val="173"/>
        </w:trPr>
        <w:tc>
          <w:tcPr>
            <w:tcW w:w="2680" w:type="dxa"/>
            <w:vAlign w:val="bottom"/>
            <w:gridSpan w:val="2"/>
            <w:vMerge w:val="continue"/>
          </w:tcPr>
          <w:p>
            <w:pPr>
              <w:spacing w:after="0"/>
              <w:rPr>
                <w:sz w:val="15"/>
                <w:szCs w:val="15"/>
                <w:color w:val="auto"/>
              </w:rPr>
            </w:pPr>
          </w:p>
        </w:tc>
        <w:tc>
          <w:tcPr>
            <w:tcW w:w="12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3580" w:type="dxa"/>
            <w:vAlign w:val="bottom"/>
            <w:gridSpan w:val="3"/>
            <w:vMerge w:val="continue"/>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Non-Votes</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6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G. Clare Kahn, Ph.D.</w:t>
            </w:r>
          </w:p>
        </w:tc>
        <w:tc>
          <w:tcPr>
            <w:tcW w:w="1280" w:type="dxa"/>
            <w:vAlign w:val="bottom"/>
          </w:tcPr>
          <w:p>
            <w:pPr>
              <w:spacing w:after="0"/>
              <w:rPr>
                <w:sz w:val="16"/>
                <w:szCs w:val="16"/>
                <w:color w:val="auto"/>
              </w:rPr>
            </w:pPr>
          </w:p>
        </w:tc>
        <w:tc>
          <w:tcPr>
            <w:tcW w:w="8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49,722,339</w:t>
            </w:r>
          </w:p>
        </w:tc>
        <w:tc>
          <w:tcPr>
            <w:tcW w:w="1280" w:type="dxa"/>
            <w:vAlign w:val="bottom"/>
          </w:tcPr>
          <w:p>
            <w:pPr>
              <w:spacing w:after="0"/>
              <w:rPr>
                <w:sz w:val="16"/>
                <w:szCs w:val="16"/>
                <w:color w:val="auto"/>
              </w:rPr>
            </w:pPr>
          </w:p>
        </w:tc>
        <w:tc>
          <w:tcPr>
            <w:tcW w:w="10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308,644</w:t>
            </w:r>
          </w:p>
        </w:tc>
        <w:tc>
          <w:tcPr>
            <w:tcW w:w="1280" w:type="dxa"/>
            <w:vAlign w:val="bottom"/>
          </w:tcPr>
          <w:p>
            <w:pPr>
              <w:spacing w:after="0"/>
              <w:rPr>
                <w:sz w:val="16"/>
                <w:szCs w:val="16"/>
                <w:color w:val="auto"/>
              </w:rPr>
            </w:pPr>
          </w:p>
        </w:tc>
        <w:tc>
          <w:tcPr>
            <w:tcW w:w="9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5,143,930</w:t>
            </w:r>
          </w:p>
        </w:tc>
        <w:tc>
          <w:tcPr>
            <w:tcW w:w="0" w:type="dxa"/>
            <w:vAlign w:val="bottom"/>
          </w:tcPr>
          <w:p>
            <w:pPr>
              <w:spacing w:after="0"/>
              <w:rPr>
                <w:sz w:val="1"/>
                <w:szCs w:val="1"/>
                <w:color w:val="auto"/>
              </w:rPr>
            </w:pPr>
          </w:p>
        </w:tc>
      </w:tr>
      <w:tr>
        <w:trPr>
          <w:trHeight w:val="216"/>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Adrian Krainer, Ph.D.</w:t>
            </w:r>
          </w:p>
        </w:tc>
        <w:tc>
          <w:tcPr>
            <w:tcW w:w="2100" w:type="dxa"/>
            <w:vAlign w:val="bottom"/>
            <w:gridSpan w:val="2"/>
          </w:tcPr>
          <w:p>
            <w:pPr>
              <w:jc w:val="center"/>
              <w:ind w:left="1170"/>
              <w:spacing w:after="0"/>
              <w:rPr>
                <w:sz w:val="20"/>
                <w:szCs w:val="20"/>
                <w:color w:val="auto"/>
              </w:rPr>
            </w:pPr>
            <w:r>
              <w:rPr>
                <w:rFonts w:ascii="Times New Roman" w:cs="Times New Roman" w:eastAsia="Times New Roman" w:hAnsi="Times New Roman"/>
                <w:sz w:val="18"/>
                <w:szCs w:val="18"/>
                <w:color w:val="auto"/>
                <w:w w:val="98"/>
              </w:rPr>
              <w:t>36,531,612</w:t>
            </w:r>
          </w:p>
        </w:tc>
        <w:tc>
          <w:tcPr>
            <w:tcW w:w="2300" w:type="dxa"/>
            <w:vAlign w:val="bottom"/>
            <w:gridSpan w:val="2"/>
          </w:tcPr>
          <w:p>
            <w:pPr>
              <w:jc w:val="center"/>
              <w:ind w:left="1176"/>
              <w:spacing w:after="0"/>
              <w:rPr>
                <w:sz w:val="20"/>
                <w:szCs w:val="20"/>
                <w:color w:val="auto"/>
              </w:rPr>
            </w:pPr>
            <w:r>
              <w:rPr>
                <w:rFonts w:ascii="Times New Roman" w:cs="Times New Roman" w:eastAsia="Times New Roman" w:hAnsi="Times New Roman"/>
                <w:sz w:val="18"/>
                <w:szCs w:val="18"/>
                <w:color w:val="auto"/>
                <w:w w:val="98"/>
              </w:rPr>
              <w:t>13,499,371</w:t>
            </w:r>
          </w:p>
        </w:tc>
        <w:tc>
          <w:tcPr>
            <w:tcW w:w="12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5,143,930</w:t>
            </w:r>
          </w:p>
        </w:tc>
        <w:tc>
          <w:tcPr>
            <w:tcW w:w="0" w:type="dxa"/>
            <w:vAlign w:val="bottom"/>
          </w:tcPr>
          <w:p>
            <w:pPr>
              <w:spacing w:after="0"/>
              <w:rPr>
                <w:sz w:val="1"/>
                <w:szCs w:val="1"/>
                <w:color w:val="auto"/>
              </w:rPr>
            </w:pPr>
          </w:p>
        </w:tc>
      </w:tr>
      <w:tr>
        <w:trPr>
          <w:trHeight w:val="234"/>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Julie Anne Smith</w:t>
            </w:r>
          </w:p>
        </w:tc>
        <w:tc>
          <w:tcPr>
            <w:tcW w:w="2100" w:type="dxa"/>
            <w:vAlign w:val="bottom"/>
            <w:gridSpan w:val="2"/>
          </w:tcPr>
          <w:p>
            <w:pPr>
              <w:jc w:val="center"/>
              <w:ind w:left="1170"/>
              <w:spacing w:after="0"/>
              <w:rPr>
                <w:sz w:val="20"/>
                <w:szCs w:val="20"/>
                <w:color w:val="auto"/>
              </w:rPr>
            </w:pPr>
            <w:r>
              <w:rPr>
                <w:rFonts w:ascii="Times New Roman" w:cs="Times New Roman" w:eastAsia="Times New Roman" w:hAnsi="Times New Roman"/>
                <w:sz w:val="18"/>
                <w:szCs w:val="18"/>
                <w:color w:val="auto"/>
                <w:w w:val="98"/>
              </w:rPr>
              <w:t>43,500,649</w:t>
            </w:r>
          </w:p>
        </w:tc>
        <w:tc>
          <w:tcPr>
            <w:tcW w:w="2300" w:type="dxa"/>
            <w:vAlign w:val="bottom"/>
            <w:gridSpan w:val="2"/>
          </w:tcPr>
          <w:p>
            <w:pPr>
              <w:jc w:val="center"/>
              <w:ind w:left="1176"/>
              <w:spacing w:after="0"/>
              <w:rPr>
                <w:sz w:val="20"/>
                <w:szCs w:val="20"/>
                <w:color w:val="auto"/>
              </w:rPr>
            </w:pPr>
            <w:r>
              <w:rPr>
                <w:rFonts w:ascii="Times New Roman" w:cs="Times New Roman" w:eastAsia="Times New Roman" w:hAnsi="Times New Roman"/>
                <w:sz w:val="18"/>
                <w:szCs w:val="18"/>
                <w:color w:val="auto"/>
                <w:w w:val="99"/>
              </w:rPr>
              <w:t>6,530,334</w:t>
            </w:r>
          </w:p>
        </w:tc>
        <w:tc>
          <w:tcPr>
            <w:tcW w:w="128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5,143,930</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424" w:hanging="424"/>
        <w:spacing w:after="0" w:line="282"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the appointment of Ernst &amp; Young LLP as the Company’s independent registered public accounting firm for the fiscal year ending December 31, 2026:</w:t>
      </w:r>
    </w:p>
    <w:p>
      <w:pPr>
        <w:spacing w:after="0" w:line="182" w:lineRule="exact"/>
        <w:rPr>
          <w:sz w:val="20"/>
          <w:szCs w:val="20"/>
          <w:color w:val="auto"/>
        </w:rPr>
      </w:pPr>
    </w:p>
    <w:tbl>
      <w:tblPr>
        <w:tblLayout w:type="fixed"/>
        <w:tblInd w:w="1324" w:type="dxa"/>
        <w:tblCellMar>
          <w:top w:w="0" w:type="dxa"/>
          <w:left w:w="0" w:type="dxa"/>
          <w:bottom w:w="0" w:type="dxa"/>
          <w:right w:w="0" w:type="dxa"/>
        </w:tblCellMar>
      </w:tblPr>
      <w:tr>
        <w:trPr>
          <w:trHeight w:val="187"/>
        </w:trPr>
        <w:tc>
          <w:tcPr>
            <w:tcW w:w="4060" w:type="dxa"/>
            <w:vAlign w:val="bottom"/>
            <w:gridSpan w:val="2"/>
          </w:tcPr>
          <w:p>
            <w:pPr>
              <w:jc w:val="center"/>
              <w:ind w:right="1620"/>
              <w:spacing w:after="0"/>
              <w:rPr>
                <w:sz w:val="20"/>
                <w:szCs w:val="20"/>
                <w:color w:val="auto"/>
              </w:rPr>
            </w:pPr>
            <w:r>
              <w:rPr>
                <w:rFonts w:ascii="Times New Roman" w:cs="Times New Roman" w:eastAsia="Times New Roman" w:hAnsi="Times New Roman"/>
                <w:sz w:val="14"/>
                <w:szCs w:val="14"/>
                <w:b w:val="1"/>
                <w:bCs w:val="1"/>
                <w:color w:val="auto"/>
              </w:rPr>
              <w:t>Shares For</w:t>
            </w:r>
          </w:p>
        </w:tc>
        <w:tc>
          <w:tcPr>
            <w:tcW w:w="2560" w:type="dxa"/>
            <w:vAlign w:val="bottom"/>
            <w:gridSpan w:val="2"/>
          </w:tcPr>
          <w:p>
            <w:pPr>
              <w:jc w:val="center"/>
              <w:ind w:right="1640"/>
              <w:spacing w:after="0"/>
              <w:rPr>
                <w:sz w:val="20"/>
                <w:szCs w:val="20"/>
                <w:color w:val="auto"/>
              </w:rPr>
            </w:pPr>
            <w:r>
              <w:rPr>
                <w:rFonts w:ascii="Times New Roman" w:cs="Times New Roman" w:eastAsia="Times New Roman" w:hAnsi="Times New Roman"/>
                <w:sz w:val="14"/>
                <w:szCs w:val="14"/>
                <w:b w:val="1"/>
                <w:bCs w:val="1"/>
                <w:color w:val="auto"/>
              </w:rPr>
              <w:t>Shares Against</w:t>
            </w: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Withheld/Abstaining</w:t>
            </w:r>
          </w:p>
        </w:tc>
      </w:tr>
      <w:tr>
        <w:trPr>
          <w:trHeight w:val="228"/>
        </w:trPr>
        <w:tc>
          <w:tcPr>
            <w:tcW w:w="2420" w:type="dxa"/>
            <w:vAlign w:val="bottom"/>
            <w:tcBorders>
              <w:top w:val="single" w:sz="8" w:color="auto"/>
            </w:tcBorders>
          </w:tcPr>
          <w:p>
            <w:pPr>
              <w:jc w:val="right"/>
              <w:ind w:right="719"/>
              <w:spacing w:after="0"/>
              <w:rPr>
                <w:sz w:val="20"/>
                <w:szCs w:val="20"/>
                <w:color w:val="auto"/>
              </w:rPr>
            </w:pPr>
            <w:r>
              <w:rPr>
                <w:rFonts w:ascii="Times New Roman" w:cs="Times New Roman" w:eastAsia="Times New Roman" w:hAnsi="Times New Roman"/>
                <w:sz w:val="18"/>
                <w:szCs w:val="18"/>
                <w:color w:val="auto"/>
              </w:rPr>
              <w:t>55,121,163</w:t>
            </w:r>
          </w:p>
        </w:tc>
        <w:tc>
          <w:tcPr>
            <w:tcW w:w="1640" w:type="dxa"/>
            <w:vAlign w:val="bottom"/>
          </w:tcPr>
          <w:p>
            <w:pPr>
              <w:spacing w:after="0"/>
              <w:rPr>
                <w:sz w:val="19"/>
                <w:szCs w:val="19"/>
                <w:color w:val="auto"/>
              </w:rPr>
            </w:pPr>
          </w:p>
        </w:tc>
        <w:tc>
          <w:tcPr>
            <w:tcW w:w="92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8"/>
                <w:szCs w:val="18"/>
                <w:color w:val="auto"/>
              </w:rPr>
              <w:t>2,036</w:t>
            </w:r>
          </w:p>
        </w:tc>
        <w:tc>
          <w:tcPr>
            <w:tcW w:w="1640" w:type="dxa"/>
            <w:vAlign w:val="bottom"/>
          </w:tcPr>
          <w:p>
            <w:pPr>
              <w:spacing w:after="0"/>
              <w:rPr>
                <w:sz w:val="19"/>
                <w:szCs w:val="19"/>
                <w:color w:val="auto"/>
              </w:rPr>
            </w:pPr>
          </w:p>
        </w:tc>
        <w:tc>
          <w:tcPr>
            <w:tcW w:w="1740" w:type="dxa"/>
            <w:vAlign w:val="bottom"/>
            <w:tcBorders>
              <w:top w:val="single" w:sz="8" w:color="auto"/>
            </w:tcBorders>
          </w:tcPr>
          <w:p>
            <w:pPr>
              <w:jc w:val="right"/>
              <w:ind w:right="539"/>
              <w:spacing w:after="0"/>
              <w:rPr>
                <w:sz w:val="20"/>
                <w:szCs w:val="20"/>
                <w:color w:val="auto"/>
              </w:rPr>
            </w:pPr>
            <w:r>
              <w:rPr>
                <w:rFonts w:ascii="Times New Roman" w:cs="Times New Roman" w:eastAsia="Times New Roman" w:hAnsi="Times New Roman"/>
                <w:sz w:val="18"/>
                <w:szCs w:val="18"/>
                <w:color w:val="auto"/>
              </w:rPr>
              <w:t>51,714</w:t>
            </w:r>
          </w:p>
        </w:tc>
      </w:tr>
    </w:tbl>
    <w:p>
      <w:pPr>
        <w:spacing w:after="0" w:line="85" w:lineRule="exact"/>
        <w:rPr>
          <w:sz w:val="20"/>
          <w:szCs w:val="20"/>
          <w:color w:val="auto"/>
        </w:rPr>
      </w:pPr>
    </w:p>
    <w:p>
      <w:pPr>
        <w:ind w:left="424" w:right="460" w:hanging="424"/>
        <w:spacing w:after="0" w:line="282"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on a non-binding advisory basis, of the compensation of the Company’s named executive officers as disclosed in the Company’s definitive proxy statement filed with the U.S. Securities and Exchange Commission on April 22, 2026:</w:t>
      </w:r>
    </w:p>
    <w:p>
      <w:pPr>
        <w:spacing w:after="0" w:line="182" w:lineRule="exact"/>
        <w:rPr>
          <w:sz w:val="20"/>
          <w:szCs w:val="20"/>
          <w:color w:val="auto"/>
        </w:rPr>
      </w:pPr>
    </w:p>
    <w:tbl>
      <w:tblPr>
        <w:tblLayout w:type="fixed"/>
        <w:tblInd w:w="1324" w:type="dxa"/>
        <w:tblCellMar>
          <w:top w:w="0" w:type="dxa"/>
          <w:left w:w="0" w:type="dxa"/>
          <w:bottom w:w="0" w:type="dxa"/>
          <w:right w:w="0" w:type="dxa"/>
        </w:tblCellMar>
      </w:tblPr>
      <w:tr>
        <w:trPr>
          <w:trHeight w:val="187"/>
        </w:trPr>
        <w:tc>
          <w:tcPr>
            <w:tcW w:w="2880" w:type="dxa"/>
            <w:vAlign w:val="bottom"/>
            <w:gridSpan w:val="2"/>
          </w:tcPr>
          <w:p>
            <w:pPr>
              <w:jc w:val="center"/>
              <w:ind w:right="880"/>
              <w:spacing w:after="0"/>
              <w:rPr>
                <w:sz w:val="20"/>
                <w:szCs w:val="20"/>
                <w:color w:val="auto"/>
              </w:rPr>
            </w:pPr>
            <w:r>
              <w:rPr>
                <w:rFonts w:ascii="Times New Roman" w:cs="Times New Roman" w:eastAsia="Times New Roman" w:hAnsi="Times New Roman"/>
                <w:sz w:val="14"/>
                <w:szCs w:val="14"/>
                <w:b w:val="1"/>
                <w:bCs w:val="1"/>
                <w:color w:val="auto"/>
              </w:rPr>
              <w:t>Shares For</w:t>
            </w:r>
          </w:p>
        </w:tc>
        <w:tc>
          <w:tcPr>
            <w:tcW w:w="1780" w:type="dxa"/>
            <w:vAlign w:val="bottom"/>
            <w:gridSpan w:val="2"/>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Shares Against</w:t>
            </w:r>
          </w:p>
        </w:tc>
        <w:tc>
          <w:tcPr>
            <w:tcW w:w="2600" w:type="dxa"/>
            <w:vAlign w:val="bottom"/>
            <w:gridSpan w:val="2"/>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Shares Withheld/Abstaining</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28"/>
        </w:trPr>
        <w:tc>
          <w:tcPr>
            <w:tcW w:w="2020" w:type="dxa"/>
            <w:vAlign w:val="bottom"/>
            <w:tcBorders>
              <w:top w:val="single" w:sz="8" w:color="auto"/>
            </w:tcBorders>
          </w:tcPr>
          <w:p>
            <w:pPr>
              <w:jc w:val="right"/>
              <w:ind w:right="539"/>
              <w:spacing w:after="0"/>
              <w:rPr>
                <w:sz w:val="20"/>
                <w:szCs w:val="20"/>
                <w:color w:val="auto"/>
              </w:rPr>
            </w:pPr>
            <w:r>
              <w:rPr>
                <w:rFonts w:ascii="Times New Roman" w:cs="Times New Roman" w:eastAsia="Times New Roman" w:hAnsi="Times New Roman"/>
                <w:sz w:val="18"/>
                <w:szCs w:val="18"/>
                <w:color w:val="auto"/>
              </w:rPr>
              <w:t>36,436,275</w:t>
            </w:r>
          </w:p>
        </w:tc>
        <w:tc>
          <w:tcPr>
            <w:tcW w:w="86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13,565,293</w:t>
            </w:r>
          </w:p>
        </w:tc>
        <w:tc>
          <w:tcPr>
            <w:tcW w:w="860" w:type="dxa"/>
            <w:vAlign w:val="bottom"/>
          </w:tcPr>
          <w:p>
            <w:pPr>
              <w:spacing w:after="0"/>
              <w:rPr>
                <w:sz w:val="19"/>
                <w:szCs w:val="19"/>
                <w:color w:val="auto"/>
              </w:rPr>
            </w:pPr>
          </w:p>
        </w:tc>
        <w:tc>
          <w:tcPr>
            <w:tcW w:w="1740" w:type="dxa"/>
            <w:vAlign w:val="bottom"/>
            <w:tcBorders>
              <w:top w:val="single" w:sz="8" w:color="auto"/>
            </w:tcBorders>
          </w:tcPr>
          <w:p>
            <w:pPr>
              <w:jc w:val="right"/>
              <w:ind w:right="539"/>
              <w:spacing w:after="0"/>
              <w:rPr>
                <w:sz w:val="20"/>
                <w:szCs w:val="20"/>
                <w:color w:val="auto"/>
              </w:rPr>
            </w:pPr>
            <w:r>
              <w:rPr>
                <w:rFonts w:ascii="Times New Roman" w:cs="Times New Roman" w:eastAsia="Times New Roman" w:hAnsi="Times New Roman"/>
                <w:sz w:val="18"/>
                <w:szCs w:val="18"/>
                <w:color w:val="auto"/>
              </w:rPr>
              <w:t>29,415</w:t>
            </w:r>
          </w:p>
        </w:tc>
        <w:tc>
          <w:tcPr>
            <w:tcW w:w="860" w:type="dxa"/>
            <w:vAlign w:val="bottom"/>
          </w:tcPr>
          <w:p>
            <w:pPr>
              <w:spacing w:after="0"/>
              <w:rPr>
                <w:sz w:val="19"/>
                <w:szCs w:val="19"/>
                <w:color w:val="auto"/>
              </w:rPr>
            </w:pPr>
          </w:p>
        </w:tc>
        <w:tc>
          <w:tcPr>
            <w:tcW w:w="110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8"/>
                <w:szCs w:val="18"/>
                <w:color w:val="auto"/>
              </w:rPr>
              <w:t>5,143,930</w:t>
            </w:r>
          </w:p>
        </w:tc>
      </w:tr>
    </w:tbl>
    <w:p>
      <w:pPr>
        <w:sectPr>
          <w:pgSz w:w="11900" w:h="16838" w:orient="portrait"/>
          <w:cols w:equalWidth="0" w:num="1">
            <w:col w:w="10904"/>
          </w:cols>
          <w:pgMar w:left="436" w:top="293" w:right="55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4, 2026</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STOKE THERAPEUTICS,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Thomas E. Leggett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Thomas E. Leggett</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0940"/>
      </w:cols>
      <w:pgMar w:left="440" w:top="293"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2026-06-04T15:11:42Z</dcterms:created>
  <dcterms:modified xsi:type="dcterms:W3CDTF">2026-06-04T15:11:42Z</dcterms:modified>
</cp:coreProperties>
</file>