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6"/>
        </w:rPr>
      </w:pPr>
      <w:bookmarkStart w:id="0" w:name="stok-20260630.htm"/>
      <w:bookmarkStart w:id="1" w:name="ksstok20260630"/>
      <w:bookmarkEnd w:id="0"/>
      <w:bookmarkEnd w:id="1"/>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quarterly period ended June 30, 2026</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 to ____________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001-38938</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Stoke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47-1144582</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spacing w:before="80" w:after="283"/>
              <w:jc w:val="center"/>
              <w:rPr>
                <w:rFonts w:ascii="Times New Roman" w:hAnsi="Times New Roman"/>
                <w:b/>
                <w:color w:val="000000"/>
                <w:sz w:val="20"/>
              </w:rPr>
            </w:pPr>
            <w:r>
              <w:rPr>
                <w:rFonts w:ascii="Times New Roman" w:hAnsi="Times New Roman"/>
                <w:b/>
                <w:color w:val="000000"/>
                <w:sz w:val="20"/>
              </w:rPr>
              <w:t>45 Wiggins Ave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Bedford, Massachusetts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01730</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(781) 430-8200</w:t>
      </w:r>
    </w:p>
    <w:p>
      <w:pPr>
        <w:pStyle w:val="TextBody"/>
        <w:bidi w:val="0"/>
        <w:spacing w:before="120" w:after="283"/>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bidi w:val="0"/>
        <w:jc w:val="left"/>
        <w:rPr/>
      </w:pPr>
      <w:r>
        <w:rPr/>
        <w: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p>
      <w:pPr>
        <w:pStyle w:val="TextBody"/>
        <w:bidi w:val="0"/>
        <w:jc w:val="left"/>
        <w:rPr/>
      </w:pPr>
      <w:r>
        <w:rPr/>
        <w:t> </w:t>
      </w:r>
    </w:p>
    <w:tbl>
      <w:tblPr>
        <w:tblW w:w="8140" w:type="dxa"/>
        <w:jc w:val="left"/>
        <w:tblInd w:w="0" w:type="dxa"/>
        <w:tblLayout w:type="fixed"/>
        <w:tblCellMar>
          <w:top w:w="28" w:type="dxa"/>
          <w:left w:w="28" w:type="dxa"/>
          <w:bottom w:w="28" w:type="dxa"/>
          <w:right w:w="28" w:type="dxa"/>
        </w:tblCellMar>
      </w:tblPr>
      <w:tblGrid>
        <w:gridCol w:w="3706"/>
        <w:gridCol w:w="146"/>
        <w:gridCol w:w="826"/>
        <w:gridCol w:w="146"/>
        <w:gridCol w:w="3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STOK</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July 30, 2026, the registrant had 64,526,242 shares of common stock, $0.0001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9423" w:type="dxa"/>
        <w:jc w:val="left"/>
        <w:tblInd w:w="0" w:type="dxa"/>
        <w:tblLayout w:type="fixed"/>
        <w:tblCellMar>
          <w:top w:w="28" w:type="dxa"/>
          <w:left w:w="28" w:type="dxa"/>
          <w:bottom w:w="28" w:type="dxa"/>
          <w:right w:w="28" w:type="dxa"/>
        </w:tblCellMar>
      </w:tblPr>
      <w:tblGrid>
        <w:gridCol w:w="886"/>
        <w:gridCol w:w="7966"/>
        <w:gridCol w:w="571"/>
      </w:tblGrid>
      <w:tr>
        <w:trPr/>
        <w:tc>
          <w:tcPr>
            <w:tcW w:w="886" w:type="dxa"/>
            <w:tcBorders/>
            <w:vAlign w:val="center"/>
          </w:tcPr>
          <w:p>
            <w:pPr>
              <w:pStyle w:val="TableContents"/>
              <w:bidi w:val="0"/>
              <w:spacing w:before="0" w:after="283"/>
              <w:jc w:val="left"/>
              <w:rPr>
                <w:sz w:val="4"/>
                <w:szCs w:val="4"/>
              </w:rPr>
            </w:pPr>
            <w:r>
              <w:rPr>
                <w:sz w:val="4"/>
                <w:szCs w:val="4"/>
              </w:rPr>
            </w:r>
          </w:p>
        </w:tc>
        <w:tc>
          <w:tcPr>
            <w:tcW w:w="79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Condensed consolidated balance sheets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Condensed consolidated statements of operations and comprehensive (loss) income</w:t>
              </w:r>
            </w:hyperlink>
            <w:hyperlink w:anchor="consolidated_statements_operations">
              <w:r>
                <w:rPr>
                  <w:rStyle w:val="InternetLink"/>
                  <w:rFonts w:ascii="Times New Roman" w:hAnsi="Times New Roman"/>
                  <w:color w:val="0000FF"/>
                  <w:sz w:val="20"/>
                </w:rPr>
                <w:t xml:space="preserve"> </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Condensed consolidated statements of stockholders’ equity</w:t>
            </w:r>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Condensed consolidated statements of cash flows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unaudited condensed consolidated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nregistered_sales_of_equity_securities">
              <w:r>
                <w:rPr>
                  <w:rStyle w:val="InternetLink"/>
                  <w:rFonts w:ascii="Times New Roman" w:hAnsi="Times New Roman"/>
                  <w:color w:val="0000FF"/>
                  <w:sz w:val="20"/>
                  <w:u w:val="single"/>
                </w:rPr>
                <w:t>Unregistered Sales of Equity Securities, Use of Proceeds and Issuer Purchases of Equity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9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r>
      <w:tr>
        <w:trPr/>
        <w:tc>
          <w:tcPr>
            <w:tcW w:w="88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within the safe harbor provisions for forward-looking statements contained in Section 27A of the Securities Act of 1933, as amended (the “Securities Act”) and Section 21E of the Securities Exchange Act of 1934, as amended (the “Exchange Act”). All statements other than statements of present and historical facts contained in this Quarterly Report on Form 10-Q, including, but not limited to, statements regarding the ability of zorevunersen (STK-001) to treat the underlying causes of Dravet syndrome and reduce seizures or show improvements in behavior or cognition at the indicated dosing levels or at all, the clinical development of STK-002 and our other product candidates, including the initiation, timing and expected progress of clinical trials (including our EMPEROR Phase 3 study and our OSPREY Phase 1 study), our efforts to expand our pipeline using our proprietary protein upregulation platform, the receipt of potential milestone or royalty payments or the exercise of options under our collaboration agreement with Biogen International GmbH (“Biogen”) and our collaboration agreement with Acadia Pharmaceuticals Inc. (“Acadia”), our future results of operations and financial position, business strategy, prospective products, planned preclinical studies and clinical or field trials, regulatory approvals, research and development costs, and timing and likelihood of success, as well as plans and objectives of management for future operations, may be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Forward-looking statements are based on our management’s beliefs and assumptions and on information currently available to us. Such statements are subject to a number of known and unknown risks, uncertainties and assumptions, and actual results may differ materially from those expressed or implied in the forward-looking statements due to various factors, including, but not limited to, those identified in Part I. Item 2. “Management’s Discussion and Analysis of Financial Condition and Results of Operations” and Part II. Item 1A “Risk Factors.” These risks and uncertainties include, but are not limited to: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ability to become profitable or procure sufficient funding and our limited operating history;</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our ability to develop, obtain regulatory approval for and commercialize zorevunersen, STK-002 and our future product candidates; </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success in early preclinical studies or clinical trials, which may not be indicative of results obtained in later studies or trials;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 success of our collaborations with Acadia and Biogen and our ability to enter into successful collaborations in the future;</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 availability of coverage and adequate reimbursement from third party payors for zorevunersen, STK-002 and our future product candidates, if such products are approved;</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ability to identify patients with the diseases treated by zorevunersen, STK-002 or our future product candidates, and to enroll patients in trials;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 success of our efforts to use our proprietary protein upregulation platform to expand our pipeline of product candidates and develop marketable products;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 direct and indirect impact of inflation, interest rates, foreign currency exchange rates, tariffs, instability in the global banking system, geopolitical conflict and macroeconomic conditions, including as a result of a potential temporary federal government shutdown, on our business, financial condition and operations, including on our expenses, supply chain, strategic partners, research and development costs, clinical trials and employees;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ability to obtain, maintain and protect our intellectual property;</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reliance upon intellectual property licensed from third parties;</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ability to identify, recruit and retain key personnel;</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financial performance; and</w:t>
      </w:r>
    </w:p>
    <w:p>
      <w:pPr>
        <w:pStyle w:val="TextBody"/>
        <w:bidi w:val="0"/>
        <w:spacing w:before="100" w:after="283"/>
        <w:jc w:val="left"/>
        <w:rPr>
          <w:color w:val="000000"/>
        </w:rPr>
      </w:pPr>
      <w:r>
        <w:rPr>
          <w:color w:val="000000"/>
        </w:rPr>
        <w:t>•</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developments or projections relating to our competitors or our industry.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read this Quarterly Report on Form 10-Q and the documents that we reference herein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Stoke Therapeutics, Inc.</w:t>
      </w:r>
    </w:p>
    <w:p>
      <w:pPr>
        <w:pStyle w:val="TextBody"/>
        <w:bidi w:val="0"/>
        <w:jc w:val="center"/>
        <w:rPr>
          <w:rFonts w:ascii="Times New Roman" w:hAnsi="Times New Roman"/>
          <w:sz w:val="20"/>
        </w:rPr>
      </w:pPr>
      <w:bookmarkStart w:id="4" w:name="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7016"/>
        <w:gridCol w:w="146"/>
        <w:gridCol w:w="211"/>
        <w:gridCol w:w="841"/>
        <w:gridCol w:w="166"/>
        <w:gridCol w:w="146"/>
        <w:gridCol w:w="213"/>
        <w:gridCol w:w="853"/>
        <w:gridCol w:w="613"/>
      </w:tblGrid>
      <w:tr>
        <w:trPr/>
        <w:tc>
          <w:tcPr>
            <w:tcW w:w="7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84,220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200,450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4,389</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305,700</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106,260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418,434</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11,901</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57,875</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6,961</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8,102</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65,977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par value of $0.0001 per share; 300,000,000 shares authorized, 62,402,595 and 58,921,999 shares 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849,624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(609,336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(497,715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352,457</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418,434</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sz w:val="20"/>
        </w:rPr>
      </w:pPr>
      <w:r>
        <w:rPr>
          <w:rFonts w:ascii="Times New Roman" w:hAnsi="Times New Roman"/>
          <w:i/>
          <w:color w:val="000000"/>
          <w:sz w:val="15"/>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Stoke Therapeutics, Inc.</w:t>
      </w:r>
    </w:p>
    <w:p>
      <w:pPr>
        <w:pStyle w:val="TextBody"/>
        <w:bidi w:val="0"/>
        <w:jc w:val="center"/>
        <w:rPr>
          <w:rFonts w:ascii="Times New Roman" w:hAnsi="Times New Roman"/>
          <w:sz w:val="20"/>
        </w:rPr>
      </w:pPr>
      <w:bookmarkStart w:id="5" w:name="consolidated_statements_operations"/>
      <w:bookmarkEnd w:id="5"/>
      <w:r>
        <w:rPr>
          <w:rFonts w:ascii="Times New Roman" w:hAnsi="Times New Roman"/>
          <w:b/>
          <w:color w:val="000000"/>
          <w:sz w:val="20"/>
        </w:rPr>
        <w:t>Condensed consolidated statements of operations and comprehensive (loss) income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44"/>
        <w:gridCol w:w="146"/>
        <w:gridCol w:w="211"/>
        <w:gridCol w:w="1036"/>
        <w:gridCol w:w="166"/>
        <w:gridCol w:w="146"/>
        <w:gridCol w:w="211"/>
        <w:gridCol w:w="1036"/>
        <w:gridCol w:w="166"/>
        <w:gridCol w:w="146"/>
        <w:gridCol w:w="211"/>
        <w:gridCol w:w="1036"/>
        <w:gridCol w:w="166"/>
        <w:gridCol w:w="146"/>
        <w:gridCol w:w="211"/>
        <w:gridCol w:w="1036"/>
        <w:gridCol w:w="791"/>
      </w:tblGrid>
      <w:tr>
        <w:trPr/>
        <w:tc>
          <w:tcPr>
            <w:tcW w:w="3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172,386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Sales,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88,446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83,940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90,675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89,397</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66,017,895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58,353,855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64,548,862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58,109,622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66,017,895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58,353,855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64,548,862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59,681,472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89,397</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(loss)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comprehensive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89,644</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sz w:val="20"/>
        </w:rPr>
      </w:pPr>
      <w:r>
        <w:rPr>
          <w:rFonts w:ascii="Times New Roman" w:hAnsi="Times New Roman"/>
          <w:i/>
          <w:color w:val="000000"/>
          <w:sz w:val="15"/>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Stoke Therapeutics, Inc.</w:t>
      </w:r>
    </w:p>
    <w:p>
      <w:pPr>
        <w:pStyle w:val="TextBody"/>
        <w:bidi w:val="0"/>
        <w:jc w:val="center"/>
        <w:rPr>
          <w:rFonts w:ascii="Times New Roman" w:hAnsi="Times New Roman"/>
          <w:b/>
          <w:color w:val="000000"/>
          <w:sz w:val="20"/>
        </w:rPr>
      </w:pPr>
      <w:bookmarkStart w:id="6" w:name="consolidated_statements_of_equity"/>
      <w:bookmarkEnd w:id="6"/>
      <w:r>
        <w:rPr>
          <w:rFonts w:ascii="Times New Roman" w:hAnsi="Times New Roman"/>
          <w:b/>
          <w:color w:val="000000"/>
          <w:sz w:val="20"/>
        </w:rPr>
        <w:t>Condensed consolidated statements of stockholders’ equity</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06"/>
        <w:gridCol w:w="146"/>
        <w:gridCol w:w="916"/>
        <w:gridCol w:w="146"/>
        <w:gridCol w:w="271"/>
        <w:gridCol w:w="480"/>
        <w:gridCol w:w="146"/>
        <w:gridCol w:w="218"/>
        <w:gridCol w:w="773"/>
        <w:gridCol w:w="146"/>
        <w:gridCol w:w="541"/>
        <w:gridCol w:w="1207"/>
        <w:gridCol w:w="166"/>
        <w:gridCol w:w="233"/>
        <w:gridCol w:w="893"/>
        <w:gridCol w:w="166"/>
        <w:gridCol w:w="273"/>
        <w:gridCol w:w="964"/>
        <w:gridCol w:w="414"/>
      </w:tblGrid>
      <w:tr>
        <w:trPr/>
        <w:tc>
          <w:tcPr>
            <w:tcW w:w="2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 capital</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8"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 comprehensive gain (loss)</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deficit</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7"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stockholders’</w:t>
              <w:br/>
              <w:t>equity</w:t>
            </w:r>
          </w:p>
        </w:tc>
        <w:tc>
          <w:tcPr>
            <w:tcW w:w="414"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748"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126"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237"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414"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2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54,032,826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719,997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(490,830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229,021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gain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related to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vested restricted and performance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112,879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112,879</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54,595,714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728,124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(377,951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350,074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7,598</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vested restricted and performance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(23,483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June 30,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54,723,455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736,276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(401,434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334,943</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58,921,999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849,624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(497,715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352,457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(658</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3,205</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related to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vested restricted and performance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Shares sold as part of controlled equity offering sales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2,567,014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80,658</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March 31,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62,240,347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942,704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(547,718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394,877</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(61,618</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June 30,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62,402,595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955,419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(609,336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345,547</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i/>
          <w:color w:val="000000"/>
          <w:sz w:val="15"/>
        </w:rPr>
      </w:pPr>
      <w:r>
        <w:rPr>
          <w:rFonts w:ascii="Times New Roman" w:hAnsi="Times New Roman"/>
          <w:i/>
          <w:color w:val="000000"/>
          <w:sz w:val="15"/>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Stoke Therapeutics, Inc.</w:t>
      </w:r>
    </w:p>
    <w:p>
      <w:pPr>
        <w:pStyle w:val="TextBody"/>
        <w:bidi w:val="0"/>
        <w:jc w:val="center"/>
        <w:rPr>
          <w:rFonts w:ascii="Times New Roman" w:hAnsi="Times New Roman"/>
          <w:sz w:val="20"/>
        </w:rPr>
      </w:pPr>
      <w:bookmarkStart w:id="7" w:name="consolidated_statements_cash_flows"/>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32"/>
        <w:gridCol w:w="146"/>
        <w:gridCol w:w="211"/>
        <w:gridCol w:w="841"/>
        <w:gridCol w:w="166"/>
        <w:gridCol w:w="146"/>
        <w:gridCol w:w="211"/>
        <w:gridCol w:w="841"/>
        <w:gridCol w:w="1011"/>
      </w:tblGrid>
      <w:tr>
        <w:trPr/>
        <w:tc>
          <w:tcPr>
            <w:tcW w:w="6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89,397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income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and accretion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Reduction in the carrying amount of right of 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 accrued liabilities and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106,405</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(200,569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maturity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66,030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(134,845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in controlled equity offering sales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86,239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w:t>
            </w:r>
          </w:p>
        </w:tc>
        <w:tc>
          <w:tcPr>
            <w:tcW w:w="10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(26,512</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128,780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102,268</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included in accrued expense and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40" w:after="283"/>
        <w:jc w:val="center"/>
        <w:rPr>
          <w:rFonts w:ascii="Times New Roman" w:hAnsi="Times New Roman"/>
          <w:i/>
          <w:color w:val="000000"/>
          <w:sz w:val="15"/>
        </w:rPr>
      </w:pPr>
      <w:r>
        <w:rPr>
          <w:rFonts w:ascii="Times New Roman" w:hAnsi="Times New Roman"/>
          <w:i/>
          <w:color w:val="000000"/>
          <w:sz w:val="15"/>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Stoke Therapeutics, Inc.</w:t>
      </w:r>
    </w:p>
    <w:p>
      <w:pPr>
        <w:pStyle w:val="TextBody"/>
        <w:bidi w:val="0"/>
        <w:jc w:val="center"/>
        <w:rPr>
          <w:rFonts w:ascii="Times New Roman" w:hAnsi="Times New Roman"/>
          <w:sz w:val="20"/>
        </w:rPr>
      </w:pPr>
      <w:bookmarkStart w:id="8" w:name="notes_to_consolidated_financial_statemen"/>
      <w:bookmarkEnd w:id="8"/>
      <w:r>
        <w:rPr>
          <w:rFonts w:ascii="Times New Roman" w:hAnsi="Times New Roman"/>
          <w:b/>
          <w:color w:val="000000"/>
          <w:sz w:val="20"/>
        </w:rPr>
        <w:t>Notes to condensed consolidated financial statements—(unaudited)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Nature of the business</w:t>
      </w:r>
    </w:p>
    <w:p>
      <w:pPr>
        <w:pStyle w:val="TextBody"/>
        <w:bidi w:val="0"/>
        <w:spacing w:before="120" w:after="283"/>
        <w:jc w:val="left"/>
        <w:rPr>
          <w:rFonts w:ascii="Times New Roman" w:hAnsi="Times New Roman"/>
          <w:sz w:val="20"/>
        </w:rPr>
      </w:pPr>
      <w:r>
        <w:rPr>
          <w:rFonts w:ascii="Times New Roman" w:hAnsi="Times New Roman"/>
          <w:b/>
          <w:i/>
          <w:color w:val="000000"/>
          <w:sz w:val="20"/>
        </w:rPr>
        <w:t>Organization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Stoke Therapeutics, Inc. (the "Company") was founded in June 2014 and was incorporated under the laws of the State of Delaware. The Company is a late-stage clinical company dedicated to addressing the underlying causes of severe diseases by upregulating protein expression with RNA-based medicines. </w:t>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Shelf Registration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2025, the Company filed a universal Shelf Registration statement on Form S-3 (the “2025 Registration Statement”) with the SEC. The 2025 Registration Statement was declared effective by the SEC on July 11, 2025, and contains two prospectuses: a base prospectus, which covers the offering, issuance and sale by the Company of up to a maximum aggregate offering price of $400.0 million of the Company’s common stock, preferred stock, debt securities, warrants to purchase common stock, preferred stock or debt securities, subscription rights to purchase common stock, preferred stock or debt securities and/or units consisting of some or all of these securities; and a sales agreement prospectus covering the offering, issuance and sale by the Company of up to a maximum aggregate offering price of $150.0 million of common stock that may be issued and sold under a Controlled Equity Offering Sales Agreement (the “Sales Agreement”). The Company does not intend to make any further offers or sales of its common stock pursuant to the Sales Agreement under the 2025 Registration Statement.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2026, the Company filed an automatic universal Shelf Registration Statement on Form S-3 (the “2026 Registration Statement”) with the SEC. The 2026 Registration Statement contains two prospectuses: a base prospectus, which covers the offering, issuance and sale by the Company of its common stock, preferred stock, debt securities, warrants to purchase common stock, preferred stock or debt securities, subscription rights to purchase common stock, preferred stock or debt securities and/or units consisting of some or all of these securities; and a sales agreement prospectus covering the offering, issuance and sale by the Company of up to a maximum aggregate offering price of $150.0 million of its common stock that may be issued and sold under the Sales Agreement. The specific terms of any securities to be offered pursuant to the base prospectus will be specified in a prospectus supplement to the base prospectus. The Company intends to use the 2026 Registration Statement for any future issuances and sales of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Company had issued approximately 3.2 million shares of common stock pursuant to the 2025 Registration Statement for net proceeds of $87.8 million. In addition, as of June 30, 2026, the Company had issued approximately 2.6 million shares of common stock pursuant to the Sales Agreement and the 2026 Registration Statement for net proceeds of $80.7 million. Since June 30, 2026, through the issuance of these consolidated financial statements, the Company sold approximately 2.1 million shares of our common stock pursuant to the Sales Agreement and the 2026 Registration Statement for net proceeds of $65.7 million after deducting commissions. The Company may terminate this at-the-market program under the Sales Agreement at any time, pursuant to its terms.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risks and uncertainties common to late-stage clinical companies in the biotechnology industry including, but not limited to, development by competitors of new technological innovations, dependence on key personnel, protection of proprietary technology, compliance with government regulations and ability to secure additional capital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 </w:t>
      </w:r>
    </w:p>
    <w:p>
      <w:pPr>
        <w:pStyle w:val="TextBody"/>
        <w:bidi w:val="0"/>
        <w:spacing w:before="360" w:after="283"/>
        <w:jc w:val="left"/>
        <w:rPr>
          <w:rFonts w:ascii="Times New Roman" w:hAnsi="Times New Roman"/>
          <w:sz w:val="20"/>
        </w:rPr>
      </w:pPr>
      <w:r>
        <w:rPr>
          <w:rFonts w:ascii="Times New Roman" w:hAnsi="Times New Roman"/>
          <w:b/>
          <w:i/>
          <w:color w:val="000000"/>
          <w:sz w:val="20"/>
        </w:rPr>
        <w:t>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expects that its operating losses and negative cash flows will continue for the foreseeable future. As of the issuance date of these unaudited condensed consolidated financial statements, the Company expects that its cash, cash equivalents and marketable securities will be sufficient to fund its operating expenses and capital expenditure requirements through at least twelve months from the issuance date of these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2. Summary of significant accounting policies and 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 and consolidation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 Updates of the Financial Accounting Standards Board (“FASB”). All intercompany accounts and transactions have been eliminated in consolidation.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accounting policies used in preparation of these condensed consolidated financial statements for the three and six months ended June 30, 2026 are consistent with those discussed in Note 2 to the consolidated financial statements included in the Company's 2025 Annual Report on Form 10-K, other than as noted below.</w:t>
      </w:r>
    </w:p>
    <w:p>
      <w:pPr>
        <w:pStyle w:val="TextBody"/>
        <w:bidi w:val="0"/>
        <w:spacing w:before="360" w:after="283"/>
        <w:jc w:val="left"/>
        <w:rPr>
          <w:rFonts w:ascii="Times New Roman" w:hAnsi="Times New Roman"/>
          <w:sz w:val="20"/>
        </w:rPr>
      </w:pPr>
      <w:r>
        <w:rPr>
          <w:rFonts w:ascii="Times New Roman" w:hAnsi="Times New Roman"/>
          <w:b/>
          <w:i/>
          <w:color w:val="000000"/>
          <w:sz w:val="20"/>
        </w:rPr>
        <w:t>Unaudited interim condensed consolidated</w:t>
      </w:r>
      <w:r>
        <w:rPr>
          <w:rFonts w:ascii="Times New Roman" w:hAnsi="Times New Roman"/>
          <w:color w:val="000000"/>
          <w:sz w:val="20"/>
        </w:rPr>
        <w:t xml:space="preserve"> </w:t>
      </w:r>
      <w:r>
        <w:rPr>
          <w:rFonts w:ascii="Times New Roman" w:hAnsi="Times New Roman"/>
          <w:b/>
          <w:i/>
          <w:color w:val="000000"/>
          <w:sz w:val="20"/>
        </w:rPr>
        <w:t>financial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interim unaudited condensed consolidated financial statements and related disclosures are unaudited and have been prepared in accordance with GAAP for interim financial information and the instructions to Form 10-Q and Article 10 of Regulation S-X. Accordingly, they do not include all the information and footnotes required by GAAP for complete financial statements and should be read in conjunction with the Company’s condensed consolidated financial statements and related notes as of and for the year ended December 31, 2025, which was filed with the SEC on March 16, 2026. The Company’s financial information as of June 30, 2026 and for the three and six months ended June 30, 2026 and 2025 is unaudited, but in the opinion of management, all adjustments, consisting only of normal recurring adjustments, considered necessary for a fair presentation of the financial position, results of operations and cash flows at the dates and for the periods presented of the results of these interim periods have been included. The balance sheet information as of December 31, 2025 was derived from audited condensed consolidated financial statements. The results of the Company’s operations for any interim period are not necessarily indicative of the results that may be expected for any other interim period or for a full fiscal year.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cash equivalents and 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highly liquid investments with an original maturity of three months or less at the date of purchase to be cash equivalents. The Company deposits its cash and cash equivalents in checking, sweep and money market accounts. Cash equivalents are carried at cost which approximates their fair market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June 30, 2026, restricted cash consisted of money market accounts collateralizing letters of credit issued as security deposits in connection with the Company’s leases of its corporate facilities.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and cash equivalents, and restricted cash in the condensed consolidated statements of cash flows consists of the following (in thousands): </w:t>
      </w:r>
    </w:p>
    <w:p>
      <w:pPr>
        <w:pStyle w:val="TextBody"/>
        <w:bidi w:val="0"/>
        <w:jc w:val="left"/>
        <w:rPr/>
      </w:pPr>
      <w:r>
        <w:rPr/>
        <w:t> </w:t>
      </w:r>
    </w:p>
    <w:tbl>
      <w:tblPr>
        <w:tblW w:w="6559" w:type="dxa"/>
        <w:jc w:val="left"/>
        <w:tblInd w:w="0" w:type="dxa"/>
        <w:tblLayout w:type="fixed"/>
        <w:tblCellMar>
          <w:top w:w="28" w:type="dxa"/>
          <w:left w:w="28" w:type="dxa"/>
          <w:bottom w:w="28" w:type="dxa"/>
          <w:right w:w="28" w:type="dxa"/>
        </w:tblCellMar>
      </w:tblPr>
      <w:tblGrid>
        <w:gridCol w:w="3946"/>
        <w:gridCol w:w="146"/>
        <w:gridCol w:w="211"/>
        <w:gridCol w:w="781"/>
        <w:gridCol w:w="146"/>
        <w:gridCol w:w="146"/>
        <w:gridCol w:w="211"/>
        <w:gridCol w:w="781"/>
        <w:gridCol w:w="1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present information about the Company’s financial assets measured at fair value on a recurring basis and indicate the level of the fair value hierarchy utilized to determine such fair values (in thousands): </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5091"/>
        <w:gridCol w:w="146"/>
        <w:gridCol w:w="211"/>
        <w:gridCol w:w="781"/>
        <w:gridCol w:w="146"/>
        <w:gridCol w:w="146"/>
        <w:gridCol w:w="211"/>
        <w:gridCol w:w="676"/>
        <w:gridCol w:w="146"/>
        <w:gridCol w:w="146"/>
        <w:gridCol w:w="238"/>
        <w:gridCol w:w="390"/>
        <w:gridCol w:w="146"/>
        <w:gridCol w:w="146"/>
        <w:gridCol w:w="211"/>
        <w:gridCol w:w="781"/>
        <w:gridCol w:w="593"/>
      </w:tblGrid>
      <w:tr>
        <w:trPr/>
        <w:tc>
          <w:tcPr>
            <w:tcW w:w="5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 June 30, 2026</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89,966</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89,966</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60,481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22,759</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and US Government agency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173,009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256,249</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80" w:after="283"/>
        <w:jc w:val="left"/>
        <w:rPr/>
      </w:pPr>
      <w:r>
        <w:rPr/>
        <w:t> </w:t>
      </w:r>
    </w:p>
    <w:tbl>
      <w:tblPr>
        <w:tblW w:w="10205" w:type="dxa"/>
        <w:jc w:val="left"/>
        <w:tblInd w:w="0" w:type="dxa"/>
        <w:tblLayout w:type="fixed"/>
        <w:tblCellMar>
          <w:top w:w="28" w:type="dxa"/>
          <w:left w:w="28" w:type="dxa"/>
          <w:bottom w:w="28" w:type="dxa"/>
          <w:right w:w="28" w:type="dxa"/>
        </w:tblCellMar>
      </w:tblPr>
      <w:tblGrid>
        <w:gridCol w:w="5091"/>
        <w:gridCol w:w="146"/>
        <w:gridCol w:w="211"/>
        <w:gridCol w:w="676"/>
        <w:gridCol w:w="146"/>
        <w:gridCol w:w="146"/>
        <w:gridCol w:w="211"/>
        <w:gridCol w:w="781"/>
        <w:gridCol w:w="146"/>
        <w:gridCol w:w="146"/>
        <w:gridCol w:w="238"/>
        <w:gridCol w:w="390"/>
        <w:gridCol w:w="146"/>
        <w:gridCol w:w="146"/>
        <w:gridCol w:w="211"/>
        <w:gridCol w:w="781"/>
        <w:gridCol w:w="593"/>
      </w:tblGrid>
      <w:tr>
        <w:trPr/>
        <w:tc>
          <w:tcPr>
            <w:tcW w:w="5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 December 31, 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72,890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72,890</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84,750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23,961</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and US Government agency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197,999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306,710</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cash equivalents and marketable securities are carried at fair value, determined according to the fair value hierarchy. The carrying value of the Company’s accounts payable and accrued expenses approximate their fair values due to the short-term nature of these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assets with fair value categorized as Level 1 within the fair value hierarchy include money market funds. Money market funds are publicly traded mutual funds and are presented as cash equivalents on the condensed consolidated balance sheets as of June 30, 2026 and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measures its marketable securities at fair value on a recurring basis and classifies those instruments within Level 2 of the fair value hierarchy. Marketable securities are valued using models or other valuation methodologies that use Level 2 inputs. These models are primarily industry-standard models that consider various assumptions, including time value, yield curve, volatility factors, default rates, current market and contractual prices for the underlying financial instruments, as well as other economic measures. Substantially all of these assumptions are observable in the marketplace, can be derived from observable data or are supported by observable levels at which transactions are executed in the marketplace.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transfers into or out of Level 3 in the periods presented.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Company’s marketable securities as of June 30, 2026 (in thousands):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81"/>
        <w:gridCol w:w="146"/>
        <w:gridCol w:w="250"/>
        <w:gridCol w:w="924"/>
        <w:gridCol w:w="146"/>
        <w:gridCol w:w="146"/>
        <w:gridCol w:w="445"/>
        <w:gridCol w:w="732"/>
        <w:gridCol w:w="146"/>
        <w:gridCol w:w="146"/>
        <w:gridCol w:w="348"/>
        <w:gridCol w:w="796"/>
        <w:gridCol w:w="166"/>
        <w:gridCol w:w="146"/>
        <w:gridCol w:w="211"/>
        <w:gridCol w:w="781"/>
        <w:gridCol w:w="595"/>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60,481</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22,759</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and US Government agency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173,009</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256,249</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 summarizes the Company’s marketable securities as of December 31, 2025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54"/>
        <w:gridCol w:w="146"/>
        <w:gridCol w:w="256"/>
        <w:gridCol w:w="949"/>
        <w:gridCol w:w="146"/>
        <w:gridCol w:w="146"/>
        <w:gridCol w:w="408"/>
        <w:gridCol w:w="819"/>
        <w:gridCol w:w="146"/>
        <w:gridCol w:w="146"/>
        <w:gridCol w:w="427"/>
        <w:gridCol w:w="762"/>
        <w:gridCol w:w="166"/>
        <w:gridCol w:w="146"/>
        <w:gridCol w:w="211"/>
        <w:gridCol w:w="781"/>
        <w:gridCol w:w="196"/>
      </w:tblGrid>
      <w:tr>
        <w:trPr/>
        <w:tc>
          <w:tcPr>
            <w:tcW w:w="43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and US Government agency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197,999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306,710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weighted average maturity of the Company’s short term marketable securities is 0.52 years and the weighted average maturity of the Company's long term marketable securities is 1.3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did not record an allowance for credit losses as of June 30, 2026 related to its marketable securities. Further, given the lack of significant change in the credit risk of these investments, the Company did not recognize any other-than-temporary impairment losses.</w:t>
      </w:r>
    </w:p>
    <w:p>
      <w:pPr>
        <w:pStyle w:val="TextBody"/>
        <w:bidi w:val="0"/>
        <w:spacing w:before="360" w:after="283"/>
        <w:jc w:val="left"/>
        <w:rPr>
          <w:rFonts w:ascii="Times New Roman" w:hAnsi="Times New Roman"/>
          <w:sz w:val="20"/>
        </w:rPr>
      </w:pPr>
      <w:r>
        <w:rPr>
          <w:rFonts w:ascii="Times New Roman" w:hAnsi="Times New Roman"/>
          <w:b/>
          <w:color w:val="000000"/>
          <w:sz w:val="20"/>
        </w:rPr>
        <w:t>5. Accrued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and other current liabilities consisted of the following (in thousands):</w:t>
      </w:r>
    </w:p>
    <w:p>
      <w:pPr>
        <w:pStyle w:val="TextBody"/>
        <w:bidi w:val="0"/>
        <w:spacing w:before="120" w:after="283"/>
        <w:jc w:val="left"/>
        <w:rPr/>
      </w:pPr>
      <w:r>
        <w:rPr/>
        <w:t> </w:t>
      </w:r>
    </w:p>
    <w:tbl>
      <w:tblPr>
        <w:tblW w:w="6302" w:type="dxa"/>
        <w:jc w:val="left"/>
        <w:tblInd w:w="0" w:type="dxa"/>
        <w:tblLayout w:type="fixed"/>
        <w:tblCellMar>
          <w:top w:w="28" w:type="dxa"/>
          <w:left w:w="28" w:type="dxa"/>
          <w:bottom w:w="28" w:type="dxa"/>
          <w:right w:w="28" w:type="dxa"/>
        </w:tblCellMar>
      </w:tblPr>
      <w:tblGrid>
        <w:gridCol w:w="3691"/>
        <w:gridCol w:w="146"/>
        <w:gridCol w:w="211"/>
        <w:gridCol w:w="676"/>
        <w:gridCol w:w="146"/>
        <w:gridCol w:w="146"/>
        <w:gridCol w:w="260"/>
        <w:gridCol w:w="835"/>
        <w:gridCol w:w="1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employee compensation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6.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lease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determines whether an arrangement is a lease at inception. The Company accounts for a lease when it has the right to control the leased asset for a period of time while obtaining substantially all of the assets’ economic benefits. Operating lease right-of-use assets and operating lease liabilities are recognized based on the present value of the future minimum lease payments over the lease term at the lease commencement date. The discount rate used to determine the present value of the lease payments is the Company’s incremental borrowing rate based on the information available at lease inception, as the Company did not have information to determine the rate implicit in the leases. Lease expense for operating leases is recognized on a straight-line basis over the reasonably assured lease term based on the total lease payments (which include initial direct costs and lease incentives). Lease expense is included in operating expenses in the condensed consolidated statements of operations and comprehensive (loss) income. The Company’s lease agreements also contain variable payments, primarily maintenance-related costs, which are expensed as incurred and not included in the measurement of the right-of-use assets and lease liabilities.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2018, the Company entered into an agreement to lease approximately 23,000 square feet of space for a term of three years. Lease terms are triple net lease commencing at $0.9 million per year, then with 3% annual base rent increases plus operating expenses, real estate taxes, utilities and janitorial fees. The lease commencement date was December 10, 2018.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2021, the Company entered into an agreement to extend the initial term of the 23,000 square foot lease for a period of three years commencing on December 15, 2021 and ending December 31, 2024. In addition, this lease provides for the lease of an additional 15,000 square feet of rentable space beginning on April 1, 2022 and ending on December 31, 2024. In December 2021, the Company recognized a right-of-use asset and operating lease liability of $3.5 million for the 23,000 square feet. On April 1, 2022, the Company recognized a right-of-use asset and operating lease liability of $1.8 million for the 15,000 square feet.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Company entered into an agreement to extend the term of the 38,000 square foot lease for a period of two years commencing on January 1, 2025 and ending on December 31, 2026. In December 2023, the Company recognized a right-of-use asset and operating lease liability of $4.1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the Company entered into an agreement to lease 7,581 square feet of space for an initial term of three years and three months. The lease includes two renewal options for an additional three years each. Lease terms commence at $0.7 million per annum, with 2.0% annual base rent increases plus operating expenses, real estate taxes, and utilities. The lease commencement date was July 8, 2025. In July 2025, the Company recognized a right-of-use asset and operating lease liability of $1.8 million. In September 2025, the Company entered into a sublease agreement for the 7,581 square feet of space for a term equal to the initial term of the original lease. Sublease terms commence at $0.4 million per annum with 2% annual rent increases. As a result of this sublease, the Company recognized a right of use asset impairment of $0.7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21, 2026, the Company entered into a new lease for its corporate headquarters and laboratory space with NWALP PHOP Property Owner LLC, located at 245 Fifth Avenue, Waltham, Massachusetts (the “Lease Agreement”), in order to expand its office and laboratory space. The Lease Agreement premises include approximately 98,500 square feet. The Lease Agreement will expire on March 31, 2038, and includes two options to further extend the Lease Agreement for an additional five years at the then-prevailing market rate. The aggregate estimated base rent payments due over the term of the Lease Agreement is approximately $86.6 million. The Company paid a security deposit of $3.0 million in the form of an irrevocable standby letter of credit, which may be reduced over time in accordance with the terms of the Lease Agreement. The Company expects to occupy the space late in 2026 and has evaluated build to suit considerations 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minimum lease payments under non-cancellable leases as of June 30, 2026 were as follows (in thousands): </w:t>
      </w:r>
    </w:p>
    <w:p>
      <w:pPr>
        <w:pStyle w:val="TextBody"/>
        <w:bidi w:val="0"/>
        <w:jc w:val="left"/>
        <w:rPr/>
      </w:pPr>
      <w:r>
        <w:rPr/>
        <w:t> </w:t>
      </w:r>
    </w:p>
    <w:tbl>
      <w:tblPr>
        <w:tblW w:w="3825" w:type="dxa"/>
        <w:jc w:val="left"/>
        <w:tblInd w:w="0" w:type="dxa"/>
        <w:tblLayout w:type="fixed"/>
        <w:tblCellMar>
          <w:top w:w="28" w:type="dxa"/>
          <w:left w:w="28" w:type="dxa"/>
          <w:bottom w:w="28" w:type="dxa"/>
          <w:right w:w="28" w:type="dxa"/>
        </w:tblCellMar>
      </w:tblPr>
      <w:tblGrid>
        <w:gridCol w:w="2686"/>
        <w:gridCol w:w="146"/>
        <w:gridCol w:w="211"/>
        <w:gridCol w:w="571"/>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Lease balances as of June 30, 2026 were as follows (in thousands):</w:t>
      </w:r>
    </w:p>
    <w:p>
      <w:pPr>
        <w:pStyle w:val="TextBody"/>
        <w:bidi w:val="0"/>
        <w:jc w:val="left"/>
        <w:rPr/>
      </w:pPr>
      <w:r>
        <w:rPr/>
        <w:t> </w:t>
      </w:r>
    </w:p>
    <w:tbl>
      <w:tblPr>
        <w:tblW w:w="5170" w:type="dxa"/>
        <w:jc w:val="left"/>
        <w:tblInd w:w="0" w:type="dxa"/>
        <w:tblLayout w:type="fixed"/>
        <w:tblCellMar>
          <w:top w:w="28" w:type="dxa"/>
          <w:left w:w="28" w:type="dxa"/>
          <w:bottom w:w="28" w:type="dxa"/>
          <w:right w:w="28" w:type="dxa"/>
        </w:tblCellMar>
      </w:tblPr>
      <w:tblGrid>
        <w:gridCol w:w="4051"/>
        <w:gridCol w:w="146"/>
        <w:gridCol w:w="211"/>
        <w:gridCol w:w="571"/>
        <w:gridCol w:w="1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weighted average remaining lease term and weighted average discount rate of the Company’s operating leases as of June 30, 2026 were as follows: </w:t>
      </w:r>
    </w:p>
    <w:p>
      <w:pPr>
        <w:pStyle w:val="TextBody"/>
        <w:bidi w:val="0"/>
        <w:jc w:val="left"/>
        <w:rPr/>
      </w:pPr>
      <w:r>
        <w:rPr/>
        <w:t> </w:t>
      </w:r>
    </w:p>
    <w:tbl>
      <w:tblPr>
        <w:tblW w:w="5170" w:type="dxa"/>
        <w:jc w:val="left"/>
        <w:tblInd w:w="0" w:type="dxa"/>
        <w:tblLayout w:type="fixed"/>
        <w:tblCellMar>
          <w:top w:w="28" w:type="dxa"/>
          <w:left w:w="28" w:type="dxa"/>
          <w:bottom w:w="28" w:type="dxa"/>
          <w:right w:w="28" w:type="dxa"/>
        </w:tblCellMar>
      </w:tblPr>
      <w:tblGrid>
        <w:gridCol w:w="3991"/>
        <w:gridCol w:w="146"/>
        <w:gridCol w:w="146"/>
        <w:gridCol w:w="571"/>
        <w:gridCol w:w="316"/>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Lease expense incurred under operating leases was $0.6 million and $0.7 million for the three months ended June 30, 2026 and 2025, respectively, and was $1.2 million and $1.4 million for the six months ended June 30, 2026 and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License and research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2016, the Company entered into an exclusive, worldwide license agreement with the University of Southampton (the “Southampton Agreement”), whereby the Company acquired rights to foundational technologies related to the Company’s proprietary protein upregulation platform technology. Under the Southampton Agreement, the Company receives an exclusive, worldwide license under certain licensed patents and applications relating to the Company's proprietary protein upregulation platform. Under the Southampton Agreement, the Company may be obligated to make additional payments that are contingent upon certain milestones being achieved, as well as royalties on future product sales. These royalty obligations survive until the latest of (i) the expiration of the last valid claim of a licensed patent covering a subject product or (ii) the expiration of any regulatory exclusivity for the subject product in a country. In addition, if the Company sublicenses its rights under the Southampton Agreement, the Company is required to pay a mid-single digit percentage of the sublicense revenue to the University of Southampton. As of June 30, 2026, the Company had paid $8.9 million under the Southampton Agreement as a result of the Acadia license and collaboration agreement and the Biogen license and collaboration agreement. Additionally, certain licenses under the Southampton Agreement require the Company to reimburse the University of Southampton for certain past and ongoing patent related expenses. For the three and six months ended June 30, 2026 and June 30, 2025 these expenses were immaterial.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may periodically become subject to legal proceedings and claims arising in connection with ongoing business activities, including claims or disputes related to patents that have been issued or that are pending in the field of research on which it is focused. As of June 30, 2026 and December 31, 2025, the Company was not subject to any legal proceedings and no legal proceedings are currently pending or threatened to which it was a party or to which its property was subject that, in the opinion of management, would have a material adverse effect on its business.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License and collaboration agreements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Acadia Pharmaceuticals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2022, the Company entered into a License and Collaboration Agreement (the “Acadia Agreement”) with Acadia Pharmaceuticals Inc. (“Acadia”) for the discovery, development and commercialization of novel RNA-based medicines for the treatment of severe and rare genetic neurodevelopmental diseases of the central nervous system. The Acadia Agreement focused on the targets SYNGAP1, MECP2 (Rett syndrome), and an undisclosed neurodevelopmental target of mutual interest. In connection with each target, the Company agreed to collaborate with Acadia to identify potential treatments for further development and commercialization as licensed products. With respect to SYNGAP1, the Company agreed with Acadia to co-develop and co-commercialize licensed products for such target globally, and in connection therewith the Company granted to Acadia worldwide, co-exclusive (with the Company) licenses for such licensed products. With respect to MECP2 and the neurodevelopmental target, the Company granted Acadia worldwide, exclusive licenses to develop and commercialize licensed products for such targets. In September 2025, Acadia terminated the MECP2 and the undisclosed neurodevelopmental programs under the Acadia Agreement (the “Discontinued Acadia Programs”) and rights to these targets returned to the Company. The collaboration with Acadia with respect to SYNGAP1 remains ongoing.</w:t>
      </w:r>
    </w:p>
    <w:p>
      <w:pPr>
        <w:pStyle w:val="TextBody"/>
        <w:bidi w:val="0"/>
        <w:spacing w:before="120" w:after="283"/>
        <w:jc w:val="left"/>
        <w:rPr>
          <w:rFonts w:ascii="Times New Roman" w:hAnsi="Times New Roman"/>
          <w:sz w:val="20"/>
        </w:rPr>
      </w:pPr>
      <w:r>
        <w:rPr>
          <w:rFonts w:ascii="Times New Roman" w:hAnsi="Times New Roman"/>
          <w:color w:val="000000"/>
          <w:sz w:val="20"/>
        </w:rPr>
        <w:t>Pursuant to the terms of the Acadia Agreement, the Company received an upfront payment of $60.0 million from Acadia. Acadia agreed to fund the research for the Discontinued Acadia Programs, and the Company will equally fund with Acadia the research to identify potential licensed products for SYNGAP1. The Company is eligible to receive up to $245.0 million in potential total milestone payments based upon the achievement of certain development, regulatory, first commercial sales and sales milestone events for the SYNGAP1 program, assuming each milestone were achieved at least once. For SYNGAP1 licensed products that the Company is co-developing and co-commercializing, the Company will be responsible for 50% of the development and commercialization costs and will receive 50% of the profits from global commercialization. The Company is provided with a co-development and co-commercialization opt out option relating to the SYNGAP1 target indication at the Company’s discretion. Such opt-out would reduce development and commercialization milestones but would provide the Company with royalties on an escalating basis attributable to net sales milestones. As a result of the termination of the Discontinued Acadia Programs, the Company is no longer eligible to receive the milestones for those programs of up to $662.5 million or any royalties related thereto</w:t>
      </w:r>
      <w:r>
        <w:rPr>
          <w:rFonts w:ascii="Times New Roman" w:hAnsi="Times New Roman"/>
          <w:color w:val="000000"/>
          <w:sz w:val="24"/>
        </w:rPr>
        <w: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Acadia Agreement accounting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commencement of the Acadia Agreement, the Company identified three performance obligations consisting of pre-clinical research activities for each of the three targets, SYNGAP1, MECP2, and the undisclosed neurodevelopmental target. The exclusive or co-exclusive licenses granted to Acadia to conduct pre-clinical research activities on each of the three targets, and participation on each of the respective joint research committees were identified as promised services. However, the licenses granted to Acadia and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activities were determined to be not distinct from each other, and therefore are considered a combined performance obligation for each of the three targets. Participation on each of the joint research committees was determined to be quantitatively and qualitatively immaterial in the context of the arrangement with Acadia.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recognizing the transaction price for the pre-clinical research activities for the remaining target over time as the research services are provided. The transfer of control to Acadia occurs over this time period, and in management’s judgment, is the best measure of progress towards satisfying the performance obligation. An input method is used that measures the cost incurred to date in satisfying each of the three research activities in relation to the estimated total projected cost of each of the research activities to fulfill the respective obligations. The cumulative effect of revisions to estimated costs and/or the transaction price to complete the research performance obligations will be recorded in the period in which changes are identified and amounts can be reasonably estimated.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Milestone payments that are not within the control of the Company, such as regulatory approvals, are not considered probable of being achieved until those approvals are received. For other milestones, the Company evaluated factors such as the scientific, clinical, regulatory, commercial, and other risks that must be overcome to achieve the particular milestone in making this assessment. Milestones that are outside of the Company’s or Acadia’s control will not be recognized until such milestones are achieved. As to the other milestones, to date, no milestone payments have been included in the transaction price due to the uncertainty as to whether these milestones will be achieved. The Company will at the end of each reporting period reevaluate the probability of achievement of all milestones subject to constraint and, if necessary, adjust its estimate of the overall transaction price for each of the research activities on the three targets. Any such adjustments will be recorded on a cumulative catch-up basis.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As of June 30, 2026, the Company had $1.8 million in receivables and $4.3 million recorded as current deferred revenue under the Acadia Agreement, related to performance obligations that were either unsatisfied or partially unsatisfied. Revenue recognized under the Acadia collaboration was $2.8 million and $10.7 million for the three months ended June 30, 2026 and 2025, respectively. For the six months ended June 30, 2026 and 2025, the Company recognized $5.0 million and $16.8 million, respectively, in revenue related to the Acadia Agreement.</w:t>
      </w:r>
    </w:p>
    <w:p>
      <w:pPr>
        <w:pStyle w:val="TextBody"/>
        <w:bidi w:val="0"/>
        <w:spacing w:before="200" w:after="283"/>
        <w:jc w:val="left"/>
        <w:rPr>
          <w:rFonts w:ascii="Times New Roman" w:hAnsi="Times New Roman"/>
          <w:sz w:val="20"/>
        </w:rPr>
      </w:pPr>
      <w:r>
        <w:rPr>
          <w:rFonts w:ascii="Times New Roman" w:hAnsi="Times New Roman"/>
          <w:b/>
          <w:color w:val="000000"/>
          <w:sz w:val="20"/>
        </w:rPr>
        <w:t>Biogen International GmbH License and Collaboration Agreement</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On February 14, 2025, the Company entered into a License and Collaboration Agreement (the “Biogen Agreement”) with Biogen International GmbH (“Biogen”) for the joint development and commercialization of zorevunersen and other compounds targeting the SCN1A gene (the “Licensed Product”).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Under the terms of the Biogen Agreement, the Company granted Biogen an exclusive, royalty bearing license to develop, manufacture and commercialize licensed products outside the United States, Canada and Mexico (the “Biogen Territory”). Biogen also has an option to exercise an exclusive, royalty-bearing, sublicensable and transferable license to certain future follow on antisense oligonucleotides (“ASOs”) directed to SCN1A controlled by the Company. The parties are jointly developing zorevunersen, with the Company leading global development, and development costs are shared pursuant to an agreed budget, with the Company responsible for 70% and Biogen responsible for 30%.</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 received an upfront payment of $165.0 million and is eligible to receive development and commercial milestones that could total up to approximately $50.0 million and $335.0 million, respectively if all the specified milestones set forth in the collaboration arrangement are achieved. The Company is also eligible to receive tiered, double-digit royalties ranging from the low double digits to the high teen percentages on future net sales in the Licensed Product territory. As of June 30, 2026, no milestones have been achieved.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Biogen Agreement accounting</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Company determined that the Biogen Agreement represents a contract with a customer under ASC 606 and identified two performance obligations: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license granted to Biogen (the “IP License”);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services, that are expected to generate data necessary for regulatory approval in the Biogen Territory for the Licensed Product (“Global Development Activities”).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initial transaction price was $243.4 million, consisting of the non-refundable upfront payment of $165.0 million and $78.4 million estimated variable consideration related to development cost reimbursements for Global Development Activities. Sales-based royalties and milestone payments were excluded from the transaction price as they were either subject to the sales- or usage-based royalty exception or fully constrained due to uncertainty.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transaction price was allocated to the performance obligations based on their relative standalone selling prices. Revenue allocated to the IP License was recognized upon transfer of the license in February 2025. Revenue related to Global Development Activities is recognized over time using a cost-based measure of progress, which is considered by the Company to be appropriate as there is a direct relationship between the costs incurred and satisfaction of the performance obligation. The Company evaluates the measure of progress each reporting period and, if necessary, adjusts the measure of performance and related revenue recognition.</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a summary of the transaction price allocated to each performance obligation, in addition to revenue activity for the six months ended June 30, 2026 and June 30, 2025 (in thousands):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354"/>
        <w:gridCol w:w="146"/>
        <w:gridCol w:w="712"/>
        <w:gridCol w:w="1171"/>
        <w:gridCol w:w="146"/>
        <w:gridCol w:w="343"/>
        <w:gridCol w:w="1105"/>
        <w:gridCol w:w="146"/>
        <w:gridCol w:w="146"/>
        <w:gridCol w:w="401"/>
        <w:gridCol w:w="1485"/>
        <w:gridCol w:w="146"/>
        <w:gridCol w:w="146"/>
        <w:gridCol w:w="310"/>
        <w:gridCol w:w="1151"/>
        <w:gridCol w:w="297"/>
      </w:tblGrid>
      <w:tr>
        <w:trPr/>
        <w:tc>
          <w:tcPr>
            <w:tcW w:w="23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7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Transaction Price Allocated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 Recognized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Transaction Price Allocated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 Recognized</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IP License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150,779</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Global Development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4,839</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155,618</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As of June 30, 2026, the Company had $5.4 million of receivables and $9.8 million of deferred contract consideration related to the Biogen Agreement, of which $4.2 million was classified as current deferred revenue. For the three months ended June 30, 2026 and 2025, the Company recognized revenue of $6.5 million and $3.2 million, respectively, and for the six months ended June 30, 2026 and 2025, the Company recognized $10.6 million and $155.6 million, respectively, under the Biogen Agreement. The Company expects the full recognition of the deferred contract consideration in December 2028.</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8. Equity incentive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there were no shares available for future issuance under the 2014 Plan, 2,078,770 shares were available under the 2019 Plan and 2,160,047 shares were available under the 2023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the Company granted options to purchase 529,855 shares of common stock to certain of its employees. The options vest over a period of up to four years and are exercisable at a per share price equal to the fair value of the common stock on the grant date. During the three months ended June 30, 2026, the Company granted 12,000 RSUs and did not grant any performance stock units (“PSUs”) to its employees. The RSUs vest over a period of up to four years.</w:t>
      </w:r>
    </w:p>
    <w:p>
      <w:pPr>
        <w:pStyle w:val="TextBody"/>
        <w:bidi w:val="0"/>
        <w:spacing w:before="36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there was $83.1 million of unrecognized compensation cost related to unvested stock options granted under the 2019 and 2023 Plans. Compensation expense is expected to be recognized over a weighted average period of 2.8 years as of June 30, 2026. As of June 30, 2026, there was $39.7 million of unrecognized stock-based compensation related to RSUs and $0.05 million of unrecognized stock-based compensation related to PSUs. The compensation expense for RSUs and PSUs is expected to be recognized over a weighted average period of 2.8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Stock-based compensation expense recorded as research and development and sales, general and administrative expenses in the accompanying condensed consolidated statements of operations and comprehensive (loss) income is as follows (in thousands): </w:t>
      </w:r>
    </w:p>
    <w:p>
      <w:pPr>
        <w:pStyle w:val="TextBody"/>
        <w:bidi w:val="0"/>
        <w:spacing w:before="120" w:after="283"/>
        <w:jc w:val="left"/>
        <w:rPr/>
      </w:pPr>
      <w:r>
        <w:rPr/>
        <w:t> </w:t>
      </w:r>
    </w:p>
    <w:tbl>
      <w:tblPr>
        <w:tblW w:w="7896" w:type="dxa"/>
        <w:jc w:val="left"/>
        <w:tblInd w:w="0" w:type="dxa"/>
        <w:tblLayout w:type="fixed"/>
        <w:tblCellMar>
          <w:top w:w="28" w:type="dxa"/>
          <w:left w:w="28" w:type="dxa"/>
          <w:bottom w:w="28" w:type="dxa"/>
          <w:right w:w="28" w:type="dxa"/>
        </w:tblCellMar>
      </w:tblPr>
      <w:tblGrid>
        <w:gridCol w:w="2791"/>
        <w:gridCol w:w="146"/>
        <w:gridCol w:w="243"/>
        <w:gridCol w:w="781"/>
        <w:gridCol w:w="168"/>
        <w:gridCol w:w="168"/>
        <w:gridCol w:w="243"/>
        <w:gridCol w:w="659"/>
        <w:gridCol w:w="146"/>
        <w:gridCol w:w="146"/>
        <w:gridCol w:w="211"/>
        <w:gridCol w:w="677"/>
        <w:gridCol w:w="146"/>
        <w:gridCol w:w="146"/>
        <w:gridCol w:w="211"/>
        <w:gridCol w:w="677"/>
        <w:gridCol w:w="146"/>
        <w:gridCol w:w="1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4,372</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6,430</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10,802</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2019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2019, the Company adopted the 2019 Employee Stock Purchase Plan (the “ESPP”), which became effective on June 18, 2019. The Company initially reserved 315,000 shares of common stock for sale under the ESPP. At June 30, 2026, the Company had 2,608,136 shares available for issuance under the ESPP. The average grant date fair value per share under the ESPP was $30.90 for 2026. The total ESPP stock-based compensation expense for the three and six months ended June 30, 2026 was $0.2 million and $0.4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million, respectively, and for the three and six months ended June 30, 2025 was $0.1 million and $0.3 million, respectively. The number of shares reserved for issuance under the ESPP will increase automatically on January 1 of each of the first ten calendar years following the first offering date by the number of shares equal to the lesser of 1% of the total outstanding shares of the Company’s common stock as of the immediately preceding December 31 or a lower amount determined by the Company’s board of directors. The aggregate number of shares issued over the term of the ESPP will not exceed 3,150,000 shares of the Company’s common stock.</w:t>
      </w:r>
    </w:p>
    <w:p>
      <w:pPr>
        <w:pStyle w:val="TextBody"/>
        <w:bidi w:val="0"/>
        <w:spacing w:before="360" w:after="283"/>
        <w:jc w:val="left"/>
        <w:rPr>
          <w:rFonts w:ascii="Times New Roman" w:hAnsi="Times New Roman"/>
          <w:sz w:val="20"/>
        </w:rPr>
      </w:pPr>
      <w:r>
        <w:rPr>
          <w:rFonts w:ascii="Times New Roman" w:hAnsi="Times New Roman"/>
          <w:b/>
          <w:color w:val="000000"/>
          <w:sz w:val="20"/>
        </w:rPr>
        <w:t>9. Net (loss) income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computation of basic and diluted net loss per share of the Company (in thousands except share and per share amounts):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98"/>
        <w:gridCol w:w="146"/>
        <w:gridCol w:w="211"/>
        <w:gridCol w:w="1036"/>
        <w:gridCol w:w="166"/>
        <w:gridCol w:w="146"/>
        <w:gridCol w:w="211"/>
        <w:gridCol w:w="1036"/>
        <w:gridCol w:w="166"/>
        <w:gridCol w:w="146"/>
        <w:gridCol w:w="211"/>
        <w:gridCol w:w="1036"/>
        <w:gridCol w:w="166"/>
        <w:gridCol w:w="146"/>
        <w:gridCol w:w="211"/>
        <w:gridCol w:w="1036"/>
        <w:gridCol w:w="146"/>
        <w:gridCol w:w="591"/>
      </w:tblGrid>
      <w:tr>
        <w:trPr/>
        <w:tc>
          <w:tcPr>
            <w:tcW w:w="33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number of common shares,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66,017,895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58,353,855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64,548,862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58,109,622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number of common shares,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66,017,895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58,353,855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64,548,862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59,681,472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income per share,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income per share,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As the Company had net income during the six months ended June 30, 2025, the Company’s potential dilutive securities, which include stock options, RSUs and PSUs, were included in the calculation of diluted net income per share attributable to common stockholders.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For the three and six months ended June 30, 2026 and the three months ended June 30, 2025, the Company incurred a net loss. Weighted-average shares outstanding used to calculate basic net loss per share includes 3,703,730 warrants outstanding during the period. The Company’s potential dilutive securities, which include stock options, restricted stock units and performance stock units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for the three and six months ended June 30, 2026 and the three months ended June 30, 2025.</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 excluded the following potential common stock, presented based on amounts outstanding at June 30, 2026 and 2025 from the computation of diluted net (loss) income per share attributable to common stockholders because including them would have had an anti-dilutive effect.</w:t>
      </w:r>
    </w:p>
    <w:tbl>
      <w:tblPr>
        <w:tblW w:w="9827" w:type="dxa"/>
        <w:jc w:val="left"/>
        <w:tblInd w:w="0" w:type="dxa"/>
        <w:tblLayout w:type="fixed"/>
        <w:tblCellMar>
          <w:top w:w="28" w:type="dxa"/>
          <w:left w:w="28" w:type="dxa"/>
          <w:bottom w:w="28" w:type="dxa"/>
          <w:right w:w="28" w:type="dxa"/>
        </w:tblCellMar>
      </w:tblPr>
      <w:tblGrid>
        <w:gridCol w:w="3991"/>
        <w:gridCol w:w="146"/>
        <w:gridCol w:w="146"/>
        <w:gridCol w:w="1036"/>
        <w:gridCol w:w="146"/>
        <w:gridCol w:w="146"/>
        <w:gridCol w:w="146"/>
        <w:gridCol w:w="1036"/>
        <w:gridCol w:w="146"/>
        <w:gridCol w:w="146"/>
        <w:gridCol w:w="146"/>
        <w:gridCol w:w="1036"/>
        <w:gridCol w:w="146"/>
        <w:gridCol w:w="146"/>
        <w:gridCol w:w="146"/>
        <w:gridCol w:w="931"/>
        <w:gridCol w:w="1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11,532,638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9,523,757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11,532,638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7,408,212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544,976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13,690,336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11,540,400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13,690,336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7,953,188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10. Income taxes</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For the six months ended June 30, 2026, the Company did not have any income tax expense recorded in its condensed consolidated statements of operations and comprehensive (loss) income. For the six months ended June 30, 2025, the Company recorded federal and state tax expense of $1.1 million and $0.1 million, respectively due to recognizing income from the Biogen collaboration, offset by net operating loss carryforwards that were able to be utilized to the extent allowable by tax law. Prior recorded income tax expense of $1.1 million and $0.1 million for federal and state, respectively, were reversed due to the passage on July 4, 2025 of the One Big Beautiful Bill Act. The Company has provided a valuation allowance for the full amount of its net deferred tax assets as of June 30, 2026 and December 31, 2025, as management has determined it is more likely than not that any future benefit from deductible temporary differences and net operating loss and tax credit carryforwards would not be realized.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Segment Information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 comprises one reportable segment, Stoke. As of June 30, 2026, this segment has not generated any product revenue since inception, as it does not yet have approved products for sale.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primarily generates revenue in North America, with its long-lived assets also concentrated in this region, and manages its business activities on a consolidated basis. Decisions concerning the allocation of the Company’s resources are made by the Company’s Chief Operating Decision Maker (“CODM”), which is the Company’s Chief Executive Officer. The CODM views the Company’s operations as a single operating segment which is the business of discovering and developing RNA-based medicines, using the Company's proprietary protein upregulation platform and developing ASOs to selectively restore protein levels.</w:t>
      </w:r>
    </w:p>
    <w:p>
      <w:pPr>
        <w:pStyle w:val="TextBody"/>
        <w:bidi w:val="0"/>
        <w:jc w:val="left"/>
        <w:rPr>
          <w:rFonts w:ascii="Times New Roman" w:hAnsi="Times New Roman"/>
          <w:color w:val="000000"/>
          <w:sz w:val="20"/>
        </w:rPr>
      </w:pPr>
      <w:r>
        <w:rPr>
          <w:rFonts w:ascii="Times New Roman" w:hAnsi="Times New Roman"/>
          <w:color w:val="000000"/>
          <w:sz w:val="20"/>
        </w:rPr>
        <w:t>The CODM assesses performance for the Company's operations segment and decides how to allocate resources based on net income or loss that is also reported on the income statement as consolidated net income or loss and the measure of segment assets as reported on the balance sheet as total consolidated assets. Net income or loss is used to monitor budget versus actual results as well as assess the general performance of the segment in a given period.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reconciles segment direct profit or loss to the Company’s condensed consolidated results (in thousands):</w:t>
      </w:r>
    </w:p>
    <w:tbl>
      <w:tblPr>
        <w:tblW w:w="9179" w:type="dxa"/>
        <w:jc w:val="left"/>
        <w:tblInd w:w="0" w:type="dxa"/>
        <w:tblLayout w:type="fixed"/>
        <w:tblCellMar>
          <w:top w:w="28" w:type="dxa"/>
          <w:left w:w="28" w:type="dxa"/>
          <w:bottom w:w="28" w:type="dxa"/>
          <w:right w:w="28" w:type="dxa"/>
        </w:tblCellMar>
      </w:tblPr>
      <w:tblGrid>
        <w:gridCol w:w="3791"/>
        <w:gridCol w:w="146"/>
        <w:gridCol w:w="216"/>
        <w:gridCol w:w="756"/>
        <w:gridCol w:w="170"/>
        <w:gridCol w:w="149"/>
        <w:gridCol w:w="216"/>
        <w:gridCol w:w="756"/>
        <w:gridCol w:w="166"/>
        <w:gridCol w:w="146"/>
        <w:gridCol w:w="211"/>
        <w:gridCol w:w="841"/>
        <w:gridCol w:w="166"/>
        <w:gridCol w:w="146"/>
        <w:gridCol w:w="211"/>
        <w:gridCol w:w="781"/>
        <w:gridCol w:w="311"/>
      </w:tblGrid>
      <w:tr>
        <w:trPr/>
        <w:tc>
          <w:tcPr>
            <w:tcW w:w="3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172,386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Zorevunersen</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ADOA</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SYNGAP1</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MECP2</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external program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Payroll and other personnel costs - R&amp;D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Payroll and other personnel costs - SG&amp;A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non-program costs - R&amp;D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non-program costs - SG&amp;A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(61,618</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89,397</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Includes external research and development and sales, general and administrative expenses associated with programs.</w:t>
      </w:r>
    </w:p>
    <w:p>
      <w:pPr>
        <w:pStyle w:val="TextBody"/>
        <w:bidi w:val="0"/>
        <w:jc w:val="left"/>
        <w:rPr>
          <w:rFonts w:ascii="Times New Roman" w:hAnsi="Times New Roman"/>
          <w:color w:val="000000"/>
          <w:sz w:val="20"/>
        </w:rPr>
      </w:pPr>
      <w:r>
        <w:rPr>
          <w:rFonts w:ascii="Times New Roman" w:hAnsi="Times New Roman"/>
          <w:color w:val="000000"/>
          <w:sz w:val="20"/>
        </w:rPr>
        <w:t>(2) Includes salaries, benefits and other personnel related expenses, including stock based compensation expense, of relevant personnel.</w:t>
      </w:r>
    </w:p>
    <w:p>
      <w:pPr>
        <w:pStyle w:val="TextBody"/>
        <w:bidi w:val="0"/>
        <w:jc w:val="left"/>
        <w:rPr>
          <w:rFonts w:ascii="Times New Roman" w:hAnsi="Times New Roman"/>
          <w:color w:val="000000"/>
          <w:sz w:val="20"/>
        </w:rPr>
      </w:pPr>
      <w:r>
        <w:rPr>
          <w:rFonts w:ascii="Times New Roman" w:hAnsi="Times New Roman"/>
          <w:color w:val="000000"/>
          <w:sz w:val="20"/>
        </w:rPr>
        <w:t>(3) Includes costs incurred for conducting non-program activities related to Company activities.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June 30, 2026, through the issuance of these condensed consolidated financial statements, the Company sold approximately 2.1 million shares of our common stock pursuant to the Sales Agreement and the 2026 Registration Statement for net proceeds of $65.7 million after deducting commissions.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consolidated results of operations together with the section entitled “Risk Factors” and our interim unaudited condensed consolidated financial statements and related notes appearing elsewhere in this Quarterly Report. Some of the information contained in this discussion and analysis or set forth elsewhere in this Quarterly Report, including information with respect to our plans and strategy for our business and related financing, includes forward-looking statements that involve risks and uncertainties. You should carefully read the sections entitled “Forward-Looking Statements” and “Risk Factors” to gain an understanding of the important factors that could cause actual results to differ materially from our forward-looking statements.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late-stage clinical company dedicated to addressing the underlying causes of severe diseases by upregulating protein expression with RNA-based medicines. Using our proprietary protein upregulation platform, we are developing antisense oligonucleotides (“ASOs”) to selectively restore protein levels.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first investigational new medicine in development, zorevunersen (STK-001), is a potential disease modifying medicine that is in late-stage clinical testing for the treatment of Dravet syndrome. Dravet syndrome is characterized by frequent, prolonged and refractory seizures beginning within the first year of life. The disease is classified as a developmental and epileptic encephalopathy (DEE) due to the developmental delays and cognitive impairment associated with it. Dravet syndrome is one of many diseases caused by a haploinsufficiency, in which a loss of approximately 50% of normal protein levels leads to disease.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discussions with the U.S. Food and Drug Administration (“FDA”), European Medicines Agency (“EMA”), and Japan’s Pharmaceuticals and Medical Devices Agency (“PMDA”), a global Phase 3 study, EMPEROR, was initiated in May 2025, with the first patient dosed in August 2025. This trial follows the completion of two open-label Phase 1/2a studies, MONARCH in the United States and ADMIRAL in the United Kingdom, and further evaluates the efficacy and safety of zorevunersen in children and adolescents ages 2 to up to 18 with Dravet syndrome.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MONARCH and ADMIRAL studies, we continue to run open-label extension (“OLE”) studies in patients who completed the Phase 1/2a studies and met study entry criteria. The four studies have shown substantial and durable reductions in major motor seizure frequency when administered on top of standard of care anti-seizure medicines. In the Phase 1/2a studies, 85% of patients were taking at least three and 54% were taking at least four medicines to control seizures. Half the patients in the studies were taking concomitant fenfluramine. Ongoing treatment has led to continuous improvements in cognition and behavior through four years. Additional improvements were indicated within the first nine months of treatment among patients in the Phase 1/2a study. These improvements were observed across multiple domains of the Vineland-3 (Vineland Adaptive Behavior Scale, Third Edition), a standardized assessment of behavioral outcomes that is a key secondary endpoint for the Phase 3 study. Zorevunersen has been generally well tolerated across the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our Dravet program, we are also pursuing treatment for a second haploinsufficient disease, autosomal dominant optic atrophy (“ADOA”), the most common inherited optic nerve disorder for which there are currently no approved treatments. STK-002 is our clinical candidate for the treatment of ADOA. STK-002 is designed to upregulate OPA1 protein expression by leveraging the non-mutant (wild-type) copy of the OPA1 gene to restore OPA1 protein expression with the aim to stop or slow vision loss in patients with ADOA. In a non-human primate (NHP) model of ADOA conducted in collaboration with UC Davis, treatment with STK-002 was well tolerated and helped protect, and possibly improve, eye health. The data suggest that STK-002 may help preserve the function of important vision-related nerve cells, which could potentially improve or maintain vision. We are studying STK-002 in a Phase 1 open-label study (OSPREY) of children and adults ages 6 to 55 who have an established diagnosis of ADOA and evidence of a genetic mutation in the OPA1 gene. In February 2026, we dosed the first patient with STK-002 in the OSPREY Phase 1 study for the treatment of ADOA. Dose escalation is continuing, and the study is actively recruiting in the United Kingdom and the European Union.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2025, we filed a universal Shelf Registration Statement on Form S-3 (the “2025 Registration Statement”) with the SEC. The 2025 Registration Statement was declared effective by the SEC on July 11, 2025, and contains two prospectuses: a base prospectus, which covers the offering, issuance and sale by us of up to a maximum aggregate offering price of $400.0 million of our common stock, preferred stock, debt securities, warrants to purchase common stock, preferred stock or debt securities, subscription rights to purchase common stock, preferred stock or debt securities and/or units consisting of some or all of these securities; and a sales agreement prospectus covering the offering, issuance and sale by us of up to a maximum aggregate offering price of $150.0 million of common stock that may be issued and sold under a Controlled Equity Offering Sales Agreement (the “Sales Agreement”). We do not intend to make any further offers or sales of our common stock pursuant to the Sales Agreement under the 2025 Registration Statement.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2026, we filed an automatic universal Shelf Registration Statement on Form S-3 (the “2026 Registration Statement”) with the SEC. The 2026 Registration Statement contains two prospectuses: a base prospectus, which covers the offering, issuance and sale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us of our common stock, preferred stock, debt securities, warrants to purchase common stock, preferred stock or debt securities, subscription rights to purchase common stock, preferred stock or debt securities and/or units consisting of some or all of these securities; and a sales agreement prospectus covering the offering, issuance and sale by us of up to a maximum aggregate offering price of $150.0 million of our common stock that may be issued and sold under the Sales Agreement. The specific terms of any securities to be offered pursuant to the base prospectus will be specified in a prospectus supplement to the base prospectus. We intend to use the 2026 Registration Statement for any future issuances and sales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had issued approximately 3.2 million shares of common stock pursuant to the 2025 Registration Statement for net proceeds of $87.8 million. In addition, as of June 30, 2026, we had issued approximately 2.6 million shares of common stock pursuant to the Sales Agreement and the 2026 Registration Statement for net proceeds of $80.7 million. Since June 30, 2026, through the issuance of these condensed consolidated financial statements, we sold approximately 2.1 million shares of our common stock pursuant to the Sales Agreement and the 2026 Registration Statement for net proceeds of $65.7 million after deducting commissions. We may terminate this at-the-market program under the Sales Agreement at any time, pursuant to its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and December 31, 2025 we had $354.3 million and $390.9 million, respectively, in cash, cash equivalents and marketable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we have had operating losses, the majority of which are attributable to research and development activities. Our net losses were $61.6 million and $23.5 million for the three months ended June 30, 2026 and 2025, respectively. For the six months ended June 30, 2026 we had a net loss of $111.6 million and for the six months ended June 30, 2025 we had net income of $89.4 million. As of June 30, 2026, we had an accumulated deficit of $609.3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use of cash is to fund operating expenses, which consist primarily of research and development activities, including medical affairs, as well as sales, general and administrative expenses, including commercial operations. Cash used to fund operating expenses is impacted by the timing of when we pay these expenses, as reflected in the change in our outstanding accounts payable and accrued expenses. We expect to continue to incur net losses for the foreseeable future, and we expect our research and development expenses, sales, general and administrative expenses will continue to increase. In particular, we expect our expenses and losses to increase as we continue our development of, and seek regulatory approvals for, our product candidates, and begin to commercialize any approved products. Our net losses may fluctuate significantly from quarter-to-quarter and year-to-year, depending on the timing of our clinical trials and our expenditures on other research and development activities.</w:t>
      </w:r>
    </w:p>
    <w:p>
      <w:pPr>
        <w:pStyle w:val="TextBody"/>
        <w:bidi w:val="0"/>
        <w:spacing w:before="120" w:after="283"/>
        <w:jc w:val="left"/>
        <w:rPr>
          <w:rFonts w:ascii="Times New Roman" w:hAnsi="Times New Roman"/>
          <w:sz w:val="20"/>
        </w:rPr>
      </w:pPr>
      <w:r>
        <w:rPr>
          <w:rFonts w:ascii="Times New Roman" w:hAnsi="Times New Roman"/>
          <w:color w:val="000000"/>
          <w:sz w:val="20"/>
        </w:rPr>
        <w:t>Based on our current operating plan, we believe that our cash, cash equivalents, and marketable securities of approximately $354.3 million as of June 30, 2026 and additional proceeds from the ATM sale of $65.7 million, will fund operations through to potential U.S. commercialization of zorevunersen in early 2028</w:t>
      </w:r>
      <w:r>
        <w:rPr>
          <w:rFonts w:ascii="sans-serif" w:hAnsi="sans-serif"/>
          <w:color w:val="000000"/>
          <w:sz w:val="24"/>
        </w:rPr>
        <w:t xml:space="preserve">. </w:t>
      </w:r>
      <w:r>
        <w:rPr>
          <w:rFonts w:ascii="Times New Roman" w:hAnsi="Times New Roman"/>
          <w:color w:val="000000"/>
          <w:sz w:val="20"/>
        </w:rPr>
        <w:t>To date, we have not had any products approved for sale and have not generated any product sales. We do not expect to generate any revenues from product sales unless and until we successfully complete development and obtain regulatory approval for one or more of our product candidates. If we obtain regulatory approval for any of our product candidates, we expect to incur significant commercialization expenses related to product sales, marketing, manufacturing and distribution. As a result, until such time, if ever, as we can generate substantial product revenue, we expect to finance our cash needs through equity offerings, debt financings or other capital sources, including potentially collaborations, licenses and other similar arrangements. However, we may be unable to raise additional funds or enter into such other arrangements when needed on favorable terms or at all. Any failure to raise capital as and when needed could have a negative impact on our financial condition and on our ability to pursue our business plans and strategies. If we are unable to raise capital, we will need to delay, reduce or terminate planned activities to reduce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Program Update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Dravet Syndrome Program – zorevunersen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Presentations of new clinical data for zorevunersen at medical congresses have contributed to greater understanding of its disease-modifying potential that is highly differentiated from any currently available treatments. The Company will continue its educational efforts at major neurology and epilepsy congresses during the second half of 2026. Analyses of data from the ongoing OLEs will support efforts to increase clinician understanding of zorevunersen while the Phase 3 EMPEROR study advances toward completion and the Company prepares for a potential U.S. approval and launch. The Company will also continue discussions with the FDA to update the Agency on its long-term data for zorevunersen.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EMPEROR is a global, pivotal Phase 3 study. In June 2026, we announced completion of enrollment of 162 patients in the U.S., UK, and Japan, where patients are randomized to treatment with zorevunersen or a sham control administered via lumbar puncture (LP). A Phase 3 data readout is anticipated in the third quarter of 2027 to complete the planned rolling U.S. NDA submission in the second half of 2027. Commercial preparation is underway to support a potential U.S. commercial launch of zorevunersen in early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additional cohort of approximately 30 patients is currently being enrolled in Europe, where the sham control is administered via a needle prick (NP).  Screening for this cohort has now closed, and enrollment is expected to be completed in August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Site activation and screening are also underway in China, where zorevunersen has been granted Breakthrough Therapy Status. Enrollment is anticipated to complete in the second half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Data from the additional patients in Europe and China are not planned for inclusion in the U.S. NDA submission to the FDA.</w:t>
      </w:r>
    </w:p>
    <w:p>
      <w:pPr>
        <w:pStyle w:val="TextBody"/>
        <w:bidi w:val="0"/>
        <w:jc w:val="left"/>
        <w:rPr>
          <w:rFonts w:ascii="Times New Roman" w:hAnsi="Times New Roman"/>
          <w:color w:val="000000"/>
          <w:sz w:val="20"/>
        </w:rPr>
      </w:pPr>
      <w:r>
        <w:rPr>
          <w:rFonts w:ascii="Times New Roman" w:hAnsi="Times New Roman"/>
          <w:color w:val="000000"/>
          <w:sz w:val="20"/>
        </w:rPr>
        <w:t>In August 2026, we announced that Stoke intends to participate in a pre-NDA meeting with the FDA during the second half of 2026 in preparation for the rolling NDA submission planned to initiate in the first quarter of 2027. Among other items, this meeting is intended to achieve alignment on the data package and statistical analysis plan for the rolling NDA</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ADOA Program – STK-002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pursuing treatment for Autosomal Dominant Optic Atrophy (ADOA), the most common inherited optic nerve disorder, with STK-002. In February 2026, the first patient was dosed in the Phase 1 OSPREY study of STK-002. As of August 2026, all eight planned clinical trial sites are active in the United Kingdom, Germany, Austria, Italy and Denmark, and dosing of the first cohort of patients (n=3) is complete with no serious safety events observed to date. Dosing of the second cohort is expected to begin in August 2026. Subject to ongoing safety assessments, dosing in the third and fourth dose cohorts are expected to follow with a readout of safety and efficacy results anticipated in the first half of 2027.</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Corporate Updates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13, 2026, we announced the appointment of Thomas McCauley, Ph.D., as the Company’s Chief Scientific Officer. In this new role, Dr. McCauley will be responsible for leading Stoke’s scientific strategy and leveraging the Company’s proprietary RNA medicines platform to expand and advance its pipeline of potential medicines for severe genetic diseases.</w:t>
      </w:r>
    </w:p>
    <w:p>
      <w:pPr>
        <w:pStyle w:val="TextBody"/>
        <w:bidi w:val="0"/>
        <w:spacing w:before="240" w:after="283"/>
        <w:jc w:val="left"/>
        <w:rPr>
          <w:rFonts w:ascii="Times New Roman" w:hAnsi="Times New Roman"/>
          <w:sz w:val="20"/>
        </w:rPr>
      </w:pPr>
      <w:r>
        <w:rPr>
          <w:rFonts w:ascii="Times New Roman" w:hAnsi="Times New Roman"/>
          <w:b/>
          <w:color w:val="000000"/>
          <w:sz w:val="20"/>
        </w:rPr>
        <w:t>Financial operations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comprised of one reportable segment and as of June 30, 2026 and 2025, have not generated any product revenue since inception, as we do not yet have approved products for sale. If we are able to successfully develop, receive regulatory approval for and commercialize any of our current or future product candidates alone or in collaboration with third parties, we may generate revenue from the sales of these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2022, we entered into a License and Collaboration Agreement (the “Acadia Agreement”) with Acadia Pharmaceuticals Inc. (“Acadia”) for the discovery, development and commercialization of novel RNA-based medicines for the treatment of severe and rare genetic neurodevelopmental diseases of the central nervous system. The Acadia Agreement focused on the targets SYNGAP1, MECP2 (Rett syndrome), and an undisclosed neurodevelopmental target of mutual interest. In connection with each target, we agreed to collaborate with Acadia to identify potential treatments for further development and commercialization as licensed products. With respect to SYNGAP1, we agreed with Acadia to co-develop and co-commercialize licensed products for such target globally, and in connection therewith we granted to Acadia worldwide, co-exclusive (with us) licenses for such licensed products. With respect to MECP2 and the neurodevelopmental target, we granted Acadia worldwide, exclusive licenses to develop and commercialize licensed products for such targets. In September 2025, Acadia terminated the MECP2 and the undisclosed neurodevelopmental programs under the Acadia Agreement (the “Discontinued Acadia Programs”) and rights to these targets returned to us. The collaboration with Acadia with respect to SYNGAP1 remains ongoing.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terms of the Acadia Agreement, we received an upfront payment of $60.0 million from Acadia. Acadia agreed to fund the research for the Discontinued Acadia Programs, and we will equally fund with Acadia the research to identify potential licensed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products for SYNGAP1. We are eligible to receive up to $245.0 million in potential total milestone payments based upon the achievement of certain development, regulatory, first commercial sales and sales milestone events for the SYNGAP1 program, assuming each milestone were achieved at least once. For SYNGAP1 licensed products that we are co-developing and co-commercializing, we will be responsible for 50% of the development and commercialization costs and will receive 50% of the profits from global commercialization. We are provided a co-development and co-commercialization opt out option relating to the SYNGAP1 target indication at our discretion. Such opt-out would reduce development and commercialization milestones but would provide us with royalties on an escalating basis attributable to net sales milestones. As a result of the termination of the Discontinued Acadia Programs, we are no longer eligible to receive the milestones for those programs of up to $662.5 million or any royalties related thereto.</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Revenue recognized under the Acadia collaboration was $2.8 million and $10.7 million for the three months ended June 30, 2026 and 2025, respectively. For the six months ended June 30, 2026 and 2025, the Company recognized $5.0 million and $16.8 million, respectively, in revenue related to the Acadia Agreement.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February 14, 2025, we entered into a License and Collaboration Agreement (the “Biogen Agreement”) with Biogen International GmbH (“Biogen”) for the joint development and commercialization of zorevunersen and other compounds targeting the SCN1A gene (the “Licensed Product”).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Under the terms of the Biogen Agreement, we granted Biogen an exclusive, royalty bearing license to develop, manufacture and commercialize licensed products outside the United States, Canada and Mexico (the “Biogen Territory”). Biogen also has an option to exercise an exclusive, royalty-bearing, sublicensable and transferable license to certain future follow on antisense oligonucleotides (“ASOs”) directed to SCN1A controlled by the Company. The parties are jointly developing zorevunersen, with us leading global development, and development costs are shared pursuant to an agreed budget, with us responsible for 70% and Biogen responsible for 30%.</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received an upfront payment of $165.0 million and are eligible to receive development and commercial milestones that could total up to approximately $50.0 million and $335.0 million, respectively if all the specified milestones set forth in the collaboration arrangement are achieved. We are also eligible to receive tiered, double-digit royalties ranging from the low double digits to the high teen percentages on future net sales in the Licensed Product territory. As of June 30, 2026, no milestones have been achieved.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Revenue recognized under the Biogen collaboration was $6.5 million and $3.2 million for the three months ended June 30, 2026 and 2025, respectively. For the six months ended June 30, 2026 and 2025, the Company recognized $10.6 million and $155.6 million, respectively, in revenue related to the Biogen Agreement.</w:t>
      </w:r>
    </w:p>
    <w:p>
      <w:pPr>
        <w:pStyle w:val="TextBody"/>
        <w:bidi w:val="0"/>
        <w:jc w:val="left"/>
        <w:rPr>
          <w:rFonts w:ascii="Times New Roman" w:hAnsi="Times New Roman"/>
          <w:sz w:val="20"/>
        </w:rPr>
      </w:pPr>
      <w:r>
        <w:rPr>
          <w:rFonts w:ascii="Times New Roman" w:hAnsi="Times New Roman"/>
          <w:color w:val="000000"/>
          <w:sz w:val="20"/>
        </w:rPr>
        <w:t xml:space="preserve">For more information see </w:t>
      </w:r>
      <w:r>
        <w:rPr>
          <w:rFonts w:ascii="Times New Roman" w:hAnsi="Times New Roman"/>
          <w:i/>
          <w:color w:val="000000"/>
          <w:sz w:val="20"/>
        </w:rPr>
        <w:t xml:space="preserve">Note 7—License and Collaboration Agreements </w:t>
      </w:r>
      <w:r>
        <w:rPr>
          <w:rFonts w:ascii="Times New Roman" w:hAnsi="Times New Roman"/>
          <w:color w:val="000000"/>
          <w:sz w:val="20"/>
        </w:rPr>
        <w:t xml:space="preserve">of the notes to our unaudited condensed consolidated financial statements included elsewhere in this Quarterly Report on Form 10-Q. </w:t>
      </w:r>
    </w:p>
    <w:p>
      <w:pPr>
        <w:pStyle w:val="TextBody"/>
        <w:bidi w:val="0"/>
        <w:spacing w:before="360" w:after="283"/>
        <w:jc w:val="left"/>
        <w:rPr>
          <w:rFonts w:ascii="Times New Roman" w:hAnsi="Times New Roman"/>
          <w:sz w:val="20"/>
        </w:rPr>
      </w:pPr>
      <w:r>
        <w:rPr>
          <w:rFonts w:ascii="Times New Roman" w:hAnsi="Times New Roman"/>
          <w:b/>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costs incurred for the development of our discovery work and preclinical programs, which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personnel costs, which include salaries, benefits and stock-based compensation expense;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under agreements with consultants, third-party contract organizations that conduct research and development activities on our behalf, costs related to production of preclinical material and laboratory and vendor expenses related to the execution of preclinical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scientific consulting, collaboration and licensing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laboratory equipment and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facilities costs, depreciation and other expenses related to internal research and development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our personnel and infrastructure resources across multiple research and development programs directed toward identifying and developing product candidates. Our direct research and development expenses are tracked on a program-by-program basis from the point a program becomes a clinical candidate for us and consists primarily of external costs, such as fees paid to consultants, central laboratories and contractors in connection with our preclinical activities. We do not allocate employee costs, costs associated with our technology or facility expenses, including depreciation or other indirect costs, to specific programs because these costs are currently deployed across multiple product development programs and, as such, are not separately classified. We use internal resources to manage our development activities and our employees work across multiple development programs and, therefore, we do not track their costs by program.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table below summarizes our research and development expenses incurred by development program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69"/>
        <w:gridCol w:w="146"/>
        <w:gridCol w:w="226"/>
        <w:gridCol w:w="726"/>
        <w:gridCol w:w="156"/>
        <w:gridCol w:w="156"/>
        <w:gridCol w:w="226"/>
        <w:gridCol w:w="726"/>
        <w:gridCol w:w="166"/>
        <w:gridCol w:w="146"/>
        <w:gridCol w:w="211"/>
        <w:gridCol w:w="676"/>
        <w:gridCol w:w="146"/>
        <w:gridCol w:w="146"/>
        <w:gridCol w:w="211"/>
        <w:gridCol w:w="676"/>
        <w:gridCol w:w="396"/>
      </w:tblGrid>
      <w:tr>
        <w:trPr/>
        <w:tc>
          <w:tcPr>
            <w:tcW w:w="50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50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Zorevunersen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22,222</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26,364</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SYNGAP1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MECP2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Non-program specific and unallocated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23,768</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29,112</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49,501</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58,531</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expense all research and development costs in the periods in which they are incurred. Costs for certain development activities are recognized based on an evaluation of the progress to completion of specific tasks using information and data provided to us by our vendors and third-party service providers.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our expenses will increase substantially in connection with our planned discovery work, preclinical and clinical development activities in the near term and our planned clinical trials in the future. At this time, we cannot reasonably estimate the costs for completing the preclinical and clinical development of any of our other product candidates. We expect our research and development expenses to increase substantially for the foreseeable future as we continue to invest in research and development activities related to developing our product candidates, including investments in manufacturing, as our programs advance into later stages of development and we conduct clinical trials. The process of conducting the necessary clinical research to obtain regulatory approval is costly and time-consuming, and the successful development of our product candidates is highly uncertain. As a result, we cannot predict with certainty the ultimate duration and total completion costs of our research and development projects or the timing and extent of any revenue we may generate from the commercialization and sale of any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numerous risks and uncertainties associated with product development, we cannot predict with certainty the ultimate duration and total completion costs of current or future preclinical studies and clinical trials or the timing and extent of any revenues we may generate from the commercialization and sale of our product candidates. We may never succeed in achieving regulatory approval for our product candidates. The duration, costs and timing of preclinical studies and clinical trials and development of our product candidates will depend on a variety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completion of preclinical studies and investigational new drug-enabling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enrollment in, and completion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of regulatory approvals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furthering our commercial manufacturing capabilities and arrangements with third-party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patent and trade secret protection and non-patent exclusivity;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commercial sales of our product candidates, if and when approved, whether alone or in collaboration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our product candidates, if and when approved,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other therapies and treatment options;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continued acceptable safety profile following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enforcing and defending intellectual property and proprietary rights and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achieving desirable medicinal properties for the intended indications.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change in the outcome of any of these factors could mean a significant change in the costs and timing associated with the development of our current and future preclinical and clinical product candidates. For example, if the FDA, or another regulatory authority were to require us to conduct clinical trials beyond those that we currently anticipate will be required for the completion of clinical development, or if we experience significant delays in execution of or enrollment in any of our preclinical studies or clinical trials, we could be required to expend significant additional financial resources and time on the completion of preclinical and clinical development. We expect our research and development expenses to increase for the foreseeable future as we continue the development of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Sales,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general and administrative expenses consist primarily of personnel costs, costs related to maintenance and filing of intellectual property, expenses for outside professional services, including legal, human resources, information technology, audit and accounting services, and facilities and other expenses. Personnel costs consist of salaries, benefits and stock-based compensation expense. We expect our sales, general and administrative expenses to increase over the next several years to support our continued research and development activities, manufacturing activities, increased costs of operating as a public company and the potential commercialization of our product candidates. These increases are anticipated to include increased costs related to the hiring of additional personnel, developing commercial infrastructure, fees to outside consultants, lawyers and accountants, and costs associated with being a public company such as expenses related to services associated with maintaining compliance with Nasdaq listing rules and SEC requirements, insurance and investor relations costs.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other income (expense), net includes (i) interest income earned on cash reserves in our operating, money market fund, investment accounts and on our marketable securities investments and (ii) other items of income (expense), net.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 for the three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our results of operations: </w:t>
      </w:r>
    </w:p>
    <w:p>
      <w:pPr>
        <w:pStyle w:val="TextBody"/>
        <w:bidi w:val="0"/>
        <w:spacing w:before="120" w:after="283"/>
        <w:jc w:val="left"/>
        <w:rPr/>
      </w:pPr>
      <w:r>
        <w:rPr/>
        <w:t> </w:t>
      </w:r>
    </w:p>
    <w:tbl>
      <w:tblPr>
        <w:tblW w:w="7291" w:type="dxa"/>
        <w:jc w:val="left"/>
        <w:tblInd w:w="0" w:type="dxa"/>
        <w:tblLayout w:type="fixed"/>
        <w:tblCellMar>
          <w:top w:w="28" w:type="dxa"/>
          <w:left w:w="28" w:type="dxa"/>
          <w:bottom w:w="28" w:type="dxa"/>
          <w:right w:w="28" w:type="dxa"/>
        </w:tblCellMar>
      </w:tblPr>
      <w:tblGrid>
        <w:gridCol w:w="4291"/>
        <w:gridCol w:w="146"/>
        <w:gridCol w:w="216"/>
        <w:gridCol w:w="756"/>
        <w:gridCol w:w="170"/>
        <w:gridCol w:w="149"/>
        <w:gridCol w:w="216"/>
        <w:gridCol w:w="756"/>
        <w:gridCol w:w="5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Condensed consolidated statements of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49,501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25,253</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74,754</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41,117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(65,429</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(61,618</w:t>
            </w:r>
          </w:p>
        </w:tc>
        <w:tc>
          <w:tcPr>
            <w:tcW w:w="17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(23,483</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for the three months ended June 30, 2026 was $9.3 million compared to $13.8 million for the three months ended June 30, 2025, a decrease of $4.5 million. Revenue is generated from satisfying contractual obligations of the collaboration and licensing agreements with Acadia and Biogen.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were $49.5 million for the three months ended June 30, 2026 as compared to $25.9 million for the three months ended June 30, 2025, an increase of $23.6 million. The table below summarizes our research and development expenses (in thousands): </w:t>
      </w:r>
    </w:p>
    <w:p>
      <w:pPr>
        <w:pStyle w:val="TextBody"/>
        <w:bidi w:val="0"/>
        <w:jc w:val="left"/>
        <w:rPr/>
      </w:pPr>
      <w:r>
        <w:rPr/>
        <w:t> </w:t>
      </w:r>
    </w:p>
    <w:tbl>
      <w:tblPr>
        <w:tblW w:w="6497" w:type="dxa"/>
        <w:jc w:val="left"/>
        <w:tblInd w:w="0" w:type="dxa"/>
        <w:tblLayout w:type="fixed"/>
        <w:tblCellMar>
          <w:top w:w="28" w:type="dxa"/>
          <w:left w:w="28" w:type="dxa"/>
          <w:bottom w:w="28" w:type="dxa"/>
          <w:right w:w="28" w:type="dxa"/>
        </w:tblCellMar>
      </w:tblPr>
      <w:tblGrid>
        <w:gridCol w:w="3696"/>
        <w:gridCol w:w="146"/>
        <w:gridCol w:w="231"/>
        <w:gridCol w:w="741"/>
        <w:gridCol w:w="160"/>
        <w:gridCol w:w="160"/>
        <w:gridCol w:w="231"/>
        <w:gridCol w:w="741"/>
        <w:gridCol w:w="391"/>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Zorevunersen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22,222</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SYNGAP1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MECP2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18,218</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external program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non-program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49,501</w:t>
            </w:r>
          </w:p>
        </w:tc>
        <w:tc>
          <w:tcPr>
            <w:tcW w:w="16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25,855</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research and development expenses was attributable to an increase of $12.8 million of expenses related to zorevunersen, which are comprised of third-party services and scientific consulting fees, $6.6 million in personnel-related expenses, $3.4 million in other external program costs, $1.5 million in expenses related to our ADOA program, which are comprised of third-party services and scientific consulting fees, and an increase of $0.3 million in external third-party expenses related to SYNGAP1, offset by a decrease of $1.2 million related to other non-program costs, and $0.2 million in external third-party expenses related to MECP2.</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Sales,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general and administrative expenses were $25.3 million for the three months ended June 30, 2026 as compared to $15.3 million for the three months ended June 30, 2025. The increase of $10.0 million in sales, general and administrative expenses was attributable to an increase of $6.6 million in facilities and other sales, general and administrative costs for commercial readiness, and $3.4 million in personnel-related expenses.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was $3.8 million for the three months ended June 30, 2026 as compared to $3.8 million for the three months ended June 30,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 for the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our results of operations: </w:t>
      </w:r>
    </w:p>
    <w:p>
      <w:pPr>
        <w:pStyle w:val="TextBody"/>
        <w:bidi w:val="0"/>
        <w:spacing w:before="120" w:after="283"/>
        <w:jc w:val="left"/>
        <w:rPr/>
      </w:pPr>
      <w:r>
        <w:rPr/>
        <w:t> </w:t>
      </w:r>
    </w:p>
    <w:tbl>
      <w:tblPr>
        <w:tblW w:w="6469" w:type="dxa"/>
        <w:jc w:val="left"/>
        <w:tblInd w:w="0" w:type="dxa"/>
        <w:tblLayout w:type="fixed"/>
        <w:tblCellMar>
          <w:top w:w="28" w:type="dxa"/>
          <w:left w:w="28" w:type="dxa"/>
          <w:bottom w:w="28" w:type="dxa"/>
          <w:right w:w="28" w:type="dxa"/>
        </w:tblCellMar>
      </w:tblPr>
      <w:tblGrid>
        <w:gridCol w:w="3376"/>
        <w:gridCol w:w="146"/>
        <w:gridCol w:w="211"/>
        <w:gridCol w:w="841"/>
        <w:gridCol w:w="166"/>
        <w:gridCol w:w="146"/>
        <w:gridCol w:w="211"/>
        <w:gridCol w:w="781"/>
        <w:gridCol w:w="5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Consolidated statements of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172,386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88,446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83,940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90,675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89,397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for the six months ended June 30, 2026 was $15.6 million compared to $172.4 million for the six months ended June 30, 2025, a decrease of $156.8 million. Revenue is generated from satisfying contractual obligations of the collaboration and licensing agreements with Acadia and Biogen. The decrease in revenue is primarily driven by the recognition of $150.8 million related to the Biogen IP license performance obligation during the six months ended June 30, 2025.</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were $89.2 million for the six months ended June 30, 2026 as compared to $58.5 million for the six months ended June 30, 2025, an increase of $30.7 million. The table below summarizes our research and development expenses (in thousands): </w:t>
      </w:r>
    </w:p>
    <w:p>
      <w:pPr>
        <w:pStyle w:val="TextBody"/>
        <w:bidi w:val="0"/>
        <w:jc w:val="left"/>
        <w:rPr/>
      </w:pPr>
      <w:r>
        <w:rPr/>
        <w:t> </w:t>
      </w:r>
    </w:p>
    <w:tbl>
      <w:tblPr>
        <w:tblW w:w="6301" w:type="dxa"/>
        <w:jc w:val="left"/>
        <w:tblInd w:w="0" w:type="dxa"/>
        <w:tblLayout w:type="fixed"/>
        <w:tblCellMar>
          <w:top w:w="28" w:type="dxa"/>
          <w:left w:w="28" w:type="dxa"/>
          <w:bottom w:w="28" w:type="dxa"/>
          <w:right w:w="28" w:type="dxa"/>
        </w:tblCellMar>
      </w:tblPr>
      <w:tblGrid>
        <w:gridCol w:w="3696"/>
        <w:gridCol w:w="146"/>
        <w:gridCol w:w="211"/>
        <w:gridCol w:w="677"/>
        <w:gridCol w:w="146"/>
        <w:gridCol w:w="146"/>
        <w:gridCol w:w="211"/>
        <w:gridCol w:w="677"/>
        <w:gridCol w:w="391"/>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Zorevunersen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SYNGAP1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MECP2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external programs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non-program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increase in research and development expenses was attributable to an increase of $12.3 million in expenses related to zorevunersen, which are comprised of third-party services and scientific consulting fees, $11.7 million in personnel-related expenses, $5.1 million in other external program costs, $2.2 million in expenses related to our ADOA program, which are comprised of third-party services and scientific consulting fees, an increase of $0.6 million in external third-party expenses related to SYNGAP1, offset by a decrease of $1.2 million related to other non-program costs.</w:t>
      </w:r>
    </w:p>
    <w:p>
      <w:pPr>
        <w:pStyle w:val="TextBody"/>
        <w:bidi w:val="0"/>
        <w:spacing w:before="200" w:after="283"/>
        <w:jc w:val="left"/>
        <w:rPr>
          <w:rFonts w:ascii="Times New Roman" w:hAnsi="Times New Roman"/>
          <w:sz w:val="20"/>
        </w:rPr>
      </w:pPr>
      <w:r>
        <w:rPr>
          <w:rFonts w:ascii="Times New Roman" w:hAnsi="Times New Roman"/>
          <w:b/>
          <w:i/>
          <w:color w:val="000000"/>
          <w:sz w:val="20"/>
        </w:rPr>
        <w:t>Sales,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general and administrative expenses were $45.2 million for the six months ended June 30, 2026 as compared to $29.9 million for the six months ended June 30, 2025. The increase of $15.3 million in sales, general and administrative expenses was attributable to an increase of $10.1 million in facilities and other sales, general and administrative costs for commercial readiness, and $5.2 million in personnel-related expenses.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was $7.2 million for the six months ended June 30, 2026 as compared to $6.7 million for the six months ended June 30, 2025.</w:t>
      </w:r>
    </w:p>
    <w:p>
      <w:pPr>
        <w:pStyle w:val="TextBody"/>
        <w:bidi w:val="0"/>
        <w:spacing w:before="120" w:after="283"/>
        <w:jc w:val="left"/>
        <w:rPr/>
      </w:pPr>
      <w:r>
        <w:rPr/>
        <w:t> </w:t>
      </w:r>
    </w:p>
    <w:p>
      <w:pPr>
        <w:pStyle w:val="TextBody"/>
        <w:bidi w:val="0"/>
        <w:spacing w:before="120" w:after="45"/>
        <w:jc w:val="left"/>
        <w:rPr>
          <w:rFonts w:ascii="Times New Roman" w:hAnsi="Times New Roman"/>
          <w:b/>
          <w:color w:val="000000"/>
          <w:sz w:val="20"/>
        </w:rPr>
      </w:pPr>
      <w:r>
        <w:rPr>
          <w:rFonts w:ascii="Times New Roman" w:hAnsi="Times New Roman"/>
          <w:b/>
          <w:color w:val="000000"/>
          <w:sz w:val="20"/>
        </w:rPr>
        <w:t>Impact of Enacted Tax Legislation</w:t>
      </w:r>
    </w:p>
    <w:p>
      <w:pPr>
        <w:pStyle w:val="TextBody"/>
        <w:bidi w:val="0"/>
        <w:spacing w:before="75" w:after="283"/>
        <w:jc w:val="left"/>
        <w:rPr>
          <w:rFonts w:ascii="Times New Roman" w:hAnsi="Times New Roman"/>
          <w:color w:val="000000"/>
          <w:sz w:val="20"/>
        </w:rPr>
      </w:pPr>
      <w:r>
        <w:rPr>
          <w:rFonts w:ascii="Times New Roman" w:hAnsi="Times New Roman"/>
          <w:color w:val="000000"/>
          <w:sz w:val="20"/>
        </w:rPr>
        <w:t>On July 4, 2025, President Donald Trump signed into law the reconciliation tax bill, commonly referred to as the “One Big Beautiful Bill Act” (the “OBBBA”), which constitutes the enactment date under U.S. GAAP. Key corporate tax provisions of the OBBBA include the restoration of 100% bonus depreciation, the introduction of new Section 174A permitting immediate expensing of domestic research and experimental (R&amp;E) expenditures, modifications to Section 163(j) interest expense limitations and the expansion of Section 162(m) aggregation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U.S. GAAP, the effects of changes in tax laws are recognized in the period in which the new law is enacted. Accordingly, the impact of the OBBBA was reflected as of September 30, 2025 with the reversal of previously recognized income tax expense for both federal and state. There is no impact on the comparable periods presented.</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through June 30, 2026, our operations have been financed by net proceeds of $1.0 billion from the sale of convertible notes payable and our convertible preferred stock, our initial public offering, public offerings of common stock and pre-funded warrants, proceeds from the Sales Agreement and the upfront payments from Acadia and Biogen. As of June 30, 2026, we had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$354.3 million in cash, cash equivalents and marketable securities. Cash in excess of immediate requirements is invested in accordance with our investment policy, primarily with a view to liquidity and capital preservation. On April 2, 2024, we completed an underwritten public offering of our common stock and issued and sold 5,555,557 shares of common stock at a public offering price of $13.50 per share and issued pre-funded warrants to purchase 3,703,730 shares of common stock at a public offering price of $13.499 per share subject to an exercise price equal to $0.0001. The common stock and warrants sold resulted in net proceeds of $119.9 million after deducting underwriting discounts, commissions and offering costs. No pre-funded warrants have been exercised.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primarily incurred losses since our inception in June 2014 and, as of June 30, 2026, we had an accumulated deficit of $609.3 million. Our primary use of cash is to fund operating expenses, which consist primarily of research and development expenditures, and to a lesser extent, sales, general and administrative expenditures. Cash used to fund operating expenses is impacted by the timing of when we pay these expenses, as reflected in the change in our outstanding accounts payable and accrued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our current operating plan, we believe that our cash, cash equivalents, and marketable securities of approximately $354.3 million as of June 30, 2026 and additional proceeds from the ATM sale of $65.7 million, will fund operations through to potential U.S. commercialization of zorevunersen in early 2028. We have based this estimate on assumptions that may prove to be wrong, and we could utilize our available capital resources sooner than we currently expect. We will continue to require additional financing to advance our current product candidates through clinical development, to develop, acquire or in-license other potential product candidates and to fund operations for the foreseeable future. We will continue to seek funds through equity offerings, debt financings or other capital sources, including potentially collaborations, licenses and other similar arrangements. However, we may be unable to raise additional funds or enter into such other arrangements when needed on favorable terms or at all. Our ability to raise additional funds may be adversely impacted by potential worsening global macroeconomic conditions, including inflation, changing interest rates and instability in the global banking system, tariffs, military conflicts and disruptions to and volatility in the credit and financial markets in the United States and worldwide.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Any failure to raise capital as and when needed could have a negative impact on our financial condition and on our ability to pursue our business plans and strategies. If we are unable to raise capital, we will need to delay, reduce or terminate planned activities to reduce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results and costs of researching and developing our lead product candidates or any future product candidates, and conducting nonclinical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the costs involved in, obtaining regulatory approvals or clearances for our lead product candidates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characteristics of any additional product candidates we develop or acquire;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any cash milestone payments if we successfully achieve certain predetermined milestones;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our lead product candidates or any future product candidates and any products we successfully commercialize, including costs associated with building-out our manufacturing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strategic collaborations, licensing or other arrangements and the financial terms of any such agreements that we may enter into;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expenses needed to attract and retain skilled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being a public company;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receipt and amount of sales of any future approved or cleared products,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our operating plans may change, and we may need additional funds to meet operational needs and capital requirements for clinical trials and other research and development activities. We currently have no credit facility or committed sources of capital. Because of the numerous risks and uncertainties associated with the development and commercialization of our product candidates, we are unable to estimate the amounts of increased capital outlays and operating expenditures associated with our current and anticipated product development programs.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cash flows: </w:t>
      </w:r>
    </w:p>
    <w:p>
      <w:pPr>
        <w:pStyle w:val="TextBody"/>
        <w:bidi w:val="0"/>
        <w:jc w:val="left"/>
        <w:rPr/>
      </w:pPr>
      <w:r>
        <w:rPr/>
        <w:t> </w:t>
      </w:r>
    </w:p>
    <w:tbl>
      <w:tblPr>
        <w:tblW w:w="8539" w:type="dxa"/>
        <w:jc w:val="left"/>
        <w:tblInd w:w="0" w:type="dxa"/>
        <w:tblLayout w:type="fixed"/>
        <w:tblCellMar>
          <w:top w:w="28" w:type="dxa"/>
          <w:left w:w="28" w:type="dxa"/>
          <w:bottom w:w="28" w:type="dxa"/>
          <w:right w:w="28" w:type="dxa"/>
        </w:tblCellMar>
      </w:tblPr>
      <w:tblGrid>
        <w:gridCol w:w="5566"/>
        <w:gridCol w:w="146"/>
        <w:gridCol w:w="211"/>
        <w:gridCol w:w="841"/>
        <w:gridCol w:w="166"/>
        <w:gridCol w:w="146"/>
        <w:gridCol w:w="211"/>
        <w:gridCol w:w="841"/>
        <w:gridCol w:w="4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106,405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(134,845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cash used in operating activities was $117.1 million. This was attributable to a net loss of $111.6 million, a net change of $26.6 million in our net operating assets and liabilities offset by non-cash charges of $21.0 million for stock-based compensation, depreciation, amortization and accretion of marketable securities, and a reduction in the carrying amount of right of use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2025, cash provided by operating activities was $106.4 million. This was attributable to a net income of $89.4 million, a net change of $0.5 million in our net operating assets and liabilities and non-cash charges of $16.5 million for stock-based compensation, depreciation, amortization and accretion of marketable securities, and a reduction in the carrying amount of right of use assets.</w:t>
      </w:r>
    </w:p>
    <w:p>
      <w:pPr>
        <w:pStyle w:val="TextBody"/>
        <w:bidi w:val="0"/>
        <w:spacing w:before="36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investing activities during the six months ended June 30, 2026 consisted primarily of $108.0 million from the maturity of marketable securities offset by $46.0 million of purchases of marketable securities and $2.3 million of purchases of property plant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investing activities during the six months ended June 30, 2025 consisted primarily of $200.6 million of purchases of marketable securities and $0.3 million of purchases of property plant and equipment offset by $66.0 million from the sales of marketable securities.</w:t>
      </w:r>
    </w:p>
    <w:p>
      <w:pPr>
        <w:pStyle w:val="TextBody"/>
        <w:bidi w:val="0"/>
        <w:spacing w:before="36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financing activities during the six months ended June 30, 2026 consisted primarily of $80.7 million in proceeds from the controlled equity offering sales agreement, $5.1 million from the exercise of stock options and $0.5 million in proceeds from our Employee Stock Purchase Plan (the “ESPP”).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financing activities during the six months ended June 30, 2025 consisted of $1.6 million from the exercise of stock options and $0.4 million in proceeds from our ESPP.</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contractual obligations as of June 30, 2026 and the effects that such obligations are expected to have on our liquidity and cash flows in future fiscal periods: </w:t>
      </w:r>
    </w:p>
    <w:p>
      <w:pPr>
        <w:pStyle w:val="TextBody"/>
        <w:bidi w:val="0"/>
        <w:jc w:val="left"/>
        <w:rPr/>
      </w:pPr>
      <w:r>
        <w:rPr/>
        <w:t> </w:t>
      </w:r>
    </w:p>
    <w:tbl>
      <w:tblPr>
        <w:tblW w:w="7677" w:type="dxa"/>
        <w:jc w:val="left"/>
        <w:tblInd w:w="0" w:type="dxa"/>
        <w:tblLayout w:type="fixed"/>
        <w:tblCellMar>
          <w:top w:w="28" w:type="dxa"/>
          <w:left w:w="28" w:type="dxa"/>
          <w:bottom w:w="28" w:type="dxa"/>
          <w:right w:w="28" w:type="dxa"/>
        </w:tblCellMar>
      </w:tblPr>
      <w:tblGrid>
        <w:gridCol w:w="2356"/>
        <w:gridCol w:w="146"/>
        <w:gridCol w:w="211"/>
        <w:gridCol w:w="571"/>
        <w:gridCol w:w="146"/>
        <w:gridCol w:w="146"/>
        <w:gridCol w:w="222"/>
        <w:gridCol w:w="603"/>
        <w:gridCol w:w="146"/>
        <w:gridCol w:w="146"/>
        <w:gridCol w:w="211"/>
        <w:gridCol w:w="571"/>
        <w:gridCol w:w="146"/>
        <w:gridCol w:w="146"/>
        <w:gridCol w:w="211"/>
        <w:gridCol w:w="346"/>
        <w:gridCol w:w="146"/>
        <w:gridCol w:w="146"/>
        <w:gridCol w:w="329"/>
        <w:gridCol w:w="541"/>
        <w:gridCol w:w="19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Fiscal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to 3</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4 to 5</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w:t>
              <w:br/>
              <w:t>5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4"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August 2018, we entered into an agreement to lease approximately 23,000 square feet of space for a term of three years. Lease terms are triple net lease commencing at $0.9 million per year, then with 3% annual base rent increases plus operating expenses, real estate taxes, utilities and janitorial fees. The lease commencement date was December 10, 2018.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2021, we entered into an agreement to extend the initial term of the 23,000 square foot lease for a period of three years ending December 31, 2024. In addition, this agreement provides for the lease of an additional 15,000 square feet of rentable space beginning on April 1, 2022 and ending on December 31, 2024. Initial monthly lease payments are approximately $0.1 million with respect to the 23,000 square feet space, and $0.1 million with respect to the 15,000 square feet space, and in each case subject to annual rent escalations. On April 1, 2022, we recognized a right-of-use asset and operating lease liability of $1.8 million for the 15,000 square feet.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we entered into an agreement to extend the term of the 38,000 square foot lease for a period of two years commencing on January 1, 2025 and ending on December 31, 2026. In December 2023, we recognized a right-of-use asset and operating lease liability of $4.1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we entered into an agreement to lease 7,581 square feet of space for an initial term of three years and three months. The lease includes two renewal options for an additional three years each. Lease terms commence at $0.7 million per annum, with 2.0% annual base rent increases plus operating expenses, real estate taxes, and utilities. The lease commencement date was July 8, 2025. In July 2025, we recognized a right-of-use asset and operating lease liability of $1.8 million. In September 2025, we entered into a sublease agreement for the 7,581 square feet of space for a term equal to the initial term of the original lease. Sublease terms commence at $0.4 million per annum with 2% annual rent increases. As a result of this sublease, we recognized a right of use asset impairment of $0.7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21, 2026, we entered into a new lease for our corporate headquarters and laboratory space with NWALP PHOP Property Owner LLC, located at 245 Fifth Avenue, Waltham, Massachusetts (the “Lease Agreement”), in order to expand our office and laboratory space. The Lease Agreement premises include approximately 98,500 square feet. The Lease Agreement will expire on March 31, 2038, and includes two options to further extend the Lease Agreement for an additional five years at the then-prevailing market rate. The aggregate estimated base rent payments due over the term of the Lease Agreement is approximately $86.6 million. We paid a security deposit of $3.0 million in the form of an irrevocable standby letter of credit, which may be reduced over time in accordance with the terms of the Lease Agreement. We expect to occupy the space late in 2026.</w:t>
      </w:r>
    </w:p>
    <w:p>
      <w:pPr>
        <w:pStyle w:val="TextBody"/>
        <w:bidi w:val="0"/>
        <w:spacing w:before="360" w:after="283"/>
        <w:jc w:val="left"/>
        <w:rPr>
          <w:rFonts w:ascii="Times New Roman" w:hAnsi="Times New Roman"/>
          <w:sz w:val="20"/>
        </w:rPr>
      </w:pPr>
      <w:r>
        <w:rPr>
          <w:rFonts w:ascii="Times New Roman" w:hAnsi="Times New Roman"/>
          <w:b/>
          <w:i/>
          <w:color w:val="000000"/>
          <w:sz w:val="20"/>
        </w:rPr>
        <w:t>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commitments primarily consist of obligations under our agreement with the University of Southampton. As of June 30, 2026, we were unable to estimate the timing or likelihood of achieving the milestones or making future product sales. For additional information regarding our agreements, see </w:t>
      </w:r>
      <w:r>
        <w:rPr>
          <w:rFonts w:ascii="Times New Roman" w:hAnsi="Times New Roman"/>
          <w:i/>
          <w:color w:val="000000"/>
          <w:sz w:val="20"/>
        </w:rPr>
        <w:t>Note 6—Commitments and Contingencies</w:t>
      </w:r>
      <w:r>
        <w:rPr>
          <w:rFonts w:ascii="Times New Roman" w:hAnsi="Times New Roman"/>
          <w:color w:val="000000"/>
          <w:sz w:val="20"/>
        </w:rPr>
        <w:t xml:space="preserve"> of the notes to our condensed consolidated financial statements included elsewhere in this Quarterly Report on Form 10-Q</w:t>
      </w:r>
      <w:r>
        <w:rPr>
          <w:rFonts w:ascii="Times New Roman" w:hAnsi="Times New Roman"/>
          <w:i/>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we have entered into agreements with third-party contract manufacturers for the manufacture and processing of certain of our product candidates for preclinical testing purposes, and we have entered and will enter into other contracts in the normal course of business with contract research organizations for clinical trials and other vendors for other services and products for operating purposes. These agreements generally provide for termination or cancellation, other than for costs already incurred. </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periods presented, we did not have, nor do we currently have, any off-balance sheet arrangements as defined under SEC rules.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is based on our condensed consolidated financial statements, which have been prepared in accordance with generally accepted accounting principles (“GAAP”).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significant changes in our critical accounting policies and estimates as compared to the critical accounting policies and estimates disclosed in the section titled “Management’s Discussion and Analysis of Financial Condition and Results of Operations” included in our Annual Report on Form 10-K filed with the SEC on March 16, 2026.</w:t>
      </w:r>
    </w:p>
    <w:p>
      <w:pPr>
        <w:pStyle w:val="TextBody"/>
        <w:bidi w:val="0"/>
        <w:spacing w:before="360" w:after="283"/>
        <w:jc w:val="left"/>
        <w:rPr>
          <w:rFonts w:ascii="Times New Roman" w:hAnsi="Times New Roman"/>
          <w:sz w:val="20"/>
        </w:rPr>
      </w:pPr>
      <w:r>
        <w:rPr>
          <w:rFonts w:ascii="Times New Roman" w:hAnsi="Times New Roman"/>
          <w:b/>
          <w:color w:val="000000"/>
          <w:sz w:val="20"/>
        </w:rPr>
        <w:t>Smaller reporting company status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“smaller reporting company,” meaning that our annual revenue is less than $100.0 million during the last completed fiscal year or the market value of our stock held by non-affiliates was less than $700.0 million as of the end of that fiscal year’s second fiscal quarter. We expect to continue to be a smaller reporting company until the first quarter of 2027. As a smaller reporting company we may choose to present only the two most recent fiscal years of audited financial statements in our Annual Report on Form 10-K and smaller reporting companies have reduced disclosure obligations regarding executive compensation. </w:t>
      </w:r>
    </w:p>
    <w:p>
      <w:pPr>
        <w:pStyle w:val="TextBody"/>
        <w:bidi w:val="0"/>
        <w:spacing w:before="36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2024, the FASB issued ASU 2024-03 “Income Statement— Reporting Comprehensive Income—Expense Disaggregation Disclosures” (“ASU 2024-03”). ASU 2024-03 requires disaggregated disclosure of income statement expenses for public business entities. The ASU does not change the expense captions an entity presents on the face of the income statement; rather, it requires disaggregation of certain expense captions into specified categories in disclosures within the footnotes to the financial statements. ASU 2024-03 is effective for fiscal years beginning after December 15, 2026. The Company does not expect the adoption of ASU 2024-03 to have a material impact on its condensed consolidated financial statements.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risks in the ordinary course, primarily including interest sensitivities. As of June 30, 2026 and December 31, 2025, we had cash, cash equivalents and marketable securities of $354.3 million and $390.9 million respectively. Our primary exposure to market risk is interest rate sensitivity, which is affected by changes in the general level of U.S. interest rates. Because of the short-term maturities of our cash, cash equivalents and marketable securities, we do not believe that an immediate 10% increase in interest rates would have any significant impact on the realized value of our investments. Accordingly, we do not believe we are exposed to material market risk with respect to our cash and cash equivalents.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Inflation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Inflation generally affects us by increasing our clinical trial costs. We do not believe that inflation has had a material effect on our business, financial condition or results of operations during the periods ended June 30, 2026 and 2025.</w:t>
      </w:r>
    </w:p>
    <w:p>
      <w:pPr>
        <w:pStyle w:val="TextBody"/>
        <w:bidi w:val="0"/>
        <w:spacing w:before="360" w:after="283"/>
        <w:jc w:val="left"/>
        <w:rPr>
          <w:rFonts w:ascii="Times New Roman" w:hAnsi="Times New Roman"/>
          <w:b/>
          <w:color w:val="000000"/>
          <w:sz w:val="20"/>
        </w:rPr>
      </w:pPr>
      <w:bookmarkStart w:id="11" w:name="item_4_controls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sz w:val="20"/>
        </w:rPr>
      </w:pPr>
      <w:r>
        <w:rPr>
          <w:rFonts w:ascii="Times New Roman" w:hAnsi="Times New Roman"/>
          <w:b/>
          <w:color w:val="000000"/>
          <w:sz w:val="20"/>
        </w:rPr>
        <w:t>Conclusion Regarding the Effectiveness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supervision and with the participation of our management, including our Chief Financial Officer (our principal accounting officer) and Chief Executive Officer (our principal executive officer), we evaluated the effectiveness of the design and operation of our disclosure controls and procedures (as defined in Rules 13a-15(e) and 15d-15(e) under the Securities Exchange Act of 1934, as amended (Exchange Act)) as of June 30,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our management’s evaluation (with the participation of our Chief Executive Officer and our Chief Financial Officer), as of the end of the period covered by this report, our Chief Executive Officer and our Chief Financial Officer have concluded that our disclosure controls and procedures were effective at the reasonable assurance level.</w:t>
      </w:r>
    </w:p>
    <w:p>
      <w:pPr>
        <w:pStyle w:val="TextBody"/>
        <w:bidi w:val="0"/>
        <w:spacing w:before="160"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has been no change in our internal control over financial reporting (as defined in Rules 13a-15(f) and 15d-15(f) of the Exchange Act) during the period covered by this report that has materially affected, or is reasonably likely to materially affect, our internal control over financial reporting. </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Inherent Limitations on Effectiveness of Controls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Internal control over financial reporting may not prevent or detect all errors and all fraud. 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2" w:name="part_ii_or_information"/>
      <w:bookmarkEnd w:id="12"/>
      <w:r>
        <w:rPr>
          <w:rFonts w:ascii="Times New Roman" w:hAnsi="Times New Roman"/>
          <w:b/>
          <w:color w:val="000000"/>
          <w:sz w:val="20"/>
        </w:rPr>
        <w:t>PART II – OTHER INFORMATION</w:t>
      </w:r>
    </w:p>
    <w:p>
      <w:pPr>
        <w:pStyle w:val="TextBody"/>
        <w:bidi w:val="0"/>
        <w:spacing w:before="12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 harm, and other factors.</w:t>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Summary of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investment in our common stock involves various risks, and prospective investors are urged to carefully consider the matters discussed in the section titled “Risk Factors” prior to making an investment in our common stock. These risks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our collaborators are unable to develop, obtain regulatory approval for and commercialize zorevunersen (STK-001), STK-002 and our future product candidates, or if we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 in early preclinical studies or clinical trials may not be indicative of results obtained in later preclinical studies and clinical trials, including in our Dravet syndrome program or our Autosomal Dominant Optic Atrophy (“ADOA”) program.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complete the necessary preclinical studies and clinical trials, we cannot predict when, or if, we will obtain regulatory approval to commercialize a product candidate and the approval may be for a narrower indication than we seek.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of the diseases we seek to treat have low prevalence, and it may be difficult to identify patients with these diseases, which may lead to delays in enrollment for our trials or slower commercial revenue growth if zorevunersen, STK-002 or our future product candidates are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clinical trials of zorevunersen, STK-002 or any other product candidate that we develop fail to demonstrate safety and efficacy to the satisfaction of the United States Food and Drug Administration (the “FDA”) or foreign regulatory authorities or do not otherwise produce favorable results, we may incur additional costs or experience delays in completing, or ultimately may be unable to complete, the development and commercialization of such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successful in our efforts to expand our pipeline of product candidates and develop marketable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 candidates, when and if any of them are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or the failure of our collaborators to obtain regulatory approval in international jurisdictions would prevent us or our collaborators from marketing our product candidates outside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Zorevunersen, STK-002 or our future product candidates may cause undesirable and unforeseen side effects or be perceived by the public as unsafe, which could delay or prevent their advancement into clinical trials or regulatory approval, limit the commercial potential or result in significant negative consequences.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Rare Pediatric Disease designation by the FDA does not guarantee that the new drug application (“NDA”) for the product will qualify for a priority review voucher upon approval, and it does not lead to a faster development or regulatory review process, or increase the likelihood that zorevunersen, STK-002 or our future product candidates will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Fast Track Designation by the FDA or any use of the accelerated approval pathway, may not lead to a faster development or regulatory review or approval process, and would not increase the likelihood that zorevunersen, STK-002 or any of our future product candidates will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Breakthrough Therapy Designation by the FDA may not lead to a faster development or regulatory review or approval process, and it would not increase the likelihood that zorevunersen, STK-002 or any of our future product candidates will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Enacted and future legislation may increase the difficulty and cost for us to obtain marketing approval of and commercialize our product candidates and may affect the prices we may set.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commercial success of our product candidates, including zorevunersen and STK-002, will depend upon their degree of market acceptance by providers, patients, patient advocacy groups, third-party payors and the general medical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pricing, insurance coverage and reimbursement status of newly approved products is uncertain. Failure to obtain or maintain adequate coverage and reimbursement for our product candidates, if approved, could limit our ability to market those products and decrease our ability to generate product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history of operating losses, and we may not achieve or sustain profitability. We anticipate that we will continue to incur losses for the foreseeable future. If we fail to obtain additional funding to conduct our planned research and development effort, we could be forced to delay, reduce or eliminate our product development programs or commercial development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we will need to raise additional funding before we can expect to become profitable from any potential future sales of zorevunersen, STK-002 or our future product candidates. This additional financing may not be available on acceptable terms or at all. Failure to obtain this necessary capital when needed may force us to delay, limit or terminate our product development efforts or other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limited operating history may make it difficult for you to evaluate the success of our business to date and to assess our future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part on our ability to obtain, maintain and protect our intellectual property. It is difficult and costly to protect our proprietary rights and technology, and we may not be able to ensure their protection.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stock may be volatile, and you could lose all or part of your investment.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Product Development and Regulatory Approval</w:t>
      </w:r>
    </w:p>
    <w:p>
      <w:pPr>
        <w:pStyle w:val="TextBody"/>
        <w:bidi w:val="0"/>
        <w:spacing w:before="120" w:after="283"/>
        <w:jc w:val="left"/>
        <w:rPr>
          <w:rFonts w:ascii="Times New Roman" w:hAnsi="Times New Roman"/>
          <w:sz w:val="20"/>
        </w:rPr>
      </w:pPr>
      <w:r>
        <w:rPr>
          <w:rFonts w:ascii="Times New Roman" w:hAnsi="Times New Roman"/>
          <w:b/>
          <w:i/>
          <w:color w:val="000000"/>
          <w:sz w:val="20"/>
        </w:rPr>
        <w:t>If we or our collaborators are unable to develop, obtain regulatory approval for and commercialize zorevunersen (STK-001), STK-002 and our future product candidates, or if we experience significant delays in doing so, our business will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invested substantially all of our efforts and financial resources in the development of our proprietary protein upregulation platform and our current lead product candidate, zorevunersen, for the treatment of Dravet syndrome. We submitted an investigational new drug application (“IND”) for zorevunersen to the FDA in late 2019. In August 2020, we dosed the first patient with zorevunersen in the single ascending dose portion of the MONARCH Phase 1/2a Study, and in August 2025 we dosed the first patient with zorevunersen in the EMPEROR Phase 3 study.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2021, we announced the nomination of STK-002 as the lead product candidate for the treatment of ADOA and intend to invest significant efforts and financial resources in its development. We submitted a Clinical Trial Authorization (“CTA”) application for STK-002 to the United Kingdom Medicines and Healthcare Products Regulatory Agency (the “MHRA”) in early 2023, and in February 2026 we dosed the first patient with STK-002 in the OSPREY Phase 1 Study. Our ability to generate any future product revenue will depend heavily on the successful development and eventual commercialization of our product candidates, which may never occur. We currently generate no revenue from sales of any product, and we may never be able to develop or commercialize a marketable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our programs and product candidates will require preclinical and clinical development, regulatory approval in multiple jurisdictions, obtaining preclinical, clinical and commercial manufacturing supply, capacity and expertise, building of a commercial organization, substantial investment and significant marketing efforts before we generate any revenue from product sales. As zorevunersen advances into late-stage clinical development, we have begun and expect to continue to make investments to support potential commercialization, including in commercial infrastructure, market access, manufacturing scale-up and medical affairs, which may be significant and may not result in any product revenue if approval is delayed or not obtained, zorevunersen, STK-002 and our future product candidates must be authorized for marketing by the FDA or certain other foreign regulatory agencies, such as the European Medicines Agency (the “EMA”) or the MHRA, before we may commercialize any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zorevunersen, STK-002 and our future product candidates depends on multiple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IND and CTA approvals that allow commencement of our planned clinical trials or future clinical trials for our product candidates in relevant territories;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approval from institutional review boards (“IRBs”) or ethics committees to conduct clinical trials at their respective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enrollment, site visits, evaluations, or dosing of patients participating in clinical trials as hospitals face staffing shortages, whether due to labor relations or otherwise, or patients decide not to enroll in the study as a result of such staffing shortages;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conducive general economic, industry and market conditions, including interest rates, inflation, market volatility and tariffs;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completion of preclinical studies, including those compliant with Good Laboratory Practices toxicology studies, biodistribution studies and minimum effective dose studies in animals;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reach agreements on acceptable terms with prospective third-party contract research organizations (“CROs”) and trial sites, the terms of which can be subject to extensive negotiation and may vary significantly among CROs and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enrollment and completion of clinical trials compliant with current Good Clinical Practices;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positive results from our clinical programs that demonstrate safety and efficacy and provide an acceptable risk-benefit profile for our product candidates in the intended patient populations;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of regulatory approvals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establishment of arrangements with third-party contract manufacturing organizations (“CMOs”) for key materials used in our manufacturing processes and to establish backup sources for clinical and large-scale commercial supply;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establishment and maintenance of patent and trade secret protection and regulatory exclusivity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commercial launch of our product candidates, if and when approved, whether alone or in collaboration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our product candidates, if and when approved, by patients, patient advocacy groups, third-party payors and the general medical community;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effective competition against other therapies available in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establishment and maintenance of adequate reimbursement from third-party payors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acquire or in-license additional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prosecution, maintenance, enforcement and defense of intellectual property rights and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maintenance of a continued acceptable safety profile of our product candidates following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do not succeed in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Success in early preclinical studies or clinical trials may not be indicative of results obtained in later preclinical studies and clinical trials, including in our Dravet syndrome program or our ADOA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Zorevunersen is currently being evaluated in human clinical trials, and we may experience unexpected or negative results in the future. We will be required to demonstrate through adequate and well-controlled clinical trials that our product candidates are safe and effective, with a favorable benefit-risk profile, for use in their target indications before we can seek regulatory approvals for their commercial sale. The positive results we have observed for our product candidates in preclinical animal models may not be predictive of our current or future clinical trials in humans, as mouse models carry inherent limitations relevant to all preclinical studies. In particular, the Dravet syndrome mouse model is more severe than the human disease and provides a shorter post-symptomatic observation period. Trial designs and results from early-phase trials are not necessarily predictive of future clinical trial designs or results, and initial positive results we may observe may not be confirmed in later-phase clinical trials. For example, although we reported end of study data from our Phase 1/2a open-label studies of zorevunersen demonstrating a reduction in median convulsive seizure frequency compared to baseline, these results were based on pooling data from the Phase 1/2a open-label studies of zorevunersen in the United States (MONARCH) and in the United Kingdom (ADMIRAL) and additional trials, including the Phase 3 EMPEROR study, may not confirm these results. Our product candidates may also fail to show the desired safety and efficacy in later stages of clinical development even if they successfully advance through initial clinical trials, and preliminary interim data readouts of ongoing trials may show results that change when such trials are completed. We may not be able to demonstrate a disease-modifying effect of zorevunersen in our clinical trials in Dravet syndrome patients, even if we are able to demonstrate efficacy on seizure reduction, and we may be similarly unable to demonstrate the efficacy of STK-002 in our ADOA program or other future programs. In addition, our clinical trials to date have necessarily involved relatively small numbers of participants. Therefore, conclusions we draw based upon trial results to date may not be repeatable across larger cohorts of participants or patients with different characteristics. Moreover, even if our clinical trials demonstrate acceptable safety and efficacy of zorevunersen, STK-002 or our future product candidates, the labeling we obtain through negotiations with the FDA or foreign regulatory authorities may not include data on secondary endpoints and may not provide us with a competitive advantage over other products approved for the same or similar indications.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in the biotechnology industry have suffered significant setbacks in late-stage clinical trials after achieving positive results in early-stage development and there is a high failure rate for product candidates proceeding through clinical trials. We cannot be certain that we will not face similar setbacks. In addition, different methodologies, assumptions and applications we utilize to assess particular safety or efficacy parameters may yield different statistical results. Even if we believe the data collected from clinical trials of our product candidates are promising, these data may not be sufficient to support approval by the FDA or foreign regulatory authorities. Preclinical and clinical data can be interpreted in different ways. Accordingly, the FDA or foreign regulatory authorities could interpret these data in different ways from us or our partners, which could delay, limit or prevent regulatory approval. If our study data do not consistently or sufficiently demonstrate the safety or efficacy of any of our product candidates, including zorevunersen for Dravet syndrome or STK-002 for ADOA, then the regulatory approvals for such product candidates could be significantly delayed as we work to meet approval requirements, or, if we are not able to meet these requirements, such approvals could be withheld or withdrawn. Regulatory delays or rejections may be encountered as a result of many factors, including changes in regulatory policy during the period of product development.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clinical trials of zorevunersen, STK-002 or any other product candidate that we develop fail to demonstrate safety and efficacy to the satisfaction of FDA or foreign regulatory authorities or do not otherwise produce favorable results, we may incur additional costs or experience delays in completing, or ultimately may be unable to complete, the development and commercialization of such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obtaining marketing approval from regulatory authorities for the sale of any product candidate, including zorevunersen and STK-002,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may be placed on a full or partial clinical hold by the FDA, foreign regulatory authorities, or us for various reasons, including but not limited to: deficiencies in the conduct of the clinical trials, including failure to conduct the clinical trial in accordance with regulatory requirements or clinical protocols; deficiencies in the clinical trial operations or trial sites; deficiencies in the trial designs necessary to demonstrate efficacy; fatalities or other adverse effects arising during a clinical trial due to medical problems that may or may not be related to clinical trial treatments; the product candidates may not appear to be more effective than current therapies; the quality or stability of the product candidates may fall below acceptable standards; or the data from animal studies are not sufficient to support the anticipated exposure (dose, route of administration, and duration) for the proposed clinical trial. For example, the FDA previously placed a partial clinical hold on certain doses of zorevunersen pending additional preclinical testing. Even though the FDA removed the partial clinical hold on zorevunersen, our current and future product candidates may be subject to other clinical holds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the FDA, foreign regulatory authorities, or an IRB or similar foreign review board or committee, may delay initiation of, suspend or limit dose escalation of clinical trials of a product candidate at any time for various reasons, including if we or they believe the healthy volunteer subjects or patients participating in such trials are being exposed to unacceptable health risks. Among other reasons, adverse side effects of a product candidate or a related product in preclinical trials or on healthy volunteer subjects or patients in a clinical trial could result in such a decision. For example, we have previously limited chronic dosing in our open-label extension trials based on interactions with regulatory agencies and a review of interim chronic toxicology data from preclinical studies.</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we complete the necessary preclinical studies and clinical trials, we cannot predict when, or if, we will obtain regulatory approval to commercialize a product candidate and the approval may be for a narrower indication than we seek.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commercialization, zorevunersen, STK-002, and our other future product candidates must be approved by the FDA pursuant to an NDA in the United States and pursuant to similar marketing applications by the EMA and similar regulatory authorities outside the United States.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zorevunersen, STK-002 or any of our other future product candidates from regulatory authorities in any jurisdiction. We have no experience in submitting and supporting the applications necessary to gain marketing approvals, and, in the event regulatory authorities indicate that we may submit such applications, we may be unable to do so as quickly and efficiently as desired.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have substantial discretion in the approval process and may refuse to accept or file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Approval of zorevunersen, STK-002 and our other future product candidates may be delayed or refused for many reasons, including: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satisfaction of the FDA or comparable foreign regulatory authorities, that our product candidates are safe and effective for any of their proposed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trials may not meet the level of statistical significance or clinical meaningfulness required by the FDA or comparable foreign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that our product candidates’ clinical and other benefits outweigh their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our interpretation of data from preclinical programs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an NDA or other comparable submission in foreign jurisdictions or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facilities of third-party manufacturers with which we contract or procure certain services or raw materials may not be adequate to support approval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policies or regulations of the FDA or comparable foreign regulatory authorities may significantly change in a manner rendering our clinical data insufficient for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delays in enrollment, site visits, evaluations, or dosing of patients participating in the clinical trial as hospitals face staffing shortages, whether due to labor relations or otherwise, or patients decide to not enroll in the study.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our product candidates meet their safety and efficacy endpoints in clinical trials, the regulatory authorities may not complete their review processes in a timely manner, or we may not be able to obtain regulatory approval. Additional delays may result if an FDA Advisory Committee or a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 potential temporary federal government shutdown and the review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in June 2024, the U.S. Supreme Court reversed its longstanding approach under the Chevron doctrine, which provided for judicial deference to regulatory agencies, including the FDA. In the future, we cannot be sure whether there will be increased challenges to existing agency regulations or how lower courts will apply the decision in the context of other regulatory schemes without more specific guidance from the U.S. Supreme Court.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also may approve a product candidate for more limited indications than requested or they may impose significant limitations in the form of narrow indications, warnings or a risk evaluation and mitigation strategy (“REMS”). These regulatory authorities may require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adversely affect our business, financial condition, results of operations and prospects. While currently we are not experiencing any significant delays or disruptions to our clinical trials as a result of hospital staffing shortages or global macroeconomic conditions, we take into consideration such shortages and conditions may directly or indirectly impact our clinical trial enrollment, dosing, and regulatory approval timelines. </w:t>
      </w:r>
    </w:p>
    <w:p>
      <w:pPr>
        <w:pStyle w:val="TextBody"/>
        <w:bidi w:val="0"/>
        <w:spacing w:before="120" w:after="283"/>
        <w:jc w:val="left"/>
        <w:rPr>
          <w:rFonts w:ascii="Times New Roman" w:hAnsi="Times New Roman"/>
          <w:sz w:val="20"/>
        </w:rPr>
      </w:pPr>
      <w:r>
        <w:rPr>
          <w:rFonts w:ascii="Times New Roman" w:hAnsi="Times New Roman"/>
          <w:b/>
          <w:i/>
          <w:color w:val="000000"/>
          <w:sz w:val="20"/>
        </w:rPr>
        <w:t>Certain of the diseases we seek to treat have low prevalence, and it may be difficult to identify patients with these diseases, which may lead to delays in enrollment for our trials or slower commercial revenue growth if zorevunersen, STK-002 or our future product candidates are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Genetically defined diseases generally, and especially those for which our product candidates are targeted, have low incidence and prevalence. We estimate that the worldwide incidence of Dravet syndrome is approximately one in 15,600 births, and the incidence of ADOA is approximately one in 30,000 births. This could pose obstacles to the timely recruitment and enrollment of a sufficient number of eligible patients into our trials or limit a product candidate’s commercial potential. Patient enrollment may be affected by other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identify and enroll patients that meet study eligibility criteria in a timely manner for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severity of the disease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 of the study protocol;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perceived risks, benefits and convenience of administration of the product candidate being studied;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referral practices of providers;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and availability of clinical trial sites to prospective patients.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inability to enroll a sufficient number of patients with these diseases for our planned clinical trials would result in significant delays and could cause us to not initiate or abandon one or more clinical trials altogether. Enrollment delays in our clinical trials may result in increased development costs for our product candidate, which would cause the value of our company to decline and limit our ability to obtain additional financing.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our projections of both the number of people who have Dravet syndrome or ADOA, as well as the people with these diseases who have the potential to benefit from treatment with our product candidates, are based on estimates derived from market research studies that we commissioned, which may not accurately identify the size of the market for our product candidates. The total addressable market opportunity for zorevunersen, STK-002 and our future product candidates will ultimately depend upon, among other things, the final labeling for our product candidates, if our product candidates are approved for sale in our target indications, acceptance by the medical community and patient access, drug pricing and reimbursement. The number of patients globally may turn out to be lower than expected, patients may not be otherwise amenable to treatment with our product candidates, or new patients may become increasingly difficult to identify or gain access to, all of which would adversely affect our results of operations and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in light of the limited number of potential patients impacted by Dravet syndrome and ADOA, our per-patient therapy pricing of zorevunersen, STK-002 and our future product candidates, if approved, must be high in order to recover our development and manufacturing costs, fund additional research and achieve profitability. We may also need to fund patient support programs upon the marketing of a product candidate, which would negatively affect our product revenue. We may be unable to maintain or obtain sufficient therapy sales volumes at a price high enough to justify our development efforts and our sales, marketing and manufacturing expenses.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successful in our efforts to expand our pipeline of product candidates and develop marketable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are researching or have in preclinical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approach to protein upregulation by successfully developing and commercializing product candidates based upon our technological approach, we may not be able to obtain product revenue in future periods, which would adversely affect our business, prospects,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2026, we dosed the first patient with STK-002 in the OSPREY Phase 1 Study for the treatment of ADOA; however, we are primarily focused on our lead product candidate for Dravet syndrome, zorevunersen, and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 candidates, when and if any of them are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and the activities associated with their development and potential commercialization, including their testing, manufacturing, recordkeeping, labeling, storage, approval, advertising, promotion, sale and distribution, are subject to comprehensive regulation by the FDA and other U.S. and international regulatory authorities. These requirements include submissions of safety and other post-marketing information and reports, registration and listing requirements, requirements relating to manufacturing, including current Good Manufacturing Practices (“cGMPs”), quality control, quality assurance and corresponding maintenance of records and documents, including periodic inspections by the FDA and other regulatory authorities and requirements regarding the distribution of samples to providers and recordkeeping.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also impose requirements for costly post-marketing studies or clinical trials and surveillance to monitor the safety or efficacy of any approved product. The FDA closely regulates the post-approval marketing and promotion of drugs and biologics to ensure they are marketed only for the approved indications and in accordance with the provisions of the approved labeling. The FDA imposes stringent restrictions on manufacturers’ communications regarding use of their products. If we promote our product candidates in a manner inconsistent with FDA-approved labeling or otherwise not in compliance with FDA regulations, we may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enforcement action. Moreover, while we believe our product candidates may provide improved safety profiles over existing products, unless we conduct head-to-head studies, we will not be able to make comparative claims for products,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Violations of the Federal Food, Drug, and Cosmetic Act relating to the promotion of prescription drugs may lead to investigations alleging violations of federal and state healthcare fraud and abuse laws, as well as state consumer protection laws and similar laws in international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later discovery of previously unknown adverse events or other problems with our product candidates, manufacturers or manufacturing processes, or failure to comply with regulatory requirements, may yield various results,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such product candidates, manufacturers or manufacturing processes;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labeling or marketing of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product distribution or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conduct post-marketing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warning or untitled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any approved product from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approve pending applications or supplements to approved applications that we submit;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recall of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restitution or disgorgement of profits or revenues;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withdrawal of marketing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permit the import or export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Non-compliance with European requirements regarding safety monitoring or pharmacovigilance, and with requirements related to the development of products for the pediatric population, can also result in significant financial penalties. Similarly, failure to comply with Europe’s requirements regarding the protection of personal information can also lead to significant penalties and sanctions. </w:t>
      </w:r>
    </w:p>
    <w:p>
      <w:pPr>
        <w:pStyle w:val="TextBody"/>
        <w:bidi w:val="0"/>
        <w:spacing w:before="120" w:after="283"/>
        <w:jc w:val="left"/>
        <w:rPr>
          <w:rFonts w:ascii="Times New Roman" w:hAnsi="Times New Roman"/>
          <w:sz w:val="20"/>
        </w:rPr>
      </w:pPr>
      <w:r>
        <w:rPr>
          <w:rFonts w:ascii="Times New Roman" w:hAnsi="Times New Roman"/>
          <w:b/>
          <w:i/>
          <w:color w:val="000000"/>
          <w:sz w:val="20"/>
        </w:rPr>
        <w:t>Our failure or the failure of our collaborators to obtain regulatory approval in international jurisdictions would prevent us or our collaborators from marketing our product candidates outside the United States.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market and sell zorevunersen, STK-002 and our future product candidates,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or our collaborators must secure product reimbursement approvals before regulatory authorities will approve the product for sale in that country. Failure to obtain foreign regulatory approvals or non-compliance with foreign regulatory requirements could result in significant delays, difficulties and costs for us and could delay or prevent the introduction of our product candidates in certain countries. The United Kingdom’s exit from the European Union (the “EU”), which is referred to as “Brexit,” became fully effective on December 31, 2020. Brexit continues to create political and economic uncertainty, particularly in the United Kingdom and the EU. Prior to Brexit, a significant proportion of the regulatory framework in the United Kingdom was derived from EU directives and regulations. Following Brexit, the United Kingdom retained the EU regulatory regime with certain modifications as standalone U.K. legislation. Therefore, the U.K. regulatory regime is currently similar to EU regulations, but the United Kingdom has enacted new legislation, the Medicines and Medical Devices Act. Under this legislation, the U.K. may adopt changed regulations that may diverge from the EU legislative regime for medicines, including their research, development and commercialization and has issued a consultation document with respect to future changes. Brexit may lead to additional regulatory costs and could materially impact the regulatory regime with respect to the approval of our product candidates in the United Kingdom or the EU.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our collaborators fail to comply with the regulatory requirements in international markets and receive applicable marketing approvals, the target market will be reduced and our ability to realize the full market potential of our product candidates will be harmed and our business will be adversely affected. Foreign regulatory approvals may not be obtained on a timely basis, if at all. Failure to obtain approval of any of our product candidates by regulatory authorities in another country may significantly diminish the commercial prospects of that product candidate and our business prospects could decline.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Zorevunersen, STK-002 or our future product candidates may cause undesirable and unforeseen side effects or be perceived by the public as unsafe, which could delay or prevent their advancement into clinical trials or regulatory approval, limit the commercial potential or result in significant negative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other antisense oligonucleotides (“ASOs”) have received regulatory approval, our method of seeking to upregulate protein expression by targeting the underlying genetic causes of haploinsufficiencies presents a new approach to disease treatment, which means there is uncertainty associated with the safety profile of zorevunersen, STK-002 or our future product candidates and drugs in the antisense oligonucleotide class.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side effects caused by our product candidates, the intrathecal or intravitreal administration process or related procedures also can cause adverse side effects. If any such adverse events occur, our clinical trials could be suspended or terminated. If we are unable to demonstrate that any adverse events were caused by the administration process or related procedures, the FDA, the European Commission, the EMA, the U.K. MHRA or other regulatory authorities could order us to cease further development of, or deny approval of, our product candidates for any or all targeted indications. Even if we can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adversely affect our business, financial condition, results of operations and prospects significantly. Finally, if commercially available ASO therapies utilizing intrathecal delivery, including SPINRAZA and QALSODY, both of which are produced by Biogen Inc., are found to cause undesirable side effects or to be unsafe due to a potential class effect, it may adversely affect demand for zorevunersen and our other future product candidates. Other ASOs in clinical development utilizing intrathecal delivery could also generate data that could adversely affect the clinical, regulatory or commercial perception of zorevunersen and our other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any of our product candidates receives marketing approval, the FDA could require us to adopt a REMS to ensure that the benefits of the product outweigh its risks, which may include, for example, a Medication Guide outlining the risks of the product for distribution to patients and a communication plan to health care practitioners, or other elements to assure safe use of the product. Furthermore, if we or others later identify undesirable side effects caused by our product candidate, several potentially significant negative consequences could result,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suspend or withdraw approvals of such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additional warnings in the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way a product candidate is administered or conduct additional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occurrences may harm our business, financial condition, results of operations and prospects significantly.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 Rare Pediatric Disease designation by the FDA does not guarantee that the NDA for the product will qualify for a priority review voucher upon approval, and it does not lead to a faster development or regulatory review process, or increase the likelihood that zorevunersen, STK-002 or our future product candidates will receive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Rare Pediatric Disease Priority Review Voucher program, upon the approval of a qualifying NDA for the treatment of a rare pediatric disease, the sponsor of such an application would be eligible for a rare pediatric disease priority review voucher that can be used to obtain priority review for a subsequent Biologics License Application or NDA. As part of our business strategy for zorevunersen, we received Rare Pediatric Disease Designation in October 2022. We may also seek Rare Pediatric Disease designations for any other future product candidates. Under the current sunset provisions, a product candidate is not eligible to receive a voucher if it is not approved before September 30, 2029. However, there can be no assurance that STK-002 or any other future product candidates will be designated or approved, and, therefore, we may not be in a position to obtain any priority review vouchers. Additionally, designation of a drug for a rare pediatric disease does not guarantee that an NDA will meet the eligibility criteria for a rare pediatric disease priority review voucher at the time the application is approved. Finally, a Rare Pediatric Disease Designation does not lead to faster development or regulatory review of the product or increase the likelihood that it will receive marketing approval.</w:t>
      </w:r>
    </w:p>
    <w:p>
      <w:pPr>
        <w:pStyle w:val="TextBody"/>
        <w:bidi w:val="0"/>
        <w:spacing w:before="120" w:after="283"/>
        <w:jc w:val="left"/>
        <w:rPr>
          <w:rFonts w:ascii="Times New Roman" w:hAnsi="Times New Roman"/>
          <w:sz w:val="20"/>
        </w:rPr>
      </w:pPr>
      <w:r>
        <w:rPr>
          <w:rFonts w:ascii="Times New Roman" w:hAnsi="Times New Roman"/>
          <w:b/>
          <w:i/>
          <w:color w:val="000000"/>
          <w:sz w:val="20"/>
        </w:rPr>
        <w:t>A Fast Track Designation by the FDA or any use of the accelerated approval pathway, may not lead to a faster development or regulatory review or approval process, and would not increase the likelihood that zorevunersen, STK-002 or our future product candidates will receive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drug is intended for the treatment of a serious or life-threatening condition and the drug demonstrates the potential to address unmet medical needs for this condition, the drug sponsor may apply to the FDA for Fast Track Designation. The FDA has broad discretion whether to grant this designation. Even if we believe a particular product candidate is eligible for this designation, we cannot assure you that the FDA would decide to grant it. Even if we do receive Fast Track Designation for any of our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candidates, we may not experience a faster development process, review or approval compared to conventional FDA procedures. The FDA may withdraw Fast Track Designation if it believes that the designation is no longer supported by data from our clinical development program. Many drugs that have received Fast Track Designation have failed to obtain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seek accelerated approval for our product candidates. Under the FDA’s accelerated approval program,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Full approval of another product for the same indication as any of our product candidates for which we are seeking accelerated approval may make accelerated approval of our product candidates more difficult. For drugs granted accelerated approval, post-marketing confirmatory trials are required to describe the anticipated effect on irreversible morbidity or mortality or other clinical benefit. These confirmatory trials must be completed with due diligence and in general the FDA may require that the trial be designed and/or initiated prior to approval. The FDA is authorized to require a post-approval study to be underway prior to approval or within a specified time period following approval. The FDA is also required to specify conditions of any required post-approval study, which may include milestones and requires sponsors to submit progress reports for required post-approval studies and any conditions required by the FDA. The FDA may initiate enforcement action for the failure to conduct with due diligence a required post-approval study, including a failure to meet any required conditions specified by the FDA or to submit timely reports. All promotional materials for product candidates approved via accelerated approval are subject to prior review by the FDA. Moreover, the FDA may withdraw approval of any product candidate or indication approved under the accelerated approval pathway if,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trial or trials required to verify the predicted clinical benefit of the product candidate fail to verify such benefit or do not demonstrate sufficient clinical benefit to justify the risks associated with the drug;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evidence demonstrates that the product candidate is not shown to be safe or effective under the conditions of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fail to conduct any required post-approval trial of the product candidate with due diligence;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disseminate false or misleading promotional materials relating to the product candidate. </w:t>
      </w:r>
    </w:p>
    <w:p>
      <w:pPr>
        <w:pStyle w:val="TextBody"/>
        <w:bidi w:val="0"/>
        <w:spacing w:before="120" w:after="283"/>
        <w:jc w:val="left"/>
        <w:rPr>
          <w:rFonts w:ascii="Times New Roman" w:hAnsi="Times New Roman"/>
          <w:sz w:val="20"/>
        </w:rPr>
      </w:pPr>
      <w:r>
        <w:rPr>
          <w:rFonts w:ascii="Times New Roman" w:hAnsi="Times New Roman"/>
          <w:b/>
          <w:i/>
          <w:color w:val="000000"/>
          <w:sz w:val="20"/>
        </w:rPr>
        <w:t>A Breakthrough Therapy Designation by the FDA may not lead to a faster development or regulatory review or approval process, and it would not increase the likelihood that zorevunersen, STK-002 or any of our future product candidates will receive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2024 we announced that the FDA had granted zorevunersen Breakthrough Therapy Designation for the treatment of Dravet syndrome with a confirmed mutation, not associated with gain-of-function, in the SCN1A gene, and we may seek a Breakthrough Therapy Designation for STK-002 or one or more of our future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NDA.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 </w:t>
      </w:r>
    </w:p>
    <w:p>
      <w:pPr>
        <w:pStyle w:val="TextBody"/>
        <w:bidi w:val="0"/>
        <w:spacing w:before="120" w:after="283"/>
        <w:jc w:val="left"/>
        <w:rPr>
          <w:rFonts w:ascii="Times New Roman" w:hAnsi="Times New Roman"/>
          <w:sz w:val="20"/>
        </w:rPr>
      </w:pPr>
      <w:r>
        <w:rPr>
          <w:rFonts w:ascii="Times New Roman" w:hAnsi="Times New Roman"/>
          <w:b/>
          <w:i/>
          <w:color w:val="000000"/>
          <w:sz w:val="20"/>
        </w:rPr>
        <w:t>Enacted and future legislation may increase the difficulty and cost for us to obtain marketing approval of and commercialize our product candidates and may affect the prices we may set.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not obtain or may lose any marketing approval that we may have obtained and we may not achieve or sustain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 the United States, there have been and continue to be a number of legislative initiatives to contain healthcare costs. The pharmaceutical industry has been a particular focus of these efforts and has been significantly affected by major legislative initiatives. Previously, in March 2010, the Patient Protection and Affordable Care Act, as amended by the Health Care and Education Reconciliation Act of 2010 (collectively, the “ACA”) was enacted, which was intended to broaden access to health insurance, reduce or constrain the growth of healthcare spending, enhance remedies against fraud and abuse, add new transparency requirements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 care and health insurance industries, impose new taxes and fees on the health industry and impose additional health policy reforms.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reform initiatives culminated in the enactment of the Inflation Reduction Act (“IRA”) in August 2022, which, among other things, requires the U.S. Department of Health and Human Services (“HHS”) to directly negotiate the selling price of a statutorily specified number of drugs and biologics each year that the Centers for Medicare &amp; Medicaid Services (“CMS”) reimburses under Medicare Part B and Part D. The negotiated price may not exceed a statutory ceiling price. Only high-expenditure single-source drugs that have been approved for at least 7 years (11 years for single-source biologics) are eligible to be selected by CMS for negotiation, with the negotiated price taking effect two years after the selection year. For 2026, the first year in which negotiated prices become effective, CMS selected 10 high-cost Medicare Part D products in 2023, negotiations began in 2024, and the negotiated maximum fair price for each product has been announced. In addition, CMS has selected and announced the negotiated maximum fair price for 15 additional Medicare Part D drugs which will become effective in 2027. For 2028, CMS selected an additional 15 drugs comprised of drugs covered under Medicare Part D and, for the first time, drugs payable under Medicare Part B. For 2029 and subsequent years, 20 Part B or Part D drugs will be selected. The negotiated prices will represent a significant discount from average prices to wholesalers and direct purchasers. Currently, a drug or biological product that has an orphan drug designation for only one rare disease or condition will be excluded from the IRA’s price negotiation requirements, but will lose that exclusion if it receives designations for more than one rare disease or condition, or if it is approved for an indication that is not within that single designated rare disease or condition, unless such additional designation or such disqualifying approvals are withdrawn by the time CMS evaluates the drug for selection for negotiation. However, as a result of a statutory amendment enacted in July 2025, beginning with the 2028 negotiated price applicability year, a drug may be designated for more than one rare disease or condition and still be excluded from price negotiation, as long as the only approved indications are for such rare diseases or conditions. The law also imposes rebates on Medicare Part D and Part B drugs whose prices have increased at a rate greater than the rate of inflation, and in November 2024, CMS finalized regulations pertaining to these inflation rebates. In addition, the law eliminates the “donut hole” under Medicare Part D beginning in 2025 by significantly lowering the beneficiary maximum out-of-pocket cost through a newly established manufacturer discount program which requires manufacturers, in order for their brand drugs to be reimbursed, to subsidize 10% of Part D enrollees’ prescription costs for brand drugs below the out-of-pocket limit, and 20% once the out-of-pocket limit has been reached. The IRA permits the Secretary of HHS to implement many of these provisions through guidance, as opposed to regulation, for the initial years. Manufacturers that fail to comply with the IRA may be subject to various penalties, including civil monetary penalties. These provisions may be subject to legal challenges. For example, the provisions related to the negotiation of selling prices of high-expenditure single-source drugs and biologics have been challenged in multiple lawsuits brought by pharmaceutical manufacturers. Thus, while it is unclear how the IRA will be implemented, it will likely have a significant impact on the pharmaceutical industry.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other legislative changes have been proposed and adopted. These changes have included statutory aggregate reductions of Medicare payments to providers. More recently, in November 2024, CMS issued a final rule that decreased Medicare reimbursement for physician services by 2.8%, effective January 1, 2025. In July 2025, Congress enacted legislation providing for a one-time 2.5% increase to physician payment rates from January 1, 2026 through December 31, 2026, but this increase does not retroactively adjust payments to compensate for the 2025 payment cut. In January 2013, the American Taxpayer Relief Act of 2012 was signed into law, which, among other things, increased the statute of limitations period for the government to recover overpayments to providers from three to five years. Other laws or regulations may result in additional reductions in Medicare and other healthcare funding, which could have a material adverse effect on customers for our drugs, if approved, and accordingly, our financial operations. Additionally, on May 30, 2018, the Trickett Wendler, Frank Mongiello, Jordan McLinn, and Matthew Bellina Right to Try Act of 2017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authorization under an FDA expanded access program; however, manufacturers are not obligated to provide investigational new drug products under the current federal right to try law. We may choose to seek an expanded access program for our product candidates, or to utilize comparable rules in other countries that allow the use of a drug, on a named patient basis or under a compassionate use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there have been, and continue to be, a number of other initiatives at the United States federal and state levels that seek to reduce healthcare costs. For example, the American Rescue Plan Act of 2021 eliminated the statutory cap on Medicaid Drug Rebate Program rebates that manufacturers pay to state Medicaid programs on a unit of drug. Elimination of this cap has, in some cases, required pharmaceutical manufacturers to pay more in rebates than they receive on the sale of products. Further, the Infrastructure Investment and Jobs Act added a requirement, effective January 1, 2023, for manufacturers of certain single-source drugs separately paid for under Medicare Part B for at least 18 months and marketed in single-dose containers or packages (known as refundable single-dose containers or single-use package drugs) to provide annual refunds for any portions of the dispensed drug that are unused and discarded if those unused or discarded portions exceed an applicable percentage defined by statute or regulation. Manufacturers are subject to periodic audits and those that fail to pay refunds for their refundable single-dose containers or single-use package drugs shall be subject to civil monetary penalties. Healthcare reforms that have been adopted, and that may be adopted in the future, could result in further reductions in coverage and levels of reimbursement for pharmaceutical products, increases in rebates payable under U.S. government rebate programs and additional downward pressure on pharmaceutical product prices.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 May 2025, the administration published an executive order regarding most favored nation (“MFN”) drug pricing, which is sometimes referred to as international reference pricing. This executive order directs the Secretary of HHS to communicate MFN price targets to pharmaceutical manufacturers, and if significant progress towards MFN pricing is not delivered, to propose a rulemaking plan to implement MFN pricing. On December 23, 2025, CMS issued proposed regulations to establish, under the Center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Medicare and Medicaid Innovation, two mandatory MFN demonstration models under Medicare Parts B and D, respectively. If these rules or other MFN pricing rules are finalized, they are likely to mandate reduced prices of at least some drugs in the United States, if they are also sold in comparator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the ACA, the IRA,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in the United States, legislatures are increasingly enacting laws and implementing regulations designed to control pharmaceutical and biologic product pricing, including price constraints, restrictions on certain product access, reporting on price increases and the introduction of high-cost drugs, and, in some cases, designed to encourage importation from other countries and bulk purchasing. For example, the FDA released a final rule in September 2020 providing guidance for states to build and submit importation plans for certain prescription drugs from Canada into the United States, and the FDA authorized the first such plan in Florida in January 2024. This plan was granted extensions until May 6, 2026. It is unclear how this program will be implemented, if at all, including which drugs will be chosen, and whether it will be subject to legal challenges in the United States or Canada.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unsuccessful in obtaining Orphan Drug Designation or transfer of designations obtained by others for future product candidates. And, even if we obtain such designation, we may be unable to maintain the benefits associated with Orphan Drug Designation, including the potential for market exclusivity, for zorevunersen, STK-002 or our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business strategy for zorevunersen, we received Orphan Drug Designation for the treatment of Dravet syndrome in the United States in 2019 and also in the EU in 2022. As part of our business strategy for STK-002, we received Orphan Drug Designation for the treatment of ADOA in the United States in 2022. We may seek such designations for our product candidates in other countries as well. However, Orphan Drug Designation does not guarantee future orphan drug marketing exclusivity, and there is no guarantee that we will be successful in obtaining such designation for our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in some jurisdictions, including the United States and Europe, may designate drugs intended to treat relatively small patient populations as orphan drugs. Under the Orphan Drug Act, the FDA may designate a drug as an orphan drug if it is intended to treat a rare disease or condition, which is defined as a patient population of fewer than 200,000 individuals in the United States. In the United States, Orphan Drug Designation entitles a party to financial incentives such as opportunities for tax credits for qualified clinical research costs and exemption from prescription drug user fees. Similarly, in the EU, the European Commission grants Orphan Drug Designation after receiving the opinion of the EMA’s Committee for Orphan Medicinal Products on an Orphan Drug Designation application. In the EU, Orphan Drug Designation is intended to promote the development of drugs that are intended for the diagnosis, prevention or treatment of life-threatening or chronically debilitating conditions affecting not more than five in 10,000 persons in the EU and for which no satisfactory method of diagnosis, prevention or treatment has been authorized (or the product would be a significant benefit to those affected). In the EU, Orphan Drug Designation entitles a party to financial incentives such as reduction of fees or fee waivers.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Generally, if a drug with an Orphan Drug Designation subsequently receives the first marketing approval for the indication for which it has such designation, the drug is entitled to a period of marketing exclusivity, which precludes EMA or the FDA from approving another marketing application for the same drug and indication for that time period, except in limited circumstances. If a competitor is able to obtain orphan drug exclusivity prior to us for a product that constitutes the same active moiety and treats the same indications as our product candidates, we may not be able to obtain approval of our drug by the applicable regulatory authority for a significant period of time unless we are able to show that our drug is clinically superior to the approved drug. The applicable period is seven years in the United States and ten years in the EU. The EU exclusivity period can be reduced to six years if a drug no longer meets the criteria for Orphan Drug Designation or if the drug is sufficiently profitable so that market exclusivity is no longer justified.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after an orphan drug is approved, the FDA can also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orphan drug exclusivity contained in the Orphan Drug Act has been the subject of recent scrutiny from the press, from some members of Congress and from some in the medical community. Furthermore, the FDA’s interpretations of the Orphan Drug Act have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been successfully challenged in court and future court decisions could continue that trend. There can be no assurances that the exclusivity granted to orphan drugs approved by the FDA will not be modified in the future, or as to how any such changes might affect our products, if approved.</w:t>
      </w:r>
    </w:p>
    <w:p>
      <w:pPr>
        <w:pStyle w:val="TextBody"/>
        <w:bidi w:val="0"/>
        <w:spacing w:before="120" w:after="283"/>
        <w:jc w:val="left"/>
        <w:rPr>
          <w:rFonts w:ascii="Times New Roman" w:hAnsi="Times New Roman"/>
          <w:sz w:val="20"/>
        </w:rPr>
      </w:pPr>
      <w:r>
        <w:rPr>
          <w:rFonts w:ascii="Times New Roman" w:hAnsi="Times New Roman"/>
          <w:b/>
          <w:i/>
          <w:color w:val="000000"/>
          <w:sz w:val="20"/>
        </w:rPr>
        <w:t>Disruptions at FDA may slow the time necessary for new products to be reviewed and/or approved, which would adversely affect our business. In addition, there is substantial uncertainty regarding new initiatives under the current administration and how these might impact FDA, its implementation of laws, regulations, policies and guidance and its personnel. Similar initiatives may also be directed toward other government agencies. These initiatives could prevent, limit or delay development and regulatory approval of our product candidates, which would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at FDA may slow the time necessary for new products to be reviewed and/or approved, which would adversely affect our business. Changes in FDA staffing could result in delays in FDA’s responsiveness or in its ability to review submissions or applications, issue regulations or guidance, or implement or enforce regulatory requirements in a timely fashion or at all. If any legislation, executive orders, or lapses in agency funding impose constraints on FDA’s ability to engage in oversight and implementation activities in the normal course, our business may be adversely impacted.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Similar consequences may occur as a result of any future shutdown of the federal government. For example, during the recent government shutdown, the U.S. government and certain regulatory agencies had to furlough critical employees and stop critical activities. A prolonged government shutdown could impact the ability of FDA to timely review and process our regulatory submissions, which could have a material adverse effect on our business. Further, government shutdowns could impact our ability to access the public markets and obtain additional capital in the future. </w:t>
      </w:r>
    </w:p>
    <w:p>
      <w:pPr>
        <w:pStyle w:val="TextBody"/>
        <w:bidi w:val="0"/>
        <w:jc w:val="left"/>
        <w:rPr>
          <w:rFonts w:ascii="Times New Roman" w:hAnsi="Times New Roman"/>
          <w:color w:val="000000"/>
          <w:sz w:val="20"/>
        </w:rPr>
      </w:pPr>
      <w:r>
        <w:rPr>
          <w:rFonts w:ascii="Times New Roman" w:hAnsi="Times New Roman"/>
          <w:color w:val="000000"/>
          <w:sz w:val="20"/>
        </w:rPr>
        <w:t>FDA-regulated industries, such as ours, face uncertainty with regard to the regulatory environment we will face under the current administration as we proceed with research and development and potential future commercialization. Some of these efforts have manifested to date as efforts to reduce the size of the federal government, including large-scale reductions in force at FDA. The loss of key personnel at FDA, including those in leadership positions, is likely to impact operations at FDA, which could result in, among other things, delays or limitations on our ability to obtain guidance from FDA on our product candidates in development, longer review times, and delays in obtaining regulatory approvals for our product candidates. Moreover, the current administration has recently proposed action to freeze or reduce the budget of the National Institutes of Health (the “NIH”) as related to its funding for medical research, which could decrease the ability of facilities that rely on NIH funding to enroll and conduct clinical trials or increase the costs to us of conducting clinical trials. There remains general uncertainty around future activities. New executive orders, regulations, policies or guidance could be issued or promulgated that adversely affects us or creates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become negatively impacted by future government orders, regulations, policies or guidance, there could be a material adverse effect on us and our business.</w:t>
      </w:r>
    </w:p>
    <w:p>
      <w:pPr>
        <w:pStyle w:val="TextBody"/>
        <w:bidi w:val="0"/>
        <w:spacing w:before="120" w:after="283"/>
        <w:jc w:val="left"/>
        <w:rPr>
          <w:rFonts w:ascii="Times New Roman" w:hAnsi="Times New Roman"/>
          <w:sz w:val="20"/>
        </w:rPr>
      </w:pPr>
      <w:r>
        <w:rPr>
          <w:rFonts w:ascii="Times New Roman" w:hAnsi="Times New Roman"/>
          <w:b/>
          <w:i/>
          <w:color w:val="000000"/>
          <w:sz w:val="20"/>
        </w:rPr>
        <w:t>Our operations and relationships with future customers, providers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providers and third-party payors will play a primary role in the recommendation and prescription of any product candidates for which we obtain marketing approval. Our future arrangements with providers, third-party payors and customers will subject us to broadly applicable fraud and abuse and other healthcare laws and regulations that may constrain the business or financial arrangements and relationships through which we market, sell and distribute any product candidates for which we obtain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under applicable U.S. federal and state healthcare laws and regulations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government healthcare programs such as Medicare and Medicaid, and a person or entity does not need to have actual knowledge of the statute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false claims laws, including the federal False Claims Act, imposes criminal and civil penalties, including through civil whistleblower or qui tam actions, against individuals or entities for knowingly presenting, or causing to be presented, to the federal government, claims for payment that are false or fraudulent (including claims for items and services resulting from a violation of the federal Anti-Kickback Statute) or making a false statement to avoid, decrease or conceal an obligation to pay money to the federal government, and certain marketing practices, including off-label promotion, may also violate false claims laws;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(“HIPAA”) imposes criminal and civil liability for, among other things, knowingly and willfully executing or attempting to execute a scheme to defraud any healthcare benefit program or making false statements relating to healthcare matters;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and its implementing regulations, also imposes obligations, including mandatory contractual terms, on certain types of people and entities with respect to safeguarding the privacy, security and transmission of individually identifiable health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Physician Payment Sunshine Act requires applicable manufacturers of covered drugs, devices, biologics, and medical supplies for which payment is available under Medicare, Medicaid, or the Children’s Health Insurance Program, with specific exceptions, to report annually payments and other transfers of value to physicians, physician assistants, certain types of advance practice nurses and teaching hospitals, or to entities or individuals at the request of, or designated on behalf of, such providers, and to report annually certain ownership and investment interests held by physicians and their immediate family, which includes annual data collection and reporting obligations;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and foreign laws and regulations, such as state anti-kickback and false claims laws, may apply to sales or marketing arrangements and claims involving healthcare items or services reimbursed by non-governmental third-party payors, including private insurers.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state and local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Other state laws require pharmaceutical companies to report marketing expenditures or price increases that exceed a statutory threshold, as well as information on the reasons for the price increase, or to report the introduction into the market of costly drugs. State and foreign laws also govern the privacy and security of health information in some circumstances, many of which differ from each other in significant ways and often are not preempted by HIPAA, thus complicating compliance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 candidates from government-funded healthcare programs, such as Medicare and Medicaid, disgorgement, contractual damages, reputational harm, diminished profits and future earnings,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government-funded healthcare programs. </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Commercialization and Manufacturing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commercial success of our product candidates, including zorevunersen and STK-002, will depend upon their degree of market acceptance by providers, patients, patient advocacy groups, third-party payors and the general medical community.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Ethical, social and legal concerns about genetic treatments generally could result in additional regulations restricting or prohibiting our product candidates. Even with the requisite approvals from the FDA, the MHRA, the EMA and other regulatory authorities internationally, the commercial success of our product candidates will depend, in part, on the acceptance of providers, patients and third-party payors of drugs designed to increase protein expression in general, and our product candidates in particular, as medically necessary, cost-effective and safe. In addition, we may face challenges in seeking to establish and grow sales of zorevunersen, STK-002 and any future product candidates, including acceptance of intravitreal injection, the lumbar puncture and intrathecal administration, which carries risks of infection or other complications. Any product that we commercialize may not gain acceptance by providers, patients, patient advocacy groups, third-party payors and the general medical community. If these products do not achieve an adequate level of acceptance, we may not generate significant product revenue and may not become profitable. The degree of market acceptance of genetic medicines and, in particular, zorevunersen, STK-002 and our future product candidates, if approved for commercial sale, will depend on several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durability and safety of such product candidates as demonstrated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of product candidates over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treatment relative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the product candidate is approved by the FDA, the MHRA or the European Commission;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providers to prescribe new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to try new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labeling or product insert requirements of the FDA, MHRA, EMA or other regulatory authorities, including any limitations or warnings contained in a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providers to prescribe, and of patients to receive, intrathecal injections;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marketing and distribution support;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quality of our relationships with patient advocacy groups;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publicity concerning our product candidates or competing products and treatments;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sufficient third-party payor coverage and adequate reimbursement.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a potential product displays a favorable efficacy and safety profile in preclinical studies and clinical trials, market acceptance of the product will not be fully known until after it is launched. </w:t>
      </w:r>
    </w:p>
    <w:p>
      <w:pPr>
        <w:pStyle w:val="TextBody"/>
        <w:bidi w:val="0"/>
        <w:spacing w:before="120" w:after="283"/>
        <w:jc w:val="left"/>
        <w:rPr>
          <w:rFonts w:ascii="Times New Roman" w:hAnsi="Times New Roman"/>
          <w:sz w:val="20"/>
        </w:rPr>
      </w:pPr>
      <w:r>
        <w:rPr>
          <w:rFonts w:ascii="Times New Roman" w:hAnsi="Times New Roman"/>
          <w:b/>
          <w:i/>
          <w:color w:val="000000"/>
          <w:sz w:val="20"/>
        </w:rPr>
        <w:t>The pricing, insurance coverage and reimbursement status of newly approved products is uncertain. Failure to obtain or maintain adequate coverage and reimbursement for our product candidates, if approved, could limit our ability to market those products and decrease our ability to generate product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target indications, including Dravet syndrome and ADOA, are indications with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 If we are unable to establish or sustain coverage and adequate reimbursement for any future product candidates from third-party payors, the adoption of those product candidates and sales revenue will be adversely affected, which, in turn, could adversely affect the ability to market or sell those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coverage and reimbursement by third-party payors will be essential for most patients to be able to afford these treatments. Accordingly, sales of zorevunersen, STK-002 and our future product candidates will depend substantially, both domestically and internationally, on the extent to which the costs of our product candidates will be paid by health maintenance, managed care, pharmacy benefit and similar healthcare management organizations, or will be reimbursed by government authorities, private health coverage insurers and other third-party payors. Even if coverage is provided, the approved reimbursement amount may not be high enough to allow us to establish or maintain pricing sufficient to realize a sufficient return on our investment.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significant uncertainty related to the insurance coverage and reimbursement of newly approved products. In the United States, the principal decisions about reimbursement by government authorities for new products are typically made by the CMS since it decides whether and to what extent a new product will be covered and reimbursed under Medicare. Private payors tend to follow CMS to a substantial degree. However, one payor’s determination to provide coverage for a drug product does not assure that other payors will also provide coverage for the drug product. Further, a payor’s decision to provide coverage for a drug product does not imply that an adequate reimbursement rate will be approved. Reimbursement agencies in Europe may be more conservative than CMS. For example, a number of cancer drugs have been approved for reimbursement in the United States and have not been approved for reimbursement in certain European countries.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therapeutics such as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revenues and profits.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certain third-party payors, such as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 Recently there have been instances in which third-party payors have refused to reimburse treatments for patients for whom the treatment is indicated in the FDA-approved product label. Furthermore, the legislation commonly referred to as the “One Big Beautiful Bill Act” (the “OBBBA”)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was recently signed into law in the U.S., which reduces funding to federal healthcare programs and imposes additional requirements to be eligible for healthcare, which may result in decreased access to healthcare, particularly for Medicaid programs. Even if we are successful in obtaining FDA approvals to commercialize our product candidates, we cannot guarantee that we will be able to secure reimbursement for all patients for whom treatment with our product candidates is indicated.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 Even if favorable coverage and reimbursement status is attained for one or more product candidates for which we or our collaborators receive regulatory approval, less favorable coverage policies and reimbursement rates may be implemented in the future. </w:t>
      </w:r>
    </w:p>
    <w:p>
      <w:pPr>
        <w:pStyle w:val="TextBody"/>
        <w:bidi w:val="0"/>
        <w:spacing w:before="120" w:after="283"/>
        <w:jc w:val="left"/>
        <w:rPr>
          <w:rFonts w:ascii="Times New Roman" w:hAnsi="Times New Roman"/>
          <w:sz w:val="20"/>
        </w:rPr>
      </w:pPr>
      <w:r>
        <w:rPr>
          <w:rFonts w:ascii="Times New Roman" w:hAnsi="Times New Roman"/>
          <w:b/>
          <w:i/>
          <w:color w:val="000000"/>
          <w:sz w:val="20"/>
        </w:rPr>
        <w:t>If third parties on which we depend to conduct our planned preclinical studies, any future clinical trials, or manufacturing of our product candidates do not perform as contractually required, fail to satisfy regulatory or legal requirements or miss expected deadlines, our development program could be delayed with adverse effects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for genetic testing, and on third-party CROs, CMOs, consultants and others to design, conduct, supervise and monitor key activities relating to, discovery, manufacturing, preclinical studies and clinical trials of our product candidates, and we intend to do the same for future activities relating to existing and future programs. Because we rely on third parties and do not have the ability to conduct all required testing,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testing, discovery, manufacturing, preclinical studies or clinical trials being delayed or unsuccessful, in whole or in part. In addition, these third parties may be subject to macroeconomic conditions, such as staffing shortages and supply chain or inflationary pressures that limit their ability to achieve anticipated timelines or result in a greater cost to us. For example, we are aware of a shortage of NHPs available for preclinical studies and although that is not expected to impact our current business, if we begin new product development programs we could be subject to longer development times or difficulty completing necessary research.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as well as regulatory requirements. Our reliance on third parties that we do not control does not relieve us of these responsibilities and requirements. Any such event could have an adverse effect on our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We face significant competition in an environment of rapid technological change and it is possible that our competitors may achieve regulatory approval before us or develop therapies that are more advanced or effective than ours, which may harm our business, financial condition and our ability to successfully market or commercialize zorevunersen, STK-002 and our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biotechnology and pharmaceutical industries, including the genetic medicine and antisense oligonucleotide fields, are characterized by rapidly changing technologies, competition and a strong emphasis on intellectual property. We are aware of several companies focused on developing RNA-based treatments in various indications as well as several companies addressing other methods for modifying genes and regulating protein expression. We also expect to face competition from large and specialty pharmaceutical and biotechnology companies, academic research institutions, government agencies and public and private research institutions.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Numerous treatments for epilepsy exist, including 5-HT agonists, such as UCB’s Fintepla, cannabidiols, such as Jazz Pharmaceuticals’ Epidiolex, GABA receptor agonists, such as clobazam and stiripentol, and glutamate blockers, which is one of the mechanisms of action of topiramate. In addition, numerous compounds are in clinical development for treatment of epilepsy. We believe the clinical development pipeline includes cannabinoids, 5-HT release stimulants, cholesterol 24-hydroxylase inhibitors, potassium channel openers, and sodium channel agonists from a variety of companies. In addition to competition from these small molecule drugs, any products we may develop may also face competition from other types of therapies, such as gene therapy, gene editing, tRNA therapies, modified mRNA therapies or other ASO approaches. For example, one company (Encoded Therapeutics) has started clinical testing of its program for a gene regulation therapy in Dravet syndrome that may address the underlying genetic cause of the disease.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there are no approved treatments for ADOA at this time, we may also face potential competition in our ADOA program. For example, one company (PYC Therapeutics) initiated a dose escalation study for an RNA-based therapy in ADOA.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potential competitors, alone or with their strategic partners, have substantially greater financial, technical and other resources than we do,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 candidates that we may develop. Competitors also may obtain FDA or other regulatory approval for their products more rapidly than we may obtain approval for ours, which could result in our competitors establishing a strong market position before we are able to enter the market, if ever. Additionally, new or advanced technologies developed by our competitors may render our current or future product candidates uneconomical or obsolete, and we may not be successful in marketing our product candidates against competitors.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become and remain profitable, we must develop and eventually commercialize product candidates with significant market potential, which will require us to be successful in a range of challenging activities. These activities include, among other things, completing preclinical studies and initiating and completing clinical trials of our product candidates, obtaining marketing approval for these product candidates, manufacturing, marketing and selling those products that are approved and satisfying any post 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 </w:t>
      </w:r>
    </w:p>
    <w:p>
      <w:pPr>
        <w:pStyle w:val="TextBody"/>
        <w:bidi w:val="0"/>
        <w:spacing w:before="120" w:after="283"/>
        <w:jc w:val="left"/>
        <w:rPr>
          <w:rFonts w:ascii="Times New Roman" w:hAnsi="Times New Roman"/>
          <w:sz w:val="20"/>
        </w:rPr>
      </w:pPr>
      <w:r>
        <w:rPr>
          <w:rFonts w:ascii="Times New Roman" w:hAnsi="Times New Roman"/>
          <w:b/>
          <w:i/>
          <w:color w:val="000000"/>
          <w:sz w:val="20"/>
        </w:rPr>
        <w:t>The manufacture of drugs is complex and our third-party manufacturers may encounter difficulties in production. If any of our third-party manufacturers encounter such difficulties, our ability to provide supply of zorevunersen, STK-002 or our future product candidates for clinical trials, our ability to obtain marketing approval, or our ability to provide supply of our product candidates for patients, if approved, could be delayed or stopped.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established manufacturing relationships with a limited number of suppliers to manufacture raw materials and the drug substance of any product candidate for which we are responsible for preclinical or clinical development. Each supplier may require licenses to manufacture such components if such processes are not owned by the supplier or in the public domain. As part of any marketing approval, a manufacturer and its processes are required to be qualified by the FDA prior to commercialization. If supply from the approved vendor is interrupted, there could be a significant disruption in commercial supply. An alternative vendor would need to be qualified through an NDA supplement which could result in further delay. The FDA or other regulatory agencies outside of the United States may also require additional studies if a new supplier is relied upon for the manufacture of clinical trial materials or commercial production. Switching vendors may involve substantial costs and is likely to result in a delay in our desired clinical and commercial timelines.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process of manufacturing drugs is complex, highly-regulated and subject to multiple risks.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manufacturers, such facilities may need to be closed for an extended period of time to investigate and remedy the contamination, which could delay clinical trials and adversely harm our business. Moreover, if the FDA determines that our manufacturers are not in compliance with FDA laws and regulations, including those governing cGMPs, the FDA may deny NDA approval until the deficiencies are corrected or we replace the manufacturer in our NDA with a manufacturer that is in compliance.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research and commercialization efforts would be impaired, which would have an adverse effect on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reliance on a limited number of manufacturers, the complexity of drug manufacturing and the difficulty of scaling up a manufacturing process could cause the delay of clinical trials, regulatory submissions, required approvals or commercialization of our product candidates, cause us to incur higher costs and prevent us from commercializing our product candidates successfully. Furthermore, if our suppliers fail to deliver the required commercial quantities of materials on a timely basis and at commercially reasonable prices, and we are unable to secure one or more replacement suppliers capable of production in a timely manner at a substantially equivalent cost, our clinical trials may be delayed or we could lose potential revenue.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establish sales and marketing capabilities or enter into agreements with third parties to market and sell zorevunersen, STK-002 and our future product candidates, we may be unable to generate any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a limited marketing organization in the U.S., and we do not yet have any organization for the sales or distribution of zorevunersen, STK-002 or our future product candidates.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although we intend to establish a sales organization if we are able to obtain approval to market any product candidates, we have entered into a strategic alliance with Biogen to develop and commercialize zorevunersen outside of North America (the U.S., Canada and Mexico), and we may enter into strategic alliances with third parties, such as Acadia, to develop and commercialize STK-002 and other future product candidates, including in markets outside of the United States or for other large markets that are beyond our resources. This will reduce the revenue generated from the sales of these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collaborators, such as Acadia and Biogen, and any future strategic alliance partners may not dedicate sufficient resources to the commercialization of our product candidates or may otherwise fail in their commercialization due to factors beyond our control. If we are unable to establish effective alliances to enable the sale of our product candidates to healthcare professionals and in geographical regions, including the United States, that will not be covered by our own marketing and sales force, or if our potential future strategic alliance partners do not successfully commercialize the product candidates, our ability to generate revenues from product sales will be adversely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timely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entered into collaborations with Acadia Pharmaceuticals and Biogen and may, in the future, seek to enter into collaborations with other third parties for the discovery, development and commercialization of our product candidates. 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a collaboration with Acadia to discover or develop certain novel RNA-based medicines for the potential treatment of severe and rare genetic neurodevelopmental diseases of the central nervous system. The collaboration currently includes SYNGAP1 syndrome and such collaboration could represent a significant portion of our product pipeline. We have also entered into the Biogen Agreement for the development and commercialization of zorevunersen and other potential products directed to SCN1A.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derive a significant portion of our future revenue from these agreements or other similar agreements into which we may enter in the future. Revenue from research and development collaborations depends upon continuation of the collaborations, payments for research and development services and resulting options to acquire any licenses of successful product candidates, and the achievement of milestones, contingent payments and royalties, if any, derived from future products developed from our research.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involving our product candidates currently pose, and will continue to pose, the following risks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these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our product candidates or may elect not to continue or renew development or commercialization programs based on preclinical studies or clinical trial results, changes in the collaborators’ strategic focus or available funding, or external factors such as an acquisition that diverts resources or creates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with marketing and distribution rights to one or more products may not commit sufficient resources to the marketing and distribution of such product 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infringe the intellectual property rights of third parties, which may expose us to litigation and potential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the collaborators and us that result in the delay or termination of the research, development or commercialization of our product candidates or that result in costly litigation or arbitration that diverts management attention and resources;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foregoing, our current and any future 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 Any failure to successfully develop or commercialize our product candidates pursuant to our current or any future collaboration agreements could have a material and adverse effect on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to the extent that any of our existing or future collaborators were to terminate a collaboration agreement, we may be forced to independently develop these product candidates, including funding preclinical studies or clinical trials, assuming marketing and distribution costs and defending intellectual property rights, or, in certain instances, abandon product candidates altogether, any of which could result in a change to our business plan and have a material adverse effect on our business, financial condition, results of operations and prospects.</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successful in finding strategic collaborators for continuing development of certain of our future product candidates or successfully commercializing or competing in the market for certain indications.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future, we may decide to collaborate with non-profit organizations, universities, pharmaceutical and biotechnology companies for the development and potential commercialization of existing and new product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 Collaborations are complex and time-consuming to negotiate and document. In addition, there have been a significant number of recent business combinations among large pharmaceutical companies that have resulted in a reduced number of potential future collaborators.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any potential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expire by the other party. Any such termination or expiration would adversely affect us financially and could harm our business reputation. </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our Financial Position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a history of operating losses, and we may not achieve or sustain profitability. We anticipate that we will continue to incur losses for the foreseeable future. If we fail to obtain additional funding to conduct our planned research and development effort, we could be forced to delay, reduce or eliminate our product development programs or commercial development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early-stage biotechnology company with a limited operating history on which to base your investment decision. Biotechnology product development is a highly speculative undertaking and involves a substantial degree of risk. Our operations to date have been limited primarily to organizing and staffing our company, business planning, raising capital, acquiring and developing product and technology rights, manufacturing, and conducting research and development activities for our product candidates. We have never generated any revenue from product sales. We have not obtained regulatory approvals for any of our product candidates, and have funded our operations to date through proceeds from sales of our preferred stock and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net losses in each year since our inception. We had net losses of $61.6 million for the three months ended June 30, 2026 and $23.5 million for the three months ended June 30, 2025. We had a net loss of $111.6 million for the six months ended June 30, 2026 and a net income of $89.4 million for the six months ended June 30, 2025. As of June 30, 2026, we had accumulated deficits of $609.3 million. Substantially all of our operating losses have resulted from costs incurred in connection with our research and development programs and from sales, general and administrative costs associated with our operations. We expect to continue to incur significant expenses and operating losses over the next several years and for the foreseeable future as we intend to continue to conduct research and development, clinical testing, regulatory compliance activities, manufacturing activities, and, if any of our product candidates is approved, sales and marketing activities that, together with anticipated sales, general and administrative expenses, will likely result in us incurring significant losses for the foreseeable future. Our prior losses, combined with expected future losses, have had and will continue to have an adverse effect on our stockholders’ equity and working capital. </w:t>
      </w:r>
    </w:p>
    <w:p>
      <w:pPr>
        <w:pStyle w:val="TextBody"/>
        <w:bidi w:val="0"/>
        <w:spacing w:before="120" w:after="283"/>
        <w:jc w:val="left"/>
        <w:rPr>
          <w:rFonts w:ascii="Times New Roman" w:hAnsi="Times New Roman"/>
          <w:sz w:val="20"/>
        </w:rPr>
      </w:pPr>
      <w:r>
        <w:rPr>
          <w:rFonts w:ascii="Times New Roman" w:hAnsi="Times New Roman"/>
          <w:b/>
          <w:i/>
          <w:color w:val="000000"/>
          <w:sz w:val="20"/>
        </w:rPr>
        <w:t>We expect that we will need to raise additional funding before we can expect to become profitable from any potential future sales of zorevunersen, STK-002 or our future product candidates. This additional financing may not be available on acceptable terms or at all. Failure to obtain this necessary capital when needed may force us to delay, limit or terminate our product development efforts or other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require substantial future capital in order to complete planned and future preclinical and clinical development for zorevunersen, STK-002 and other future product candidates, if any, and potentially commercialize these product candidates. Based on our current operating plan, we believe that our cash, cash equivalents, and marketable securities of approximately $354.3 million as of June 30, 2026 and additional proceeds from the ATM sale of $65.7 million, will fund operations through to potential U.S. commercialization of zorevunersen in early 2028. We expect our spending levels to increase in connection with our preclinical studies and clinical trials of our product candidates. In addition, if we obtain marketing approval for any of our product candidates, we expect to incur significant expenses related to commercial launch, product sales, medical affairs, marketing, manufacturing and distribution. Furthermore, we incur significant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licensing activities, our research and development programs or other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capital might not be available when we need it and our actual cash requirements might be greater than anticipated. If we require additional capital at a time when investment in our industry or in the marketplace in general is limited, we might not be able to raise funding on favorable terms if at all. If we are not able to obtain financing on terms favorable to us, we may need to cease or reduce development or commercialization activities, sell some or all of our assets or merge with another entity, which could result in a loss of all or part of your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the scope, progress and results of discovery, preclinical development, laboratory testing and clinical trials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the development of our internal manufacturing facility and processes;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related to the extent to which we enter into partnerships or other arrangements with third parties to further develop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fees associated with the discovery, acquisition or in-license of product candidates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collaborations on favorable terms,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future commercialization activities, if any, including product sales, marketing, manufacturing and distribution, for any of our product candidates for which we receive marketing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if any, received from commercial sales of our product candidates, should any of our product candidates receive marketing approval;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and enforcing our intellectual property rights and defending intellectual property-related claims.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if approved, may not achieve commercial success. Our commercial revenues, if any, will be derived from sales of product candidates that we do not expect to be commercially available for many years, if at all. Accordingly, we will need to continue to rely on additional financing to achieve our business objectives, which may not be available to us on acceptable terms, or at all. </w:t>
      </w:r>
    </w:p>
    <w:p>
      <w:pPr>
        <w:pStyle w:val="TextBody"/>
        <w:bidi w:val="0"/>
        <w:spacing w:before="120" w:after="283"/>
        <w:jc w:val="left"/>
        <w:rPr>
          <w:rFonts w:ascii="Times New Roman" w:hAnsi="Times New Roman"/>
          <w:sz w:val="20"/>
        </w:rPr>
      </w:pPr>
      <w:r>
        <w:rPr>
          <w:rFonts w:ascii="Times New Roman" w:hAnsi="Times New Roman"/>
          <w:b/>
          <w:i/>
          <w:color w:val="000000"/>
          <w:sz w:val="20"/>
        </w:rPr>
        <w:t>Our limited operating history may make it difficult for you to evaluate the success of our business to date and to assess our future viability.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late-stage clinical company formed in June 2014. Our operations to date have been limited to organizing and staffing our company, business planning, raising capital, acquiring our technology, identifying potential product candidates, undertaking research, preclinical and clinical development of our product candidates, manufacturing, and establishing licensing arrangements. We have not yet demonstrated the ability to obtain marketing approvals, manufacture a commercial scale product or conduct sales and marketing activities necessary for successful commercialization. Consequently, any predictions you make about our future success or viability may not be as accurate as they could be if we had a longer operating history.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may encounter unforeseen expenses, difficulties, complications, delays and other known and unknown factors. We will need to transition from a company with a research and clinical development focus to a company that is also capable of marketing and commercial activities. We may not be successful in such a transition. </w:t>
      </w:r>
    </w:p>
    <w:p>
      <w:pPr>
        <w:pStyle w:val="TextBody"/>
        <w:bidi w:val="0"/>
        <w:spacing w:before="120" w:after="283"/>
        <w:jc w:val="left"/>
        <w:rPr>
          <w:rFonts w:ascii="Times New Roman" w:hAnsi="Times New Roman"/>
          <w:sz w:val="20"/>
        </w:rPr>
      </w:pPr>
      <w:r>
        <w:rPr>
          <w:rFonts w:ascii="Times New Roman" w:hAnsi="Times New Roman"/>
          <w:b/>
          <w:i/>
          <w:color w:val="000000"/>
          <w:sz w:val="20"/>
        </w:rPr>
        <w:t>Our ability to utilize our net operating loss carryforwards may be subject to limitations.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substantial losses during our history. We do not expect to be profitable soon and may never achieve profitability. As of December 31, 2025, we had federal and state net operating loss carryforwards (“NOLs”) of approximately $301.7 million and $329.2 million, respectively, and as of December 31, 2024, we had federal and state NOLs of approximately $242.1 million and $261.5 million, respectively. Our pre-2018 NOLs expire at various dates beginning in 2035. In general, NOLs generated in and after 2018 have no expiration. To the extent that we continue to generate NOLs, unused NOLs carry forward to offset future taxable income until such NOLs expire. Under Sections 382 and 383 of the Internal Revenue Code of 1986 (“IRC“), as amended,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may be limited. We recently performed an IRC 382 study and identified ownership changes in prior years. Based on existing Section 382 limitations, $0.9 million of the existing federal NOL will not be utilizable due to restrictive limitations. We may experience additional ownership changes in the future because of subsequent shifts in our stock ownership. As a result, our ability to use our pre-change NOLs to offset U.S. federal taxable income, if any, is subject to limitations, which could potentially result in increased future tax liability. In addition, at the state level, there may be periods during which the use of NOLs is suspended or otherwise limited, which could accelerate or permanently increase state taxes owed.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U.S. federal income tax reform and changes in other tax laws could adversely affect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2017, U.S. federal tax legislation, commonly referred to as the Tax Cuts and Jobs Act (the “TCJA”) was signed into law, significantly reforming the IRC The TCJA, among other things, includes changes to U.S. federal tax rates, imposes significant additional limitations on the deductibility of business interest, allows for the expensing of capital expenditures, puts into effect the migration from a “worldwide” system of taxation to a partial “territorial” system, and modifies or repeals many business deductions and credits. For our 2022 through 2024 tax years, the TCJA also eliminated the option to immediately deduct research and development expenditures and required taxpayers to amortize domestic expenditures over five years and foreign expenditures over fifteen years. Beginning with our 2025 tax year, the OBBBA restored immediate deductibility of domestic expenditures, while foreign expenditures will continue to be capitalized and amortized over fifteen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examined and incorporated into our financial results the impacts the TCJA and OBBBA may have on our business. The TCJA and OBBBA are far-reaching and complex revisions to the U.S. federal income tax laws with disparate and, in some cases, countervailing impacts on different categories of taxpayers and industries, and will require subsequent rulemaking and interpretation in a number of areas. The long-term impact of the TCJA and OBBBA on the overall economy, the industries in which we operate and our and our partners’ businesses cannot be reliably predicted at this early stage of the new law’s implementation. There can be no assurance that the TCJA and OBBBA will not negatively impact our operating results, financial condition, and future business operations. The estimated impact of the TCJA and OBBBA is based on our management’s current knowledge and assumptions, following consultation with our tax advisors.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our valuation allowance in the U.S., ongoing tax effects of the TCJA and OBBBA are not expected to materially change our effective tax rate in future periods.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success depends in part on our ability to obtain, maintain and protect our intellectual property. It is difficult and costly to protect our proprietary rights and technology, and we may not be able to ensure their protection.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will depend in large part on obtaining and maintaining patent, trademark, trade secret and other intellectual property protection of our proprietary technologies and product candidates, which include our proprietary protein upregulation platform, zorevunersen, STK-002 and the additional gene targets identified by our proprietary protein upregulation platform, their respective components, formulations, combination therapies, methods used to manufacture them and methods of treatment, as well as successfully defending our patents and other intellectual property rights against third-party challenges. Our ability to stop unauthorized third parties from making, using, selling, offering to sell, importing or otherwise commercializing our product candidates is dependent upon the extent to which we have rights under valid and enforceable patents or trade secrets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 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 to do so. For instance, pursuant to the Biogen Agreement, Biogen has certain rights to prepare, file, prosecute, and maintain certain patents and patent applications licensed to Biogen in the Biogen Territory. Our pending and future patent applications may not result in issued patents.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circumvented, or invalidated by third parties. Consequently, we do not know whether any of our platform advances and product candidates will be protectable or remain protected by valid and enforceable patents. In addition, our existing patents and any future patents we obtain may not be sufficiently broad to prevent others from using our technology or from developing competing products and technologies. </w:t>
      </w:r>
    </w:p>
    <w:p>
      <w:pPr>
        <w:pStyle w:val="TextBody"/>
        <w:bidi w:val="0"/>
        <w:spacing w:before="120" w:after="283"/>
        <w:jc w:val="left"/>
        <w:rPr>
          <w:rFonts w:ascii="Times New Roman" w:hAnsi="Times New Roman"/>
          <w:sz w:val="20"/>
        </w:rPr>
      </w:pPr>
      <w:r>
        <w:rPr>
          <w:rFonts w:ascii="Times New Roman" w:hAnsi="Times New Roman"/>
          <w:b/>
          <w:i/>
          <w:color w:val="000000"/>
          <w:sz w:val="20"/>
        </w:rPr>
        <w:t>We depend on intellectual property licensed to us from third parties,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dependent on patents, know-how and proprietary technology licensed from others. Our licenses to such patents, know-how and proprietary technology may not provide exclusive rights in all relevant fields of use and in all territories in which we may wish to develop or commercialize our products in the future. The agreements under which we license patents, know-how and proprietary technology from others are complex, and certain provisions in such agreements may be susceptible to multiple interpretations.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we are a party to a license agreement with the University of Southampton, pursuant to which we in-license key patents and patent applications for our proprietary protein upregulation platform, zorevunersen, STK-002 and our future product candidates. For more information regarding the agreement, please see Note 6—Commitments and contingencies of the notes to the condensed consolidated financial statements included elsewhere in this Quarterly Report on Form 10-Q. The agreement imposes various diligence, milestone payment, royalty, insurance and other obligations on us. If we fail to comply with these obligations, our licensor may have the right to terminate our license, in which event we would not be able to develop or market our proprietary protein upregulation platform, zorevunersen, STK-002 or any other technology or product candidates covered by the intellectual property licensed under the agreement. In addition, we may need to obtain additional licenses from our existing licensor and others to advance our research or allow commercialization of product candidates we may develop. It is possible that we may be unable to obtain any additional licenses at a reasonable cost or on reasonable terms, if at all. In either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or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our existing or future licensors fail to adequately protect our licensed intellectual property, our ability to commercialize product candidates could suffer. We do not have complete control over the maintenance, prosecution and litigation of our in-licensed patents and patent applications and may have limited control over future intellectual property that may be in-licensed. For example, we cannot be certain that activities such as the maintenance and prosecution by our existing or future licensors have been or will be conducted in compliance with applicable laws and regulations or will result in valid and enforceable patents and other intellectual property rights. It is possible that our existing or future licensors’ infringement proceedings or defense activities may be less vigorous than had we conducted them ourselves or may not be conducted in accordance with our best interests.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inventions contained within some of our existing or future in-licensed patents and patent applications may be made using U.S. government funding or other non-governmental funding. We rely on our existing or future licensors to ensure compliance with applicable obligations arising from such funding, such as timely reporting, an obligation associated with in-licensed patents and patent applications. The failure of our existing or future licensors to meet their obligations may lead to a loss of rights or the unenforceability of relevant patents. For example, the government could have certain rights in such in-licensed patents, including a non-exclusive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license authorizing the government to use the invention or to have others use the invention on its behalf for non-commercial purposes. If the U.S. government then decides to exercise these rights, it is not required to engage us as its contractor in connection with doing so. These rights may also permit the government to exercise march-in rights to use or allow third parties to use the technology covered by such in-licensed patents. The government may also exercise its march-in rights if it determines that action is necessary because we or our licensors failed to achieve practical application of the government-funded technology, because action is necessary to alleviate health or safety needs, to meet requirements of federal regulations, or to give preference to U.S. industry. In addition, our rights in such in-licensed government-funded inventions may be subject to certain requirements to manufacture products embodying such inventions in the United States. Any of the foregoing could harm our business, financial condition, results of operations, and prospects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resolution of any contract interpretation disagreement that may arise could narrow what we believe to be the scope of our rights to the relevant patents, know-how and proprietary technology, or increase what we believe to be our financial or other obligations under the relevant agreement. Disputes that may arise between us and our existing or future licensors regarding intellectual property subject to a license agreement could include disputes regarding: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rights granted under the license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and the extent to which our technology and processes infringe on intellectual property of the licensor that is not subject to the licensing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right to sublicense patent and other rights to third parties under collaborative development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diligence obligations with respect to the use of the licensed technology in relation to our development and commercialization of our product candidates and what activities satisfy those diligence obligations;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ownership of inventions and know-how resulting from the joint creation or use of intellectual property by our licensors and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disputes over intellectual property that we have licensed prevent or impair our ability to maintain our current licensing arrangements on acceptable terms, we may be unable to successfully develop and commercialize the affected technology or product candidates. As a result, any termination of or disputes over our intellectual property licenses could result in the loss of our ability to develop and commercialize our proprietary protein upregulation platform, zorevunersen, or STK-002, or we could lose other significant rights, any of which could have a material adverse effect on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our agreements with certain of our third-party research partners provide that improvements developed in the course of our relationship may be owned solely by either us or our third-party research partner, or jointly between us and the third party. If we determine that rights to such improvements owned solely by a research partner or other third party with whom we collaborate are necessary to commercialize our drug candidates or maintain our competitive advantage, we may need to obtain a license from such third party in order to use the improvements and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chance to access technology that is important to our business. We also may need the cooperation of any co-owners of our intellectual property in order to enforce such intellectual property against third parties, and such cooperation may not be provided to us.</w:t>
      </w:r>
    </w:p>
    <w:p>
      <w:pPr>
        <w:pStyle w:val="TextBody"/>
        <w:bidi w:val="0"/>
        <w:spacing w:before="120" w:after="283"/>
        <w:jc w:val="left"/>
        <w:rPr>
          <w:rFonts w:ascii="Times New Roman" w:hAnsi="Times New Roman"/>
          <w:sz w:val="20"/>
        </w:rPr>
      </w:pPr>
      <w:r>
        <w:rPr>
          <w:rFonts w:ascii="Times New Roman" w:hAnsi="Times New Roman"/>
          <w:b/>
          <w:i/>
          <w:color w:val="000000"/>
          <w:sz w:val="20"/>
        </w:rPr>
        <w:t>We also license intellectual property to third parties, and our licensees may not always act in our best interest. If these third parties fail to comply with their obligations under their respective licenses with us, if these licenses are terminated, or if disputes regarding these licenses arise, we could lose significant revenue or rights that are important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agreements under which we license patents, know-how and proprietary technology to others are complex, and certain provisions in such agreements may be susceptible to multiple interpretations. For example, we are a party to a license agreement with Biogen, pursuant to which we out-license key patents and patent applications related to zorevunersen and certain related products. The agreement imposes various diligence, development and other obligations on both parties. If we or our licensee fail to comply with these respective obligations, either party may have the right to terminate the license, in which event our development or marketing of zorevunersen and related products may be negatively impacted and our business may suffer significantly. Moreover, if we and Biogen fail to adequately protect certain intellectual property covering zorevunersen or related products in the Biogen Territory, the ability to commercialize zorevunersen and related products in the Biogen Territory could suffer and our business may be negatively impacted.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complete control over the maintenance, prosecution and litigation of certain out-licensed patents and patent applications. For example, we cannot be certain that activities such as the maintenance and prosecution by our existing or future licensees have been or will be conducted in compliance with applicable laws and regulations or will result in valid and enforceable patents and other intellectual property rights. It is possible that our existing or future licensees’ infringement proceedings, defense activities, or enforcement actions may be less vigorous than had we conducted them ourselves or may not be conducted in accordance with our best interests.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resolution of any contract interpretation disagreement that may arise could broaden what we believe to be the scope of our existing or future licensees’ rights to the relevant patents, know-how and proprietary technology, or decrease what we believe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our licensees’ financial or other obligations under the relevant agreement. Disputes that may arise between us and our existing or future licensees regarding intellectual property subject to a license agreement may negatively impact our business.</w:t>
      </w:r>
    </w:p>
    <w:p>
      <w:pPr>
        <w:pStyle w:val="TextBody"/>
        <w:bidi w:val="0"/>
        <w:spacing w:before="120" w:after="283"/>
        <w:jc w:val="left"/>
        <w:rPr>
          <w:rFonts w:ascii="Times New Roman" w:hAnsi="Times New Roman"/>
          <w:sz w:val="20"/>
        </w:rPr>
      </w:pPr>
      <w:r>
        <w:rPr>
          <w:rFonts w:ascii="Times New Roman" w:hAnsi="Times New Roman"/>
          <w:b/>
          <w:i/>
          <w:color w:val="000000"/>
          <w:sz w:val="20"/>
        </w:rPr>
        <w:t>Our owned and in-licensed patents and patent applications may not provide sufficient protection of our proprietary protein upregulation platform, our zorevunersen and STK-002 product candidates, and our future product candidates or result in any competitive advantage.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own multiple issued U.S. and foreign patents covering zorevunersen and related compositions, the mechanism of action and use of zorevunersen for treating diseases, as well as multiple pending U.S., PCT international, and foreign patent applications covering zorevunersen and related compositions, and the mechanism of action and use of zorevunersen for treating diseases. We have also in-licensed multiple issued U.S. and foreign patents that cover the mechanism of action of zorevunersen, use of the mechanism for treating diseases, and related compositions. With respect to STK-002, we have applied for and are currently pursuing patent protection for the mechanism of action of STK-002, compositions related to STK-002, and uses of those compositions in several economically significant countries. We own multiple issued U.S. and foreign patents covering STK-002 and related compositions. We also own a pending PCT international application and numerous pending U.S. and foreign patent applications covering STK-002 and related compositions, mechanism of action and use of STK-002 for treating diseases. Furthermore, our in-licensed issued U.S. and foreign patents (mentioned above) cover the mechanism of action of STK-002. We cannot be certain that any of the issued patents we currently own or in-license will adequately protect zorevunersen, STK-002 and other programs or that they will not be challenged, narrowed, circumvented, invalidated or held unenforceable. We also cannot be certain that any of the pending patent applications will issue as patents, and if they do, that such patents will cover or adequately protect zorevunersen, STK-002 and other programs or that such patents will not be challenged, narrowed, circumvented, invalidated or held unenforceable.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claims directed toward the technology underlying our proprietary protein upregulation platform, our owned and in-licensed patents and patent applications contain claims directed to compositions of matter on the active pharmaceutical ingredients (“APIs”) in our product candidates, as well as methods-of-use directed to the use of an API for a specified treatment. Composition-of-matter patents on the active pharmaceutical ingredient in prescription drug products provide protection without regard to any particular method of use of the API used. Method-of-use patents do not prevent a competitor or other third party from developing or marketing an identical product for an indication that is outside the scope of the patented method. Moreover, with respect to method-of-use patents, even if competitors or other third parties do not actively promote their product for our targeted indications or uses for which we may obtain patents, providers may recommend that patients use these products off-label, or patients may do so themselves. Although off-label use may infringe or contribute to the infringement of method-of-use patents, the practice is common, and this type of infringement is difficult to prevent or prosecute.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For example, while our patent applications are pending, we may be subject to a third party preissuance submission of prior art to the United States Patent and Trademark Office (the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inter partes review proceedings. An adverse determination in any such submission, proceeding or litigation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Moreover, some of our owned and in-licensed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patent applications in the United States and other countries are confidential for a period of time after filing, at any moment in time, we cannot be certain that we were in the past or will be in the future the first to file any patent application related to our product candidates. In addition, some patent applications in the United States may be maintained in secrecy until the patents are issued. As a result, there may be prior art of which we are not aware that may affect the validity or enforceability of a patent claim, and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 may in the future file, patent applications covering our products or technology similar to ours. Those patent applications may have priority over our owned and in-licensed patent applications or patents, which could require us to obtain rights to issued patents covering such technologies. The possibility also exists that others will develop products that have the same effect as our product candidates on an independent basis that do not infringe our patents or other intellectual property rights, or will design around the claims of patents that we have had issued that cover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Likewise, our currently owned and in-licensed patents and patent applications, if issued as patents, directed to our proprietary technologies and our product candidates are expected to expire from 2035 through 2046, without taking into account any possible patent term adjustments or extensions. Our earliest in-licensed patents may expire before, or soon after, our first product achieves marketing approval in the United States or foreign jurisdictions. Additionally, we cannot be assured that the USPTO or relevant foreign patent offices will grant any of the pending patent applications we own or in-license currently or in the future. Upon the expiration of our current patents, we may lose the right to exclude others from practicing these inventions. The expiration of these patents could also have a similar material adverse effect on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for our proprietary rights is uncertain because legal means afford only limited protection and may not adequately protect our rights or permit us to gain or keep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or use compounds that are similar to the active compositions of our product candidates but that are not covered by the claims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active pharmaceutical ingredients in our current product candidates will eventually become commercially available in generic drug products, and no patent protection may be available with regard to formulation or method of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as the case may be, may fail to meet our obligations to the U.S. government regarding any in-licensed patents and patent applications funded by U.S. government grants, leading to the loss or unenforceability of patent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as the case may be, might not have been the first to file patent applications for certain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pending patent applications will not result in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there are prior public disclosures that could invalidate our owned or in-licensed patents, as the case may be, or parts of our owned or in-licensed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others may circumvent our owned or in-licensed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there are unpublished applications or patent applications maintained in secrecy that may later issue with claims covering our product candidates or technology similar to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laws of foreign countries may not protect our or our licensors’, as the case may be, proprietary rights to the same extent as the laws of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claims of our owned or in-licensed issued patents or patent applications, if and when issued, may not cover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owned or in-licensed issued patents may not provide us with any competitive advantages, may be narrowed in scope, or be held invalid or unenforceable as a result of legal challenges by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inventors of our owned or in-licensed patents or patent applications may become involved with competitors, develop products or processes that design around our patents, or become hostile to us or the patents or patent applications on which they are named as inventors;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engaged in scientific collaborations in the past and will continue to do so in the future and our collaborators may develop adjacent or competing products that are outside the scope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for which we can obtain patent protection;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product candidates or diagnostic tests we develop may be covered by third parties’ patents or other exclusive rights;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have an adverse effect on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 foregoing could have a material adverse effect on our business, financial conditions,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Our strategy of obtaining rights to key technologies through in-licenses may not be 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seek to expand our product candidate pipeline in part by in-licensing the rights to key technologies, including those related to specific gene targets which may be upregulated by our proprietary protein upregulation platform. The future growth of our business will depend in part on our ability to in-license or otherwise acquire the rights to additional product candidates and technologies. Although we have succeeded in licensing technologies from the University of Southampton in the past, we cannot assure you that we will be able to in-license or acquire the rights to any product candidates or technologies from third parties on acceptable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our agreements with certain of our third-party research partners provide that improvements developed in the course of our relationship may be owned solely by either us or our third-party research partner, or jointly between us and the third party. If we determine that exclusive rights to such improvements owned solely by a research partner or other third party with whom we collaborate are necessary to commercialize our drug candidates or maintain our competitive advantage, we may need to obtain an exclusive license from such third party in order to use the improvements and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opportunity to access technology that is important to our business. We also may need the cooperation of any co-owners of our intellectual property in order to enforce such intellectual property against third parties, and such cooperation may not be provided to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in-licensing and acquisition of these technologies is a highly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and prospects could be materially and adversely affected.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patent protection, we rely upon know-how and trade secret protection, as well as non-disclosure agreements and invention assignment agreements with our employees, consultants and third parties, to protect our confidential and proprietary information, especially where we do not believe patent protection is appropriate or obtainable.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We have also adopted policies and conduct trainings that provide guidance on our expectations, and our advice for best practices, in protecting our trade secrets. Despite these efforts, any of these parties may breach the agreements and disclose our proprietary information, including our trade secrets, and we may not be able to obtain adequate remedies for such breaches.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contractual measures, we try to protect the confidential nature of our proprietary information through other appropriate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us from receiving legal recourse. If any of our confidential or proprietary information, such as our trade secrets, were to be disclosed or misappropriated, or if any of that information was independently developed by a competitor, our competitive position could be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courts outside the United States are sometimes less willing to protect trade secrets. If we choose to go to court to stop a third party from using any of our trade secrets, we may incur substantial costs. Even if we are successful, these types of lawsuits may consume our time and other resources. Although we take steps to protect our proprietary information and trade secrets, third parties may independently develop substantially equivalent proprietary information and techniques or otherwise gain access to our trade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secrets or disclose our technology. As a result, we may not be able to meaningfully protect our trade secrets. Any of the foregoing could have a material adverse effect on our business, financial condition, results of operations and prospects.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Third-party claims of intellectual property infringement may prevent, delay or otherwise interfere with our product discovery and development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in part on our ability to develop, manufacture, market and sell our product candidates and use our proprietary technologies without infringing, misappropriating or otherwise violating the intellectual property or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inter partes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misappropriate or otherwise violate their intellectual property rights. Numerous U.S. and foreign issued patents and pending patent applications that are owned by third parties, such as Ionis Pharmaceuticals,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 third parties may allege they have patent rights encompassing our product candidates, technologies or methods.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third party claims that we infringe, misappropriate or otherwise violate its intellectual property rights, we may face a number of issues,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infringement and other intellectual property claims that, regardless of merit, may be expensive and time-consuming to litigate and may divert our management’s attention from our core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plus the patent owner’s attorneys’ fees;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court prohibiting us from developing, manufacturing, marketing or selling our product candidates, or from using our proprietary technologies, unless the third party licenses its product rights to us, which it is not required to do, on commercially reasonable terms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license is available from a third party, we may have to pay substantial royalties, upfront fees and other amounts, and/or grant cross-licenses to intellectual property rights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 that we redesign our product candidates or processes so they do not infringe, which may not be possible or may require substantial monetary expenditures and time;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could be public announcements of the results of hearings, motions, or other interim proceedings or developments, and if securities analysts or investors perceive these results to be negative, it could have a substantial adverse effect on the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assert that we are employing their proprietary technology without authorization, including by enforcing its patents against us by filing a patent infringement lawsuit against us. In this regard, patents issued in the United States by law enjoy a presumption of validity that can be rebutted only with evidence that is “clear and convincing,” a heightened standard of proof.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third-party patents were held by a court of competent jurisdiction to cover the manufacturing process of our product candidates, or materials used in or formed during the manufacturing process, or any final product itself, the holders of those patents may be able to block our ability to commercialize our product candidate unless we obtain a license under the applicable patents, or until those patents were to expire or those patents are finally determined to be invalid or unenforceable. Similarly, if any third-party patent were held by a court of competent jurisdiction to cover aspects of our formulations, processes for manufacture or methods of use, including combination therapy or patient selection methods, the holders of that patent may be able to block our ability to develop and commercialize the product candidate unless we obtain a license or until such patent expires or is finally determined to be invalid or unenforceable. In either case, a license may not be available on commercially reasonable terms, or at all, particularly if such patent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owned or controlled by one of our primary competitors. If we are unable to obtain a necessary license to a third-party patent on commercially reasonable terms, or at all, our ability to commercialize our product candidates may be impaired or delayed, which could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time and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license of this nature would be available at all or whether it would be available on commercially reasonable terms. Furthermore, even in the absence of litigation, we may need to obtain licenses from third parties to advance our research or allow commercialization of our product candidates and we may fail to obtain any of these licenses at a reasonable cost or on reasonable terms, if at all. In that event, we would be unable to further develop and commercialize our product candidates, which could significantly harm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 involved in lawsuits to protect or enforce our patents or the patents of our licensors, which could be expensive, time-consuming and unsuccessful and could result in a finding that such patents are unenforceable or invalid.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our patents or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These types of mechanisms include re-examination, post-grant review, inter partes review, interference proceedings, derivation proceedings, and equivalent proceedings in foreign jurisdictions (e.g., opposition proceedings). These 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Defense of these types of claims, regardless of their merit, would involve substantial litigation expense and would be a substantial diversion of employee resources from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Conversely, we may choose to challenge the patentability of claims in a third party’s U.S. patent by requesting that the USPTO review the patent claims in re-examination, post-grant review, inter partes review, interference proceedings, derivation proceedings, and equivalent proceedings in foreign jurisdictions (e.g., opposition proceedings), or we may choose to challenge a third party’s patent in patent opposition proceedings in the European Patent Office (the “EPO”) or another foreign patent office. Even if successful, the costs of these opposition proceedings could be substantial, and may consume our time or other resources. If we fail to obtain a favorable result at the USPTO, the EPO or other patent office then we may be exposed to litigation by a third party alleging that the patent may be infringed by our product candidates or proprietary technologies.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that perception could have a substantial adverse effect on the price of our common stock. Any of the foregoing could have a material adverse effect on our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limited foreign intellectual property rights and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compete with our product candidates in jurisdictions where we do not have any issued patents and our patent claims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Similarly, the ongoing conflict in Israel could result in regulatory delays or the inability to secure intellectual property or commercialize our products there. Accordingly, our competitive position may be impaired, and our business, financial condition, results of operations and prospects may be adversely affected.</w:t>
      </w:r>
    </w:p>
    <w:p>
      <w:pPr>
        <w:pStyle w:val="TextBody"/>
        <w:bidi w:val="0"/>
        <w:spacing w:before="120" w:after="283"/>
        <w:jc w:val="left"/>
        <w:rPr>
          <w:rFonts w:ascii="Times New Roman" w:hAnsi="Times New Roman"/>
          <w:sz w:val="20"/>
        </w:rPr>
      </w:pPr>
      <w:r>
        <w:rPr>
          <w:rFonts w:ascii="Times New Roman" w:hAnsi="Times New Roman"/>
          <w:b/>
          <w:i/>
          <w:color w:val="000000"/>
          <w:sz w:val="20"/>
        </w:rPr>
        <w:t>Our use of open source software could impose limitations on our ability to commercialize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use of open source software could impose limitations on our ability to commercialize our product candidates. Our technology utilizes open source software that contains modules licensed for use from third-party authors under open source licenses. In particular, some of the software that powers our proprietary protein upregulation platform may be provided under license arrangements that allow use of the software for research or other non-commercial purposes. As a result, in the future, as we seek to use our platform in connection with commercially available products, we may be required to license that software under different license terms, which may not be possible on commercially reasonable terms, if at all. If we are unable to license software components on terms that permit its use for commercial purposes, we may be required to replace those software components, which could result in delays, additional cost and additional regulatory approvals.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Use and distribution of open source software may entail greater risks than use of third-party commercial software, as open source licensors generally do not provide warranties or other contractual protections regarding infringement claims or the quality of the software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of the open source licenses, be required to release the source code of our proprietary software to the public. This could allow our competitors to create similar products with lower development effort and time, and ultimately could result in a loss of product sales for us. Although we monitor our use of open source software, the terms of many open source licenses have not been interpreted by U.S. courts, and there is a risk that those licenses could be construed in a manner that could impose unanticipated conditions or restrictions on our ability to commercialize our product candidates. We could be required to seek licenses from third parties in order to continue offering our product candidates, to re-engineer our product candidates or to discontinue the sale of our product candidates in the event re-engineering cannot be accomplished on a timely basis, any of which could materially and adversely affect our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Third parties may assert that our employees or consultants have wrongfully used or disclosed confidential information or misappropriated trade secrets.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common in the biotechnology and pharmaceutical industries, we employ individuals who were previously employed at universities or other biopharmaceutical or pharmaceutical companies, including our competitors or potential competitors. Although no misappropriation or improper disclosure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We may then have to pursue litigation to defend against these claims. If we fail in defending any claims of this nature in addition to paying monetary damages, we may lose valuable intellectual property rights or personnel. Even if we are successful in defending against these types of claims, litigation or other legal proceedings relating to intellectual property claims may cause us to incur significant expenses, and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 competitors may be able to sustain the costs of this type of litigation or proceedings more effectively than we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successful in obtaining or maintaining necessary rights to product components and processes for our development pipeline through acquisitions and in-licenses.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growth of our business may depend in part on our ability to acquire, in-license or use third-party proprietary rights. For example, our product candidates may require specific formulations to work effectively and efficiently, we may develop product candidates containing our compounds and pre-existing pharmaceutical compounds, or we may be required by the FDA or comparable foreign regulatory authorities to provide a companion diagnostic test or tests with our product candidates, any of which could require us to obtain rights to use intellectual property held by third parties. In addition, with respect to any patents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the additional product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 </w:t>
      </w:r>
    </w:p>
    <w:p>
      <w:pPr>
        <w:pStyle w:val="TextBody"/>
        <w:bidi w:val="0"/>
        <w:spacing w:before="12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on any issued patent are due to be paid to the USPTO and foreign patent agencies in several stages over the lifetime of the patent. The USPTO and various foreign patent agencies also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Were a noncompliance event to occur, our competitors might be able to enter the market, which would have a material adverse effect on our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patent law in the United States and in non-U.S. jurisdictions could diminish the value of patents in general, thereby impairing our ability to protect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Past or future patent reform legislation could increase the uncertainties and costs surrounding the prosecution of our patent applications and the enforcement or defense of our issued patents. For example, in March 2013, under the Leahy-Smith America Invents Act (the “America Invents Act”) the United States moved from a “first to invent” to a “first-to-file” patent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continues to promulgate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the specific patents discussed in this filing have not been determined and would need to be reviewed. However, the America Invents Act and its implementation could increase the uncertainties and costs surrounding the prosecution of our patent applications and the enforcement or defense of our issued patents.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the case, Assoc. for Molecular Pathology v. Myriad Genetics, Inc., the U.S. Supreme Court held that certain claims to DNA molecules are not patentable. While we do not believe that any of our owned or in-licensed patents will be found invalid based on this decision, we cannot predict how future decisions by the courts, the U.S. Congress or the USPTO may impact the value of our patents. Any similar adverse changes in the patent laws of other jurisdictions could also have a material adverse effect on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starting from June 1, 2023, European applications have the option, upon grant of a patent, of becoming a Unitary Patent which will be subject to the jurisdiction of the Unitary Patent Court (“UPC”). This is a significant change in European patent practice. As the UPC is a new court system, there is no precedent for the court, increasing the uncertainty of any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reforms at government agencies of the United States and those of non-U.S. jurisdictions, including applicable non-U.S. patent authorities, could also increase the uncertainties and costs surrounding the prosecution or maintenance of our patent applications or those of any current or future licensors, and the maintenance, enforcement or defense of our issued patents or those of any current or future licensors. For example, the ability of the USPTO and other applicable patent authorities to properly administer their functions is highly dependent on the levels of funding available to the agency and their ability to retain key personnel and fill key leadership appointments, among various factors. Firing of employees or delays in filling or replacing key positions could significantly impact the ability of the USPTO and other applicable patent authorities to fulfill their functions and could greatly impact our ability to adequately prosecute or maintain our patent applications or those of any current or future licensors, or our ability to adequately maintain, enforce, or defend our issued patents or those of any current or future licensors.</w:t>
      </w:r>
    </w:p>
    <w:p>
      <w:pPr>
        <w:pStyle w:val="TextBody"/>
        <w:bidi w:val="0"/>
        <w:spacing w:before="120" w:after="283"/>
        <w:jc w:val="left"/>
        <w:rPr>
          <w:rFonts w:ascii="Times New Roman" w:hAnsi="Times New Roman"/>
          <w:sz w:val="20"/>
        </w:rPr>
      </w:pPr>
      <w:r>
        <w:rPr>
          <w:rFonts w:ascii="Times New Roman" w:hAnsi="Times New Roman"/>
          <w:b/>
          <w:i/>
          <w:color w:val="000000"/>
          <w:sz w:val="20"/>
        </w:rPr>
        <w:t>Patent terms may be inadequate to protect our competitive position on our product candidates for an adequate amount of time.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Given the amount of time required for 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do not obtain patent term extension for any product candidates we may develop,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any FDA marketing approval of any product candidates we may develop, one or more of our U.S. patents may be eligible for limited patent term extension under the Drug Price Competition and Patent Term Restoration Act of 1984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per product may be extended and only those claims covering the approved drug, a method for using it, or a method for manufacturing it may be extended. However, even if we were to seek a patent term extension,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Moreover, the applicable time period or the scope of patent protection afforded could be less than we request. If we are unable to obtain patent term extension or term of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extension is less than we request, our competitors may obtain approval of competing products following our patent expiration, and our business, financial condition, results of operations, and prospects could be materially harmed.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subject to a variety of privacy and data security laws, and our failure to comply with them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maintain a large quantity of sensitive information, including confidential business and patient health information in connection with our preclinical studies, and are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constantly evolving. In May 2018, a new privacy regime, the General Data Protection Regulation (the “GDPR”) took effect in the European Economic Area (the “EEA”) and the United Kingdom. The GDPR governs the collection, use, disclosure, transfer or other processing of personal data of European and United Kingdom persons. The GDPR continues to form part of law in the United Kingdom with some amendments following Brexit (“UK GDPR”), although there is a risk of divergence in the future which may increase our overall data protection compliance cost. Among other things, the GDPR and UK GDPR impose new requirements regarding the security of personal data and notification of data processing obligations to the competent national data processing authorities, changes the lawful bases on which personal data can be processed, expands the definition of personal data and requires changes to informed consent practices, as well as more detailed notices for clinical trial subjects and investigators. In addition, the GDPR and UK GDPR increase the scrutiny of transfers of personal data from clinical trial sites located in the EEA and the United Kingdom to the United States and other jurisdictions that the European Commission or the United Kingdom do not recognize as having “adequate” data protection laws, and imposes substantial fines for breaches and violations (up to the greater of €20 million or 4% of our consolidated annual worldwide gross revenue). The GDPR and UK GDPR also confer a private right of action on data subjects and consumer associations to lodge complaints with supervisory authorities, seek judicial remedies and obtain compensation for damages resulting from violations of the GDPR or UK GDPR.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 recently, the SEC has enacted regulations requiring companies to disclose or otherwise provide notifications regarding data security breaches. For example, the SEC recently adopted cybersecurity risk management and disclosure rules, which require the disclosure of information pertaining to cybersecurity incidents and cybersecurity risk management, strategy and governance. 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 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 </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Employee Matters, Managing Growth and Other Risks Related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expect to expand our development and regulatory capabilities, and as a result, we may encounter difficulties in managing our growth, which could disrupt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experience significant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must attract and retain highly skilled employees to succeed.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results of operations and impair our ability to successfully commercialize zorevunersen, STK-002 and our future product candidates. In particular, we believe that our future success is highly dependent upon the contributions of our senior management, including Ian F. Smith, our Chief Executive Officer, as well as our senior scientists and other members of our management team. The loss of services of one or more of these individuals, who all have at-will employment arrangements with us,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to offer. If we are unable to continue to attract and retain high-quality personnel, the rate and success at which we can discover and develop product candidates and our business will be limited. </w:t>
      </w:r>
    </w:p>
    <w:p>
      <w:pPr>
        <w:pStyle w:val="TextBody"/>
        <w:bidi w:val="0"/>
        <w:spacing w:before="120" w:after="283"/>
        <w:jc w:val="left"/>
        <w:rPr>
          <w:rFonts w:ascii="Times New Roman" w:hAnsi="Times New Roman"/>
          <w:sz w:val="20"/>
        </w:rPr>
      </w:pPr>
      <w:r>
        <w:rPr>
          <w:rFonts w:ascii="Times New Roman" w:hAnsi="Times New Roman"/>
          <w:b/>
          <w:i/>
          <w:color w:val="000000"/>
          <w:sz w:val="20"/>
        </w:rPr>
        <w:t>Future acquisitions or strategic alliances could disrupt our business and harm our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management time and focus from operating our business to addressing acquisition integration challenges;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coordination of research and development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retention of key employees from the acquired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relationships with strategic partners as a result of product acquisitions or strategic positioning resulting from the acquisition;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cultural challenges associated with integrating employees from the acquired company into our organization;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to implement or improve controls, procedures, and policies at a business that prior to the acquisition may have lacked sufficiently effective controls, procedures and policies;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liability for activities of the acquired company before the acquisition, including intellectual property infringement claims, violation of laws, commercial disputes, tax liabilities, and other known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unanticipated write-offs or charges;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or other claims in connection with the acquired company, including claims from terminated employees, customers, former stockholders or other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address these risks or other problems encountered in connection with our past or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 contingent liabilities, amortization expenses or incremental operating expenses, any of which could harm our financial condition or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fail to comply with environmental, health, and safety laws and regulations, we could become subject to fines or penalties or incur costs that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become subject to numerous environmental, health, and safety laws and regulations, including those governing laboratory procedures and the handling, use, storage, treatment, and disposal of hazardous materials and wastes. Our operations will involve the use of hazardous and flammable materials, including chemicals and biological materials. Our operations also may produce hazardous waste products. We generally anticipate contracting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 </w:t>
      </w:r>
    </w:p>
    <w:p>
      <w:pPr>
        <w:pStyle w:val="TextBody"/>
        <w:bidi w:val="0"/>
        <w:spacing w:before="120" w:after="283"/>
        <w:jc w:val="left"/>
        <w:rPr>
          <w:rFonts w:ascii="Times New Roman" w:hAnsi="Times New Roman"/>
          <w:sz w:val="20"/>
        </w:rPr>
      </w:pPr>
      <w:r>
        <w:rPr>
          <w:rFonts w:ascii="Times New Roman" w:hAnsi="Times New Roman"/>
          <w:b/>
          <w:i/>
          <w:color w:val="000000"/>
          <w:sz w:val="20"/>
        </w:rPr>
        <w:t>Unfavorable global economic conditions could adversely affect our business, financial condition, stock price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results of operations could be adversely affected by general conditions in the global economy and in the global financial markets. For example, the global financial economy has been impacted by fluctuating interest rates, inflation and actual and threatened tariffs, as well as the possibility of a recession or further economic downturn. Supply chain disruptions and delays as a result of any new tariff policies or trade restrictions could also negatively impact our cost of materials and production processes. For example, on February 1, 2025, the U.S. imposed a 25% tariff on imports from Canada and Mexico, which were subsequently suspended for a period of one month, and a 10% additional tariff on imports from China, and on April 2, 2025, the U.S. announced a baseline 10% tariff on all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goods, with goods imported from specific nations, including China and those in the European Union, taxed at higher rates. In addition, there are currently headlines and discussions concerning potential increased tariffs for pharmaceutical products, which may impact our supply chain and create uncertainty in the broader pharmaceutical industry.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adverse developments that affect financial institutions, such as events involving liquidity that are rumored or actual, have in the past and may in the future lead to market-wide liquidity problems. For example, on March 10, 2023, Silicon Valley Bank (“SVB”), one of our banking partners, was closed by the California Department of Financial Protection and Innovation, which appointed the Federal Deposit Insurance Corporation (the “FDIC”) as receiver. While we only had a minimal amount of our cash directly at SVB and, since that date, the FDIC has stated that all depositors of SVB will be made whole, there is no guarantee that the federal government would guarantee all depositors in the event of future bank closures, and continued instability in the banking system may adversely impact our business and financial condition. Likewise, the capital and credit markets may be adversely affected by the ongoing conflicts in Israel, Ukraine, Venezuela and Iran, and the possibility of a wider Middle Eastern, European or global conflict, global sanctions imposed in response thereto, an energy crisis and potential recessions. Any further escalation or expansion of hostilities involving Iran, including retaliatory actions, heightened regional instability, disruption to transportation or logistics, volatility in energy markets, or additional sanctions or other governmental actions, could further adversely affect global markets and macroeconomic conditions and, in turn, our business, financial condition and results of operations. A weak or declining economy and actual or threatened tariffs could also strain our suppliers, possibly resulting in supply disruption, or cause our customers to delay making payments for our services.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such difficult economic times, which could directly affect our ability to attain our operating goals on schedule and on budget. Also, hospitals and other medical facilities face staffing shortages, whether due to labor relations or otherwise, which could potentially cause delays in enrollment, site visits, evaluations or other activities important to our research and development efforts.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any general economic downturn. </w:t>
      </w:r>
    </w:p>
    <w:p>
      <w:pPr>
        <w:pStyle w:val="TextBody"/>
        <w:bidi w:val="0"/>
        <w:spacing w:before="120" w:after="283"/>
        <w:jc w:val="left"/>
        <w:rPr>
          <w:rFonts w:ascii="Times New Roman" w:hAnsi="Times New Roman"/>
          <w:sz w:val="20"/>
        </w:rPr>
      </w:pPr>
      <w:r>
        <w:rPr>
          <w:rFonts w:ascii="Times New Roman" w:hAnsi="Times New Roman"/>
          <w:b/>
          <w:i/>
          <w:color w:val="000000"/>
          <w:sz w:val="20"/>
        </w:rPr>
        <w:t>We or the third parties upon whom we depend may be adversely affected by natural disasters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Natural disasters could severely disrupt our operations and have a material adverse effect on our business, results of operations, financial condition and prospects. If a natural disaster, fire, hurricane, power outage or other event occurred that prevented us from using all or a significant portion of our headquarters, that damaged critical infrastructure, such as our suppliers’ manufacturing facilities, or that otherwise disrupted operations, it may be difficult or, in certain cases, impossible for us to continue our business for a substantial period of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Our internal computer and information systems, or those used by our CROs, CMOs or other contractors or consultants, may fail or suffer security breaches, which could result in a material disruption of our development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Despite the implementation of appropriate security measures, our internal computer and information systems and those of our current and any future CROs, CMOs and other contractors or consultants may become vulnerable to damage from computer viruses, unauthorized access, natural disasters, terrorism, war and telecommunication and electrical failures. While we have not experienced any such material system failure, or accident, and are unaware of any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data from completed or future preclinical studies or clinical trials could result in significant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significantly delayed.</w:t>
      </w:r>
    </w:p>
    <w:p>
      <w:pPr>
        <w:pStyle w:val="TextBody"/>
        <w:bidi w:val="0"/>
        <w:spacing w:before="120" w:after="283"/>
        <w:jc w:val="left"/>
        <w:rPr>
          <w:rFonts w:ascii="Times New Roman" w:hAnsi="Times New Roman"/>
          <w:sz w:val="20"/>
        </w:rPr>
      </w:pPr>
      <w:r>
        <w:rPr>
          <w:rFonts w:ascii="Times New Roman" w:hAnsi="Times New Roman"/>
          <w:b/>
          <w:i/>
          <w:color w:val="000000"/>
          <w:sz w:val="20"/>
        </w:rPr>
        <w:t>A breakdown or breach of our technology systems could subject us to liability or interrupt the operation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increasingly dependent upon our technology systems and data to operate our business and our ability to effectively manage our business depends on the security, reliability and adequacy of our technology systems and data, which includes use of cloud technologies, including Software as a Service (SaaS), Platform as a Service (PaaS) and Infrastructure as a Service (IaaS). A breakdown, invasion, corruption, destruction or breach of our technology systems, including the cloud technologies that we utilize, and/or unauthorized access to our data and information could subject us to liability or negatively impact the operation of our business. Our technology systems, including the cloud technologies that we utilize, continue to increase in multitude and complexity, making them potentially vulnerable to breakdown, malicious intrusion and random attack. Likewise, data privacy or security breaches by individuals authorized to access our technology systems, including the cloud technologies that we utilize, may pose a risk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sensitive data, including intellectual property, trade secrets or personal information belonging to us, our patients or other business partners, may be exposed to unauthorized persons or to the public.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Cyber-attacks and other cybersecurity incidents are increasing in their frequency, sophistication and intensity, and have become increasingly difficult to detect. They are often carried out by motivated, well-resourced, skilled and persistent actors, including nation states, organized crime groups, “hacktivists” and employees or contractors acting with malicious intent. Cyber-attacks could include the deployment of harmful malware and key loggers, ransomware, a denial-of-service attack, a malicious website, the use of social engineering and other means to affect the confidentiality, integrity and availability of our technology systems and data. Cyber-attacks could also include supply chain attacks, which could cause a delay in the manufacturing of our products or products produced for contract manufacturing. Our key business partners face similar risks and any security breach of their systems could adversely affect our security posture. Cyber-attacks could include wrongful conduct by hostile foreign governments, industrial espionage, wire fraud and other forms of cyber fraud, the deployment of harmful malware, denial-of-service, social engineering fraud or other means to threaten data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To date, we have not experienced a material compromise of our data or information systems. However,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computer systems of various third parties on which we rely, including our CROs, CMOs and other contractors, consultants and law and accounting firms, may sustain damage from computer viruses, unauthorized access, data breaches, phishing attacks, cybercriminals, natural disasters (including hurricanes and earthquakes), terrorism, war and telecommunication and electrical failures. We rely on our third-party providers to implement effective security measures and identify and correct for any such failures, deficiencies or breaches.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our increased use of cloud technologies and remote working arrangements could heighten these and other operational risks, and any failure by cloud technology service providers to adequately safeguard their systems and prevent cyber-attacks could disrupt our operations and result in misappropriation, corruption or loss of confidential or propriety information. Despite the implementation of appropriate security measures, our internal computer and information systems and those of our current and any future CROs, CMOs and other contractors or consultants may become vulnerable to damage from computer viruses, unauthorized access, natural disasters, terrorism, war and telecommunication and electrical failures. While we have not experienced any such material system failure, or accident, and are unaware of any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data from completed or future preclinical studies or clinical trials could result in significant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significantly delayed. While we continue to build and improve our systems and infrastructure, including our business continuity plans, there can be no assurance that our efforts will prevent breakdowns or breaches in our systems that could adversely affect our business and operations and/or result in the loss of critical or sensitive information, which could result in financial, legal, business, operational or reputational harm to us, or loss of competitive advantage. In addition, our liability insurance may not be sufficient in type or amount to cover us against claims related to security breaches, cyber-attacks and other related breaches.</w:t>
      </w:r>
    </w:p>
    <w:p>
      <w:pPr>
        <w:pStyle w:val="TextBody"/>
        <w:bidi w:val="0"/>
        <w:spacing w:before="120" w:after="283"/>
        <w:jc w:val="left"/>
        <w:rPr>
          <w:rFonts w:ascii="Times New Roman" w:hAnsi="Times New Roman"/>
          <w:sz w:val="20"/>
        </w:rPr>
      </w:pPr>
      <w:r>
        <w:rPr>
          <w:rFonts w:ascii="Times New Roman" w:hAnsi="Times New Roman"/>
          <w:b/>
          <w:i/>
          <w:color w:val="000000"/>
          <w:sz w:val="20"/>
        </w:rPr>
        <w:t>Our employees, principal investigators, CROs, CMOs and consultants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fraud or other misconduct by our employees, principal investigators, consultants and commercial partners. Misconduct by these parties could include intentional failures to comply with the regulations of FDA and non-U.S. regulators, provide accurate information to the FDA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entails a significant risk of product liability and our ability to obtain sufficient insurance coverage could have a material and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face an inherent risk of product liability exposure related to the testing of zorevunersen, STK-002 and our future product candidates in clinical trials and will face an even greater risk if we commercialize any of our product candidates. If we cannot successfully defend ourselves against claims that our product candidates caused injuries, we could incur substantial liabilities. Regardless of merit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any product candidates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and significant negative media attention;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time and 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product candidates that we may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currently have product liability insurance that we believe is appropriate for our stage of development, we may need to obtain higher levels prior to clinical development or marketing zorevunersen, STK-002 or any of our future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market price of our stock may be volatile, and you could lose all or part of your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our common stock may be highly volatile and subject to wide fluctuations in response to various factors, some of which we cannot control. The market price for our common stock may be influenced by many factors, including the other risks described in this section and elsewhere in this report and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preclinical studies and clinical trials of our product candidates, or those of our competitors or our existing or future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the United States and other countries, especially changes in laws or regulations applicable to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introductions and announcements of new products by us, our future commercialization partners, or our competitors, and the timing of these introductions or announcements;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actions taken by regulatory agencies with respect to our product candidates, clinical studies, manufacturing process or sales and marketing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variations in our financial results or those of companies that are perceived to be similar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efforts to acquire or in-license additional technologies, products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concerning any future collaborations, including but not limited to those with our sources of manufacturing supply and our commercialization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or our competitors of significant acquisitions, strategic collaborations, joint ventures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patents or other proprietary rights, including patents, litigation matters and our ability to obtain patent protection for our product candidates and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or inability to raise additional capital and the terms on which we raise 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earnings estimates or changes in stock market analyst recommendations regarding our common stock, other comparable companies or our industry generally;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or the failure of our competitors to meet analysts’ projections or guidance that we or our competitors may give to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in the valuation of companies perceived by investors to be comparable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 and expectation of additional financing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speculation in the press or investment community;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trading volume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our common stock by us or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concentrated ownership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accounting principles;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terrorist acts, acts of war or periods of widespread civil unrest, including conflicts in Ukraine, Israel, Venezuela and Iran, including any further escalation or expansion of hostilities involving Iran, and actions taken by third parties in response to such conflict;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natural disasters and other calamities;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 including interest rate increases and inflation.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including as a result of general economic conditions.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 </w:t>
      </w:r>
    </w:p>
    <w:p>
      <w:pPr>
        <w:pStyle w:val="TextBody"/>
        <w:bidi w:val="0"/>
        <w:spacing w:before="120" w:after="283"/>
        <w:jc w:val="left"/>
        <w:rPr>
          <w:rFonts w:ascii="Times New Roman" w:hAnsi="Times New Roman"/>
          <w:sz w:val="20"/>
        </w:rPr>
      </w:pPr>
      <w:r>
        <w:rPr>
          <w:rFonts w:ascii="Times New Roman" w:hAnsi="Times New Roman"/>
          <w:b/>
          <w:i/>
          <w:color w:val="000000"/>
          <w:sz w:val="20"/>
        </w:rPr>
        <w:t>If securities or industry analysts do not publish research or reports about our business, or if they issue an adverse or misleading opinion regarding our stock, our stock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will be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clinical trials and results of operations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a “smaller reporting company” and we cannot be certain if the reduced reporting requirements applicable to smaller reporting companies will make our common stock less attractive to investors.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meaning that our annual revenue is less than $100.0 million during the last completed fiscal year or the market value of our stock held by non-affiliates was less than $700.0 million as of the end of that fiscal year’s second fiscal quarter. We expect to be a smaller reporting company until the first quarter of 2027. As a smaller reporting company we may choose to present only the two most recent fiscal years of audited financial statements in our Annual Report on Form 10-K and smaller reporting companies have reduced disclosure obligations regarding executive compensation.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pStyle w:val="TextBody"/>
        <w:bidi w:val="0"/>
        <w:spacing w:before="120" w:after="283"/>
        <w:jc w:val="left"/>
        <w:rPr>
          <w:rFonts w:ascii="Times New Roman" w:hAnsi="Times New Roman"/>
          <w:sz w:val="20"/>
        </w:rPr>
      </w:pPr>
      <w:r>
        <w:rPr>
          <w:rFonts w:ascii="Times New Roman" w:hAnsi="Times New Roman"/>
          <w:b/>
          <w:i/>
          <w:color w:val="000000"/>
          <w:sz w:val="20"/>
        </w:rPr>
        <w:t>Anti-takeover provisions in our charter documents and under Delaware law could make an acquisition of us, which may be beneficial to our stockholders, more difficult and may prevent attempts by our stockholders to replace or remove our current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restated certificate of incorporation and our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classified board of directors so that not all members of our board of directors are elected at one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permit only our board of directors to establish the number of directors and fill vacancies on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directors may only be removed “for cause” and only with the approval of two-thirds of our stockholders;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super-majority voting to amend some provisions in our restated certificate of incorporation and restated bylaws;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the issuance of “blank check” preferred stock that our board of directors could use to implement a stockholder rights plan;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eliminate the ability of our stockholders to call special meetings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 action by written consent, which requires all stockholder actions to be taken at a meeting of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cumulative voting;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advance notice requirements for nominations for election to our board of directors or for proposing matters that can be acted upon by stockholders at annual stockholder meetings.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exclusive forum provision in our restated certificate of incorporation may limit a stockholder’s ability to bring a claim in a judicial forum that it finds favorable for disputes with us or any of our directors, officers, or other employees, which may discourage lawsuits with respect to such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restated certificate of incorporation, to the fullest extent permitted by law,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(the “DGCL”), our restated certificate of incorporation, or our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Section 203 of the DGCL may discourage, delay or prevent a change in control of our company. Section 203 imposes certain restrictions on mergers, business combinations and other transactions between us and holders of 15% or more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Section 22 of the Securities Act creates concurrent jurisdiction for federal and state courts over all claims brought to enforce any duty or liability created by the Securities Act or the rules and regulations thereunder. In April 2020, we amended and restated our restated bylaws to provide that the federal district courts of the United States will, to the fullest extent permitted by law, be the exclusive forum for resolving any complaint asserting a cause of action arising under the Securities Act (such provision,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stockholders will not be deemed to have waived our compliance with the federal securities laws and the regulations promulgated thereunder.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incur significant costs as a result of operating as a public company, and our management is required to devote substantial time to new compliance initiatives and corporate governance practices.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incur significant legal, accounting and other expenses. The Sarbanes-Oxley Act, the Dodd-Frank Wall Street Reform and Consumer Protection Act, the continued listing requirements of the Nasdaq Global Select Market (“Nasdaq”)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substantially contribute to our legal and financial compliance costs and make some activities more time consuming and costly.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fail to maintain proper and effective internal control over financial reporting in the future, our ability to produce accurate and timely financial statements could be impaired, which could harm our operating results, investors’ views of us and, as a result, the value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required to comply with Section 404(a) of the Sarbanes-Oxley Act. Section 404(a) of the Sarbanes-Oxley Act requires annual management assessments of the effectiveness of our internal control over financial reporting, starting with the second annual report that we file with the SEC. Additionally, once we are no longer a “smaller reporting company,” our independent registered public accounting firm will be required pursuant to Section 404(b) of the Sarbanes-Oxley Act to attest to the effectiveness of our internal control over financial reporting on an annual basis. The rules governing the standards that must be met for our management to assess our internal control over financial reporting are complex and require significant documentation, testing, and possible remediation.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achieve compliance with Section 404(b)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condensed consolidated financial statements. In addition, if we are not able to continue to meet these requirements, we may not be able to remain listed on Nasdaq.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we grow, we expect to hire additional personnel and may utilize external temporary resources to implement, document and modify policies and procedures to maintain effective internal controls. However, it is possible that we may identify deficiencies and weaknesses in our internal controls. If material weaknesses or deficiencies in our internal controls exist and go undetected or unremediated, our condensed consolidated financial statements could contain material misstatements that, when discovered in the future, could cause us to fail to meet our future reporting obligations and cause the price of our common stock to decline. </w:t>
      </w:r>
    </w:p>
    <w:p>
      <w:pPr>
        <w:pStyle w:val="TextBody"/>
        <w:bidi w:val="0"/>
        <w:spacing w:before="120" w:after="283"/>
        <w:jc w:val="left"/>
        <w:rPr>
          <w:rFonts w:ascii="Times New Roman" w:hAnsi="Times New Roman"/>
          <w:sz w:val="20"/>
        </w:rPr>
      </w:pPr>
      <w:r>
        <w:rPr>
          <w:rFonts w:ascii="Times New Roman" w:hAnsi="Times New Roman"/>
          <w:b/>
          <w:i/>
          <w:color w:val="000000"/>
          <w:sz w:val="20"/>
        </w:rPr>
        <w:t>Because we do not anticipate paying any cash dividends on our capital stock in the foreseeable future, capital appreciation, if any, will be your sole source of gain.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 subject to securities litigation, which is expensive and could divert management attention.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5" w:name="unregistered_sales_of_equity_securities"/>
      <w:bookmarkEnd w:id="15"/>
      <w:r>
        <w:rPr>
          <w:rFonts w:ascii="Times New Roman" w:hAnsi="Times New Roman"/>
          <w:b/>
          <w:color w:val="000000"/>
          <w:sz w:val="20"/>
        </w:rPr>
        <w:t>Item 2. Unregistered Sales of Equity Securities, Use of Proceeds and 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8" w:name="item_5_or_information"/>
      <w:bookmarkEnd w:id="18"/>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June 30, 2026, none of our directors or officers, as defined in Rule 16a-1(f), informed us of the adoption, modification or termination of a "Rule 10b5-1 trading arrangement" or "non-Rule 10b5-1 trading arrangement," as those terms are defined in Regulation S-K, Item 408, except as described in the table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27"/>
        <w:gridCol w:w="146"/>
        <w:gridCol w:w="766"/>
        <w:gridCol w:w="146"/>
        <w:gridCol w:w="886"/>
        <w:gridCol w:w="146"/>
        <w:gridCol w:w="892"/>
        <w:gridCol w:w="146"/>
        <w:gridCol w:w="993"/>
        <w:gridCol w:w="146"/>
        <w:gridCol w:w="1360"/>
        <w:gridCol w:w="146"/>
        <w:gridCol w:w="259"/>
        <w:gridCol w:w="1390"/>
        <w:gridCol w:w="146"/>
        <w:gridCol w:w="146"/>
        <w:gridCol w:w="1364"/>
      </w:tblGrid>
      <w:tr>
        <w:trPr/>
        <w:tc>
          <w:tcPr>
            <w:tcW w:w="11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r>
      <w:tr>
        <w:trPr/>
        <w:tc>
          <w:tcPr>
            <w:tcW w:w="11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Rule 10b5-1*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 Rule 10b5-1**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Shares to be Sold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6"/>
              </w:rPr>
              <w:t>Expiration Date</w:t>
            </w:r>
            <w:r>
              <w:rPr>
                <w:rFonts w:ascii="Times New Roman" w:hAnsi="Times New Roman"/>
                <w:b/>
                <w:color w:val="000000"/>
                <w:sz w:val="11"/>
              </w:rPr>
              <w:t>(1)</w:t>
            </w:r>
          </w:p>
        </w:tc>
      </w:tr>
      <w:tr>
        <w:trPr/>
        <w:tc>
          <w:tcPr>
            <w:tcW w:w="11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Kaye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05/31/2027</w:t>
            </w:r>
          </w:p>
        </w:tc>
      </w:tr>
      <w:tr>
        <w:trPr/>
        <w:tc>
          <w:tcPr>
            <w:tcW w:w="11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*Intended to satisfy the affirmative defense of Rule 10b5-1(c) of the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intended to satisfy the affirmative defense of Rule 10b5-1(c) of the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Except as indicated by footnote, each trading arrangement permitted or permits transactions through and including the earlier of (a) the completion of all purchases or sales or (b) the date listed in the 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new Rule 10b5-1 Plan that was adopted in the above table includes a representation from the director or officer, respectively, to the broker administering the plan that such director or officer was not in possession of any material nonpublic information regarding the Company or the securities subject to the Rule 10b5-1 Plan at the time the Rule 10b5-1 Plan was entered into. A similar representation was made to us in connection with the adoption of the Rule 10b5-1 Plan under our insider trading policy. Those representations were made as of the adoption date set forth above, and speak only as of that date. In making those representations, there is no assurance with respect to any material nonpublic information of which such director or officer was unaware, or with respect to any material nonpublic information acquired by such director or officer or passage after the date of the representation.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Once executed, transactions under a Rule 10b5-1 Plan adopted during the period described above will be disclosed publicly through Form 4 and/or Form 144 filings with the SEC in accordance with applicable securities laws, rules, and regulations. Except as may be required by law, we do not undertake any obligation to update or report any modification, termination, or other activity under current or future Rule 10b5-1 plans that may be adopted by officers or directors of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exhibits filed or furnished as part of this Quarterly Report on Form 10-Q are set forth on the Exhibit Index below.</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45"/>
        <w:gridCol w:w="146"/>
        <w:gridCol w:w="5306"/>
        <w:gridCol w:w="146"/>
        <w:gridCol w:w="511"/>
        <w:gridCol w:w="146"/>
        <w:gridCol w:w="454"/>
        <w:gridCol w:w="146"/>
        <w:gridCol w:w="705"/>
        <w:gridCol w:w="146"/>
        <w:gridCol w:w="631"/>
        <w:gridCol w:w="146"/>
        <w:gridCol w:w="977"/>
      </w:tblGrid>
      <w:tr>
        <w:trPr/>
        <w:tc>
          <w:tcPr>
            <w:tcW w:w="74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5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0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77" w:type="dxa"/>
            <w:tcBorders/>
            <w:shd w:fill="FFFFFF" w:val="clear"/>
            <w:vAlign w:val="center"/>
          </w:tcPr>
          <w:p>
            <w:pPr>
              <w:pStyle w:val="TableContents"/>
              <w:bidi w:val="0"/>
              <w:spacing w:before="0" w:after="283"/>
              <w:jc w:val="left"/>
              <w:rPr>
                <w:sz w:val="4"/>
                <w:szCs w:val="4"/>
              </w:rPr>
            </w:pPr>
            <w:r>
              <w:rPr>
                <w:sz w:val="4"/>
                <w:szCs w:val="4"/>
              </w:rPr>
            </w:r>
          </w:p>
        </w:tc>
      </w:tr>
      <w:tr>
        <w:trPr/>
        <w:tc>
          <w:tcPr>
            <w:tcW w:w="745"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7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Filed/Furnished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10.1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06" w:type="dxa"/>
            <w:tcBorders/>
            <w:tcMar>
              <w:top w:w="0" w:type="dxa"/>
              <w:left w:w="0" w:type="dxa"/>
              <w:bottom w:w="0" w:type="dxa"/>
              <w:right w:w="0" w:type="dxa"/>
            </w:tcMar>
            <w:vAlign w:val="center"/>
          </w:tcPr>
          <w:p>
            <w:pPr>
              <w:pStyle w:val="TableContents"/>
              <w:bidi w:val="0"/>
              <w:spacing w:before="0" w:after="283"/>
              <w:jc w:val="left"/>
              <w:rPr/>
            </w:pPr>
            <w:hyperlink w:anchor="stok-ex10_1.htm">
              <w:r>
                <w:rPr>
                  <w:rStyle w:val="InternetLink"/>
                  <w:rFonts w:ascii="Times New Roman" w:hAnsi="Times New Roman"/>
                  <w:color w:val="0000FF"/>
                  <w:sz w:val="20"/>
                  <w:u w:val="single"/>
                </w:rPr>
                <w:t>Executive Employment Agreement, by and between the Registrant and Ian F. Smith, effective as of October 6, 2025, as amended</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10.2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06" w:type="dxa"/>
            <w:tcBorders/>
            <w:tcMar>
              <w:top w:w="0" w:type="dxa"/>
              <w:left w:w="0" w:type="dxa"/>
              <w:bottom w:w="0" w:type="dxa"/>
              <w:right w:w="0" w:type="dxa"/>
            </w:tcMar>
            <w:vAlign w:val="center"/>
          </w:tcPr>
          <w:p>
            <w:pPr>
              <w:pStyle w:val="TableContents"/>
              <w:bidi w:val="0"/>
              <w:spacing w:before="0" w:after="283"/>
              <w:jc w:val="left"/>
              <w:rPr/>
            </w:pPr>
            <w:hyperlink w:anchor="stok-ex10_2.htm">
              <w:r>
                <w:rPr>
                  <w:rStyle w:val="InternetLink"/>
                  <w:rFonts w:ascii="Times New Roman" w:hAnsi="Times New Roman"/>
                  <w:color w:val="0000FF"/>
                  <w:sz w:val="20"/>
                  <w:u w:val="single"/>
                </w:rPr>
                <w:t>Executive Employment Agreement, by and between the Registrant and Thomas Leggett, effective as of April 23, 2024, as amended.</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X</w:t>
            </w:r>
          </w:p>
          <w:p>
            <w:pPr>
              <w:pStyle w:val="TableContents"/>
              <w:bidi w:val="0"/>
              <w:spacing w:before="0" w:after="283"/>
              <w:jc w:val="left"/>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10.3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06" w:type="dxa"/>
            <w:tcBorders/>
            <w:tcMar>
              <w:top w:w="0" w:type="dxa"/>
              <w:left w:w="0" w:type="dxa"/>
              <w:bottom w:w="0" w:type="dxa"/>
              <w:right w:w="0" w:type="dxa"/>
            </w:tcMar>
            <w:vAlign w:val="center"/>
          </w:tcPr>
          <w:p>
            <w:pPr>
              <w:pStyle w:val="TableContents"/>
              <w:bidi w:val="0"/>
              <w:spacing w:before="0" w:after="283"/>
              <w:jc w:val="left"/>
              <w:rPr/>
            </w:pPr>
            <w:hyperlink w:anchor="stok-ex10_3.htm">
              <w:r>
                <w:rPr>
                  <w:rStyle w:val="InternetLink"/>
                  <w:rFonts w:ascii="Times New Roman" w:hAnsi="Times New Roman"/>
                  <w:color w:val="0000FF"/>
                  <w:sz w:val="20"/>
                  <w:u w:val="single"/>
                </w:rPr>
                <w:t>Executive Employment Agreement, by and between the Registrant and Jason Hoitt, effective as of March 14, 2024, as amended</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X</w:t>
            </w:r>
          </w:p>
          <w:p>
            <w:pPr>
              <w:pStyle w:val="TableContents"/>
              <w:bidi w:val="0"/>
              <w:spacing w:before="0" w:after="283"/>
              <w:jc w:val="left"/>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06" w:type="dxa"/>
            <w:tcBorders/>
            <w:tcMar>
              <w:top w:w="0" w:type="dxa"/>
              <w:left w:w="0" w:type="dxa"/>
              <w:bottom w:w="0" w:type="dxa"/>
              <w:right w:w="0" w:type="dxa"/>
            </w:tcMar>
            <w:vAlign w:val="center"/>
          </w:tcPr>
          <w:p>
            <w:pPr>
              <w:pStyle w:val="TableContents"/>
              <w:bidi w:val="0"/>
              <w:spacing w:before="0" w:after="283"/>
              <w:jc w:val="left"/>
              <w:rPr/>
            </w:pPr>
            <w:hyperlink w:anchor="stok-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06" w:type="dxa"/>
            <w:tcBorders/>
            <w:tcMar>
              <w:top w:w="0" w:type="dxa"/>
              <w:left w:w="0" w:type="dxa"/>
              <w:bottom w:w="0" w:type="dxa"/>
              <w:right w:w="0" w:type="dxa"/>
            </w:tcMar>
            <w:vAlign w:val="center"/>
          </w:tcPr>
          <w:p>
            <w:pPr>
              <w:pStyle w:val="TableContents"/>
              <w:bidi w:val="0"/>
              <w:spacing w:before="0" w:after="283"/>
              <w:jc w:val="left"/>
              <w:rPr/>
            </w:pPr>
            <w:hyperlink w:anchor="stok-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06" w:type="dxa"/>
            <w:tcBorders/>
            <w:tcMar>
              <w:top w:w="0" w:type="dxa"/>
              <w:left w:w="0" w:type="dxa"/>
              <w:bottom w:w="0" w:type="dxa"/>
              <w:right w:w="0" w:type="dxa"/>
            </w:tcMar>
            <w:vAlign w:val="center"/>
          </w:tcPr>
          <w:p>
            <w:pPr>
              <w:pStyle w:val="TableContents"/>
              <w:bidi w:val="0"/>
              <w:spacing w:before="0" w:after="283"/>
              <w:jc w:val="left"/>
              <w:rPr/>
            </w:pPr>
            <w:hyperlink w:anchor="stok-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06" w:type="dxa"/>
            <w:tcBorders/>
            <w:tcMar>
              <w:top w:w="0" w:type="dxa"/>
              <w:left w:w="0" w:type="dxa"/>
              <w:bottom w:w="0" w:type="dxa"/>
              <w:right w:w="0" w:type="dxa"/>
            </w:tcMar>
            <w:vAlign w:val="center"/>
          </w:tcPr>
          <w:p>
            <w:pPr>
              <w:pStyle w:val="TableContents"/>
              <w:bidi w:val="0"/>
              <w:spacing w:before="0" w:after="283"/>
              <w:jc w:val="left"/>
              <w:rPr/>
            </w:pPr>
            <w:hyperlink w:anchor="stok-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This certification is deemed not filed for purposes of section 18 of the Exchange Act or otherwise subject to the liability of that section, nor shall it be deemed incorporated by reference into any filing under the Securities Act or the Exchange Act.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Indicates a management contract or compensatory plan or arrangement in which directors or executive officers are eligible to participate.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072" w:type="dxa"/>
        <w:jc w:val="left"/>
        <w:tblInd w:w="0" w:type="dxa"/>
        <w:tblLayout w:type="fixed"/>
        <w:tblCellMar>
          <w:top w:w="28" w:type="dxa"/>
          <w:left w:w="28" w:type="dxa"/>
          <w:bottom w:w="28" w:type="dxa"/>
          <w:right w:w="28" w:type="dxa"/>
        </w:tblCellMar>
      </w:tblPr>
      <w:tblGrid>
        <w:gridCol w:w="1846"/>
        <w:gridCol w:w="109"/>
        <w:gridCol w:w="406"/>
        <w:gridCol w:w="471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7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STOKE THERAPEUTICS,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7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Ian F. Smith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Ian F. Smith</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7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E. Leggett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E. Leggett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jc w:val="center"/>
              <w:rPr>
                <w:rFonts w:ascii="Times New Roman" w:hAnsi="Times New Roman"/>
                <w:b/>
                <w:color w:val="000000"/>
                <w:sz w:val="20"/>
              </w:rPr>
            </w:pPr>
            <w:r>
              <w:rPr>
                <w:rFonts w:ascii="Times New Roman" w:hAnsi="Times New Roman"/>
                <w:b/>
                <w:color w:val="000000"/>
                <w:sz w:val="20"/>
              </w:rPr>
              <w:t>(Principal Financial Officer and Principal Accounting</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1" w:name="stok-ex10_1.htm"/>
      <w:bookmarkStart w:id="22" w:name="ksstokex10_1"/>
      <w:bookmarkEnd w:id="21"/>
      <w:bookmarkEnd w:id="22"/>
      <w:r>
        <w:rPr>
          <w:rFonts w:ascii="Times New Roman" w:hAnsi="Times New Roman"/>
          <w:b/>
          <w:color w:val="000000"/>
          <w:sz w:val="24"/>
        </w:rPr>
        <w:t>Exhibit 10.1</w:t>
      </w:r>
      <w:r>
        <w:br w:type="page"/>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EXECUTIVE EMPLOYMENT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This Executive Employment Agreement (the “Agreement”) is made and entered into this 6th day of October, 2025 (the “Effective Date”), by and between Stoke Therapeutics, Inc. (“Stoke”), and </w:t>
      </w:r>
      <w:r>
        <w:rPr>
          <w:rFonts w:ascii="Times New Roman" w:hAnsi="Times New Roman"/>
          <w:b/>
          <w:color w:val="000000"/>
          <w:sz w:val="24"/>
        </w:rPr>
        <w:t xml:space="preserve">Ian Smith </w:t>
      </w:r>
      <w:r>
        <w:rPr>
          <w:rFonts w:ascii="Times New Roman" w:hAnsi="Times New Roman"/>
          <w:color w:val="000000"/>
          <w:sz w:val="24"/>
        </w:rPr>
        <w:t>(“Executive”).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Stoke wishes to employ Executive to serve as its Chief Executive Officer;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Executive represents that Executive possesses the necessary skills to perform the duties of this position and that Executive has no obligation to any other person or entity which would prevent, limit or interfere with Executive’s ability to do so;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Executive and Stoke desire to supersede the Interim CEO letter agreement dated March 16, 2025 between Executive and Stoke (the “Interim Employment Agreement”) and enter into this Executive Employment Agreement to assure the harmonious performance of the affairs of Stoke.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mutual promises, covenants, terms, provisions, and conditions contained herein and other good and valuable consideration, the receipt and sufficiency of which are hereby mutually acknowledged, the parties agree as follows:</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pPr>
      <w:r>
        <w:rPr>
          <w:rFonts w:ascii="Times New Roman" w:hAnsi="Times New Roman"/>
          <w:color w:val="000000"/>
          <w:sz w:val="24"/>
          <w:u w:val="single"/>
        </w:rPr>
        <w:t>Title and Duties</w:t>
      </w:r>
      <w:r>
        <w:rPr>
          <w:rFonts w:ascii="Times New Roman" w:hAnsi="Times New Roman"/>
          <w:color w:val="000000"/>
          <w:sz w:val="24"/>
        </w:rPr>
        <w:t xml:space="preserve">. Subject to the terms and conditions of this Agreement, Executive’s position with Stoke shall be Chief Executive Officer (“CEO”) reporting to Stoke’s Board of Directors (the “Board”). Executive shall provide the services described hereunder in Stoke’s office in Bedford, MA,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Executive shall be permitted to provide services in other locations as agreed upon by Executive and the Board. Executive accepts such employment upon the terms and conditions set forth herein, and agrees to perform to the best of Executive’s ability the duties normally associated with such position and as reasonably determined by the Board in its sole discretion. While serving as Chief Executive Officer hereunder, Executive shall devote all of Executive’s business time and energies to the business and affairs of Stoke, and Executive will not render services to any other business without the prior approval of the Board, other than continuing service on the other boards of directors on which Executive currently serves on the date hereof and serving as a senior advisor to Bain Capital Life Sciences; </w:t>
      </w:r>
      <w:r>
        <w:rPr>
          <w:rFonts w:ascii="Times New Roman" w:hAnsi="Times New Roman"/>
          <w:color w:val="000000"/>
          <w:sz w:val="24"/>
          <w:u w:val="single"/>
        </w:rPr>
        <w:t>provided</w:t>
      </w:r>
      <w:r>
        <w:rPr>
          <w:rFonts w:ascii="Times New Roman" w:hAnsi="Times New Roman"/>
          <w:color w:val="000000"/>
          <w:sz w:val="24"/>
        </w:rPr>
        <w:t xml:space="preserve">, that nothing contained in this Section 1 shall prevent or limit: (a) Executive’s right to manage Executive’s personal investments on Executive’s own personal time, including, without limitation the right to make passive investments in securities of (i) any entity which Executive does not control, directly or indirectly, and which does not compete with Stoke, or (ii) any publicly held entity, so long as Executive’s aggregate direct and indirect interest does not exceed two percent (2%) of the issued and outstanding securities of any class of securities of such publicly held entity; and (b) Executive’s participation in civic and charitable activities, including as a member of a board of a civic or charitable organization, so long as such activities do not interfere with Executive’s performance of Executive’s duties hereunder.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u w:val="single"/>
        </w:rPr>
        <w:t>Term; Termination</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Term</w:t>
      </w:r>
      <w:r>
        <w:rPr>
          <w:rFonts w:ascii="Times New Roman" w:hAnsi="Times New Roman"/>
          <w:color w:val="000000"/>
          <w:sz w:val="24"/>
        </w:rPr>
        <w:t xml:space="preserve">. Executive is currently employed by Stoke pursuant to the terms of the Interim Employment Agreement, and will continue employment with Stoke pursuant to the terms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this Agreement commencing on October 6, 2025 (the “Commencement Date”) and shall continue until terminated hereunder by either party (such term of employment shall be referred to herein as the “Term”). Executive’s employment with Stoke shall be at-will and may be terminated by Executive or Stoke at any time, subject to the terms and conditions in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Termination by Stoke</w:t>
      </w:r>
      <w:r>
        <w:rPr>
          <w:rFonts w:ascii="Times New Roman" w:hAnsi="Times New Roman"/>
          <w:color w:val="000000"/>
          <w:sz w:val="24"/>
        </w:rPr>
        <w:t>. Notwithstanding anything else contained in this Agreement, Stoke may terminate Executive’s employment hereunder as follows:</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pPr>
      <w:r>
        <w:rPr>
          <w:rFonts w:ascii="Times New Roman" w:hAnsi="Times New Roman"/>
          <w:color w:val="000000"/>
          <w:sz w:val="24"/>
          <w:u w:val="single"/>
        </w:rPr>
        <w:t>For Cause</w:t>
      </w:r>
      <w:r>
        <w:rPr>
          <w:rFonts w:ascii="Times New Roman" w:hAnsi="Times New Roman"/>
          <w:color w:val="000000"/>
          <w:sz w:val="24"/>
        </w:rPr>
        <w:t xml:space="preserve">. Stoke may terminate Executive’s employment for Cause (as defined below) by written notice by Stoke to Executive that Executive’s employment is being terminated for Cause, which termination shall be effective on the date of such notice or such later date as specified in writing by Stoke,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if Executive has cured the circumstances giving rise to Cause (as such cure right may be applicable pursuant to the terms and conditions set forth below) then such termination shall not be effective. </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(ii)</w:t>
      </w:r>
    </w:p>
    <w:p>
      <w:pPr>
        <w:pStyle w:val="TextBody"/>
        <w:bidi w:val="0"/>
        <w:jc w:val="both"/>
        <w:rPr/>
      </w:pPr>
      <w:r>
        <w:rPr>
          <w:rFonts w:ascii="Times New Roman" w:hAnsi="Times New Roman"/>
          <w:color w:val="000000"/>
          <w:sz w:val="24"/>
          <w:u w:val="single"/>
        </w:rPr>
        <w:t>Without Cause</w:t>
      </w:r>
      <w:r>
        <w:rPr>
          <w:rFonts w:ascii="Times New Roman" w:hAnsi="Times New Roman"/>
          <w:color w:val="000000"/>
          <w:sz w:val="24"/>
        </w:rPr>
        <w:t xml:space="preserve">. Stoke may terminate Executive’s employment without Cause, by written notice by Stoke to Executive that Executive’s employment is being terminated without Cause, which termination shall be effective on the date of such notice or such later date as specified in writing by Stoke.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the purposes of this Agreement, “Cause” shall mean: (A) fraud, embezzlement, or illegal misconduct in connection with Executive’s duties under this Agreement; (B) commission of a felony involving fraud, dishonesty or breach of trust; (C) willful misconduct or gross negligence in the performance of the duties delegated to Executive that results in (or would reasonably be expected to result in) material harm to the business or reputation of Stoke; (D) material breach of this Agreement; or (E) material breach of Executive’s Non-Competition, Non-Solicitation, Non-Disclosure, and Intellectual Property Agreement (as described below);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“Cause” shall not be deemed to have occurred pursuant to subsection (D) hereof unless Executive has first received written notice specifying in reasonable detail the particulars of such ground and that Stoke intends to terminate Executive’s employment hereunder for such ground, and if such ground is curable, Executive has failed to cure such ground within a period of thirty (30) days from the date of his receipt of such notice.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Termination by Executive</w:t>
      </w:r>
      <w:r>
        <w:rPr>
          <w:rFonts w:ascii="Times New Roman" w:hAnsi="Times New Roman"/>
          <w:color w:val="000000"/>
          <w:sz w:val="24"/>
        </w:rPr>
        <w:t>. Notwithstanding anything else contained in this Agreement, Executive may terminate Executive’s employment hereunder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For Good Reason</w:t>
      </w:r>
      <w:r>
        <w:rPr>
          <w:rFonts w:ascii="Times New Roman" w:hAnsi="Times New Roman"/>
          <w:color w:val="000000"/>
          <w:sz w:val="24"/>
        </w:rPr>
        <w:t xml:space="preserve">. Executive may terminate Executive’s employment for Good Reason (as defined below) by written notice by Executive to Stoke that Executive is terminating Executive’s employment for Good Reason, which termination shall be effective thirty (30) days after the date of such notice;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if Stoke has cured the circumstances giving rise to Good Reason then such termination shall not be effective;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Without Good Reason</w:t>
      </w:r>
      <w:r>
        <w:rPr>
          <w:rFonts w:ascii="Times New Roman" w:hAnsi="Times New Roman"/>
          <w:color w:val="000000"/>
          <w:sz w:val="24"/>
        </w:rPr>
        <w:t xml:space="preserve">. Executive may terminate Executive’s employment without Good Reason by written notice by Executive to Stoke that Executive is terminating Executive’s employment, which termination shall be effective ninety (90) days after the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date of such notice.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the purposes of this Agreement, “Good Reason” shall mean: (A) a reduction in Executive’s then-current Base Salary of ten percent (10%) or more, provided that such reduction is unique to Executive and not to all similarly situated executives of Stoke; (B) a material diminution of Executive’s responsibilities, authority, duties or his Executive ceasing to report to the Board; (C) Executive is not the Chief Executive Officer of the parent company following any Change of Control (as that term is defined in Executive’s Change of Control Severance Agreement); (D) a material change in the geographic location at which the Executive provides services to Stoke outside of a fifty (50) mile radius from the then-current location; (E) any action or inaction by Stoke that constitutes a material breach of this Agreement, including but not limited to, any modification by the Board of Executive’s remote/hybrid work arrangement which exists as of the Commencement Date; or (F) any directive to Executive by the Board to engage in a willful violation of law;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“Good Reason” shall not be deemed to have occurred unless: (1) Executive provides Stoke with written notice that Executive intends to terminate Executive’s employment hereunder for one of the grounds set forth above within thirty (30) days of such ground first occurring, (2) if such ground is capable of being cured, Stoke has failed to cure such ground within a period of thirty (30) days from the date of such written notice, and (3) Executive terminates Executive’s employment within seventy five (75) days from the date that Good Reason first occurs. For purposes of clarification, the above-listed conditions shall apply separately to each occurrence of Good Reason and failure to adhere to such conditions in the event of Good Reason shall not disqualify Executive from asserting Good Reason for any subsequent occurrence of Good Reason.</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(d) </w:t>
      </w:r>
      <w:r>
        <w:rPr>
          <w:rFonts w:ascii="Times New Roman" w:hAnsi="Times New Roman"/>
          <w:b w:val="false"/>
          <w:color w:val="000000"/>
          <w:sz w:val="24"/>
          <w:u w:val="single"/>
        </w:rPr>
        <w:t>Termination Due to Executive’s Death or Disability</w:t>
      </w:r>
      <w:r>
        <w:rPr>
          <w:rFonts w:ascii="Times New Roman" w:hAnsi="Times New Roman"/>
          <w:b w:val="false"/>
          <w:color w:val="000000"/>
          <w:sz w:val="24"/>
        </w:rPr>
        <w:t>. Notwithstanding anything else contained in this Agreement, Stoke may terminate Executive’s employment immediately upon Executive’s death, or due to Executive’s Disability (as defined below) by written notice to Executive that Executive’s employment is being terminated as a result of Executive’s Disability, which termination shall be effective on the date of such notice or such later date as specified in writing by Stoke. For the purposes of this Agreement, “Disability” shall mean Executive’s incapacity or inability to perform Executive’s duties and responsibilities as contemplated herein for one hundred twenty (120) days or more within any one (1) year period (cumulative or consecutive), because Executive’s physical or mental health has become so impaired as to make it impossible or impractical for Executive to perform the duties and responsibilities contemplated hereunder. Determination of Executive’s physical or mental health shall be determined by Stoke after consultation with a medical expert appointed by mutual agreement between Stoke and Executive who has examined Executive. Executive hereby consents to such examination and consultation regarding Executive’s health and ability to perform as aforesaid.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u w:val="single"/>
        </w:rPr>
        <w:t>Compensation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Base Salary</w:t>
      </w:r>
      <w:r>
        <w:rPr>
          <w:rFonts w:ascii="Times New Roman" w:hAnsi="Times New Roman"/>
          <w:color w:val="000000"/>
          <w:sz w:val="24"/>
        </w:rPr>
        <w:t xml:space="preserve">. While Executive is employed hereunder, Executive shall earn a base salary at the annual rate of </w:t>
      </w:r>
      <w:r>
        <w:rPr>
          <w:rFonts w:ascii="Times New Roman" w:hAnsi="Times New Roman"/>
          <w:b/>
          <w:color w:val="000000"/>
          <w:sz w:val="24"/>
        </w:rPr>
        <w:t>$715,000.00</w:t>
      </w:r>
      <w:r>
        <w:rPr>
          <w:color w:val="000000"/>
        </w:rPr>
        <w:t xml:space="preserve"> </w:t>
      </w:r>
      <w:r>
        <w:rPr>
          <w:rFonts w:ascii="Times New Roman" w:hAnsi="Times New Roman"/>
          <w:color w:val="000000"/>
          <w:sz w:val="24"/>
        </w:rPr>
        <w:t xml:space="preserve">(the “Base Salary”). The Base Salary shall be payable in substantially equal periodic installments, in accordance with Stoke’s payroll practices as in effect from time to time. Stoke shall deduct from each such installment all amounts required to be deducted or withheld under applicable law or under any employee benefit plan in which Executive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participates.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Annual Bonus</w:t>
      </w:r>
      <w:r>
        <w:rPr>
          <w:rFonts w:ascii="Times New Roman" w:hAnsi="Times New Roman"/>
          <w:color w:val="000000"/>
          <w:sz w:val="24"/>
        </w:rPr>
        <w:t xml:space="preserve">. Executive shall be eligible to receive an annual cash bonus with a target amount equal to </w:t>
      </w:r>
      <w:r>
        <w:rPr>
          <w:rFonts w:ascii="Times New Roman" w:hAnsi="Times New Roman"/>
          <w:b/>
          <w:color w:val="000000"/>
          <w:sz w:val="24"/>
        </w:rPr>
        <w:t>65%</w:t>
      </w:r>
      <w:r>
        <w:rPr>
          <w:color w:val="000000"/>
        </w:rPr>
        <w:t xml:space="preserve"> </w:t>
      </w:r>
      <w:r>
        <w:rPr>
          <w:rFonts w:ascii="Times New Roman" w:hAnsi="Times New Roman"/>
          <w:color w:val="000000"/>
          <w:sz w:val="24"/>
        </w:rPr>
        <w:t>of Executive’s Base Salary, (the “Annual Bonus”); provided that Executive will not be eligible to receive any portion of the 2025 annual bonus. The amount of the Annual Bonus shall be based on factors such as Executive’s work performance, Stoke’s financial performance, Stoke’s business forecasts, Stoke’s determination of Executive’s achievement of milestones for the applicable year, and economic conditions generally. The actual amount of the Annual Bonus shall be determined by the Board (or its Compensation Committee) in its sole discretion. Executive’s Annual Bonus shall be paid by the fifteenth day of the third month following Executive’s or Stoke’s taxable year in which it is earned, whichever is later. Executive must be employed by Stoke on the last day of such fiscal year to which such Annual Bonus relates, to be deemed as having earned the Annual Bonus. Stoke shall deduct from the Annual Bonus all amounts required to be deducted or withheld under applicable law or under any employee benefit plan in which Executive participates.</w:t>
      </w:r>
      <w:r>
        <w:rPr>
          <w:color w:val="F79646"/>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Sign-On Bonus</w:t>
      </w:r>
      <w:r>
        <w:rPr>
          <w:rFonts w:ascii="Times New Roman" w:hAnsi="Times New Roman"/>
          <w:color w:val="000000"/>
          <w:sz w:val="24"/>
        </w:rPr>
        <w:t xml:space="preserve">. Executive will be entitled to receive a one-time sign-on bonus of </w:t>
      </w:r>
      <w:r>
        <w:rPr>
          <w:rFonts w:ascii="Times New Roman" w:hAnsi="Times New Roman"/>
          <w:b/>
          <w:color w:val="000000"/>
          <w:sz w:val="24"/>
        </w:rPr>
        <w:t xml:space="preserve">$500,000.00 </w:t>
      </w:r>
      <w:r>
        <w:rPr>
          <w:rFonts w:ascii="Times New Roman" w:hAnsi="Times New Roman"/>
          <w:color w:val="000000"/>
          <w:sz w:val="24"/>
        </w:rPr>
        <w:t xml:space="preserve">(the “Sign-On Bonus”), </w:t>
      </w:r>
      <w:r>
        <w:rPr>
          <w:rFonts w:ascii="Times New Roman" w:hAnsi="Times New Roman"/>
          <w:color w:val="080707"/>
          <w:sz w:val="24"/>
        </w:rPr>
        <w:t>less applicable taxes, deductions and withholdings</w:t>
      </w:r>
      <w:r>
        <w:rPr>
          <w:rFonts w:ascii="Times New Roman" w:hAnsi="Times New Roman"/>
          <w:color w:val="000000"/>
          <w:sz w:val="24"/>
        </w:rPr>
        <w:t xml:space="preserve">, payable in a single lump-sum within thirty days following the Commencement Date, subject to Executive’s continued employment through such payment date. </w:t>
      </w:r>
      <w:r>
        <w:rPr>
          <w:rFonts w:ascii="Times New Roman" w:hAnsi="Times New Roman"/>
          <w:color w:val="080707"/>
          <w:sz w:val="24"/>
        </w:rPr>
        <w:t>If Executive resigns his employment, or Stoke terminates Executive’s employment for Cause, within the twelve (12) month period following the Commencement Date, Executive shall be required to repay the Sign-On Bonus on a “gross” basis (i.e., it will not be reduced for any federal, state or local income, excise, employment or other withholding taxes previously withheld by Stoke or paid by Executive). Executive agrees to repay the Sign-On Bonus within ten (10) calendar days following the termination of Executive’s employment and, if and to the extent permissible under applicable law, authorizes Stoke to withhold from any amounts otherwise owed to Executive to effect such repayment. Notwithstanding the foregoing, subject to Executive’s satisfaction of the release requirement in Section 4(c) below, Executive shall not be required to repay any portion of the Sign-On Bonus in the event of Stoke terminates Executive’s employment without Cause.</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Performance Bonus</w:t>
      </w:r>
      <w:r>
        <w:rPr>
          <w:rFonts w:ascii="Times New Roman" w:hAnsi="Times New Roman"/>
          <w:color w:val="000000"/>
          <w:sz w:val="24"/>
        </w:rPr>
        <w:t xml:space="preserve">. Executive shall receive a one-time performance bonus of </w:t>
      </w:r>
      <w:r>
        <w:rPr>
          <w:rFonts w:ascii="Times New Roman" w:hAnsi="Times New Roman"/>
          <w:b/>
          <w:color w:val="000000"/>
          <w:sz w:val="24"/>
        </w:rPr>
        <w:t xml:space="preserve">$500,000.00 </w:t>
      </w:r>
      <w:r>
        <w:rPr>
          <w:rFonts w:ascii="Times New Roman" w:hAnsi="Times New Roman"/>
          <w:color w:val="000000"/>
          <w:sz w:val="24"/>
        </w:rPr>
        <w:t>(the “Performance Bonus”),</w:t>
      </w:r>
      <w:r>
        <w:rPr>
          <w:color w:val="080707"/>
        </w:rPr>
        <w:t xml:space="preserve"> </w:t>
      </w:r>
      <w:r>
        <w:rPr>
          <w:rFonts w:ascii="Times New Roman" w:hAnsi="Times New Roman"/>
          <w:color w:val="080707"/>
          <w:sz w:val="24"/>
        </w:rPr>
        <w:t>less applicable taxes, deductions and withholdings</w:t>
      </w:r>
      <w:r>
        <w:rPr>
          <w:rFonts w:ascii="Times New Roman" w:hAnsi="Times New Roman"/>
          <w:color w:val="000000"/>
          <w:sz w:val="24"/>
        </w:rPr>
        <w:t xml:space="preserve">, upon achievement of certain Performance Metrics which shall be mutually agreed-upon between Executive and the Board. Executive and Stoke acknowledge that this Agreement is contingent upon a mutual agreement between Executive and the Board regarding the certain Performance Metrics upon which the Performance Bonus shall be based. The Performance Bonus will be paid in a single lump-sum within fourteen (14) days following the determination of the Board that Executive has achieved the mutually agreed-upon Performance Metrics. Except as otherwise provided in this Agreement, payment of the Performance Bonus is subject to Executive’s employment on such payment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Equity</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Stock Options:</w:t>
      </w:r>
      <w:r>
        <w:rPr>
          <w:color w:val="000000"/>
        </w:rPr>
        <w:t xml:space="preserve"> </w:t>
      </w:r>
      <w:r>
        <w:rPr>
          <w:rFonts w:ascii="Times New Roman" w:hAnsi="Times New Roman"/>
          <w:color w:val="000000"/>
          <w:sz w:val="24"/>
        </w:rPr>
        <w:t xml:space="preserve">On the second business day following the Commencement Date (the “Equity Grant Date”), and subject to the Board’s approval, Stoke shall grant Executive an option to purchase </w:t>
      </w:r>
      <w:r>
        <w:rPr>
          <w:rFonts w:ascii="Times New Roman" w:hAnsi="Times New Roman"/>
          <w:b/>
          <w:color w:val="000000"/>
          <w:sz w:val="24"/>
        </w:rPr>
        <w:t>570,000</w:t>
      </w:r>
      <w:r>
        <w:rPr>
          <w:color w:val="000000"/>
        </w:rPr>
        <w:t xml:space="preserve"> </w:t>
      </w:r>
      <w:r>
        <w:rPr>
          <w:rFonts w:ascii="Times New Roman" w:hAnsi="Times New Roman"/>
          <w:color w:val="000000"/>
          <w:sz w:val="24"/>
        </w:rPr>
        <w:t xml:space="preserve">shares of Stoke’s common stock (the “Option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Award”) under Stoke’s 2019 Equity Incentive Plan (the “Plan”). The Option Award shall have an exercise price equal to the closing price of Stoke’s common stock on the Equity Grant Date. The Option Award shall be an “incentive stock option” to the extent permitted under the Internal Revenue Code of 1986, as amended (the “Code”). Subject to the Board’s approval as described above and Executive’s continued employment by Stoke, the Option Award shall vest as to one fourth (1/4</w:t>
      </w:r>
      <w:r>
        <w:rPr>
          <w:rFonts w:ascii="Times New Roman" w:hAnsi="Times New Roman"/>
          <w:color w:val="000000"/>
          <w:sz w:val="16"/>
        </w:rPr>
        <w:t>th</w:t>
      </w:r>
      <w:r>
        <w:rPr>
          <w:rFonts w:ascii="Times New Roman" w:hAnsi="Times New Roman"/>
          <w:color w:val="000000"/>
          <w:sz w:val="24"/>
        </w:rPr>
        <w:t>) of the total number of shares subject to the Option Award on the one-year anniversary of the Commencement Date, and one forty-eighth (1/48</w:t>
      </w:r>
      <w:r>
        <w:rPr>
          <w:rFonts w:ascii="Times New Roman" w:hAnsi="Times New Roman"/>
          <w:color w:val="000000"/>
          <w:sz w:val="16"/>
        </w:rPr>
        <w:t>th</w:t>
      </w:r>
      <w:r>
        <w:rPr>
          <w:rFonts w:ascii="Times New Roman" w:hAnsi="Times New Roman"/>
          <w:color w:val="000000"/>
          <w:sz w:val="24"/>
        </w:rPr>
        <w:t>) of the total number of shares subject to the Option Award shall vest in monthly installments thereafter on the same day of the month as the Commencement Date (and if there is no corresponding day, on the last day of the month), with all shares subject to the Option Award being fully vested on the four-year anniversary of the Commencement Date. Vesting is contingent on Executive’s continued employment by Stoke and shall be subject to the terms and conditions of the Plan and the written agreement governing the Option Award except as explicitly set forth in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RSUs:</w:t>
      </w:r>
      <w:r>
        <w:rPr>
          <w:color w:val="000000"/>
        </w:rPr>
        <w:t xml:space="preserve"> </w:t>
      </w:r>
      <w:r>
        <w:rPr>
          <w:rFonts w:ascii="Times New Roman" w:hAnsi="Times New Roman"/>
          <w:color w:val="000000"/>
          <w:sz w:val="24"/>
        </w:rPr>
        <w:t xml:space="preserve">On the Equity Grant Date, and subject to the Board’s approval, Stoke shall grant the Executive </w:t>
      </w:r>
      <w:r>
        <w:rPr>
          <w:rFonts w:ascii="Times New Roman" w:hAnsi="Times New Roman"/>
          <w:b/>
          <w:color w:val="000000"/>
          <w:sz w:val="24"/>
        </w:rPr>
        <w:t>380,000</w:t>
      </w:r>
      <w:r>
        <w:rPr>
          <w:color w:val="000000"/>
        </w:rPr>
        <w:t xml:space="preserve"> </w:t>
      </w:r>
      <w:r>
        <w:rPr>
          <w:rFonts w:ascii="Times New Roman" w:hAnsi="Times New Roman"/>
          <w:color w:val="000000"/>
          <w:sz w:val="24"/>
        </w:rPr>
        <w:t>restricted stock units (the “RSUs”) under the Plan. The RSUs shall vest in four equal annual installments over a four-year period on each annual anniversary of the Commencement Date. Vesting is contingent on Executive’s continued employment by Stoke and shall be subject to the terms and conditions of the Plan and the written agreement governing the RSUs except as explicitly set forth in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u w:val="single"/>
        </w:rPr>
        <w:t>Annual Equity Grants:</w:t>
      </w:r>
      <w:r>
        <w:rPr>
          <w:color w:val="000000"/>
        </w:rPr>
        <w:t xml:space="preserve"> </w:t>
      </w:r>
      <w:r>
        <w:rPr>
          <w:rFonts w:ascii="Times New Roman" w:hAnsi="Times New Roman"/>
          <w:color w:val="000000"/>
          <w:sz w:val="24"/>
        </w:rPr>
        <w:t>Executive will be eligible to receive annual equity grants beginning in calendar year 2026 consistent with Stoke’s normal business practice, with any such equity grants being determined by the Board (or its Compensation Committee) and, to the extent such grants are made, being on such terms and subject to such conditions as the Board (or its Compensation Committee) shall determine in its sole discretion.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Fringe Benefits</w:t>
      </w:r>
      <w:r>
        <w:rPr>
          <w:rFonts w:ascii="Times New Roman" w:hAnsi="Times New Roman"/>
          <w:color w:val="000000"/>
          <w:sz w:val="24"/>
        </w:rPr>
        <w:t>. Executive shall be entitled to participate in all benefit/welfare plans and fringe benefits provided to employees at the same level as Executive. Executive understands that, except when prohibited by applicable law, Stoke’s benefit plans and fringe benefits may be amended by Stoke from time to time in its sole discretion.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Vacation</w:t>
      </w:r>
      <w:r>
        <w:rPr>
          <w:rFonts w:ascii="Times New Roman" w:hAnsi="Times New Roman"/>
          <w:color w:val="000000"/>
          <w:sz w:val="24"/>
        </w:rPr>
        <w:t xml:space="preserve">. Executive shall be eligible </w:t>
      </w:r>
      <w:r>
        <w:rPr>
          <w:rFonts w:ascii="Times New Roman" w:hAnsi="Times New Roman"/>
          <w:color w:val="000000"/>
          <w:sz w:val="23"/>
        </w:rPr>
        <w:t>for Stoke’s unlimited vacation time policy, subject to its terms and conditions, as established or modified from time to time by Stoke.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Reimbursement of Expenses</w:t>
      </w:r>
      <w:r>
        <w:rPr>
          <w:rFonts w:ascii="Times New Roman" w:hAnsi="Times New Roman"/>
          <w:color w:val="000000"/>
          <w:sz w:val="24"/>
        </w:rPr>
        <w:t xml:space="preserve">. Stoke shall reimburse Executive for all ordinary and reasonable out-of-pocket business expenses incurred by Executive in furtherance of Stoke’s business in accordance with Stoke’s policies with respect thereto as in effect from time to time. All reimbursements provided under this Agreement shall be made or provided in accordance with the requirements of Section 409A of the Code (“Section 409A”) and the rules and regulations thereunder, including, where applicable, the requirement that (i) any reimbursement is for expenses incurred during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shall be made no later than the last day of the calendar year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following the year in which the expense is incurred; and (iv) the right to reimbursement or in kind benefits is not subject to liquidation or exchange for another benefit.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Indemnification</w:t>
      </w:r>
      <w:r>
        <w:rPr>
          <w:rFonts w:ascii="Times New Roman" w:hAnsi="Times New Roman"/>
          <w:color w:val="000000"/>
          <w:sz w:val="24"/>
        </w:rPr>
        <w:t>. Executive shall be eligible for coverage under Stoke Directors’ and Officers’ (“D&amp;O”) insurance policies to the same extent and in the same manner to which Stoke’s similarly situated executives are entitled to coverage under Stoke D&amp;O insurance policies, subject to the terms and conditions of any such Stoke D&amp;O insurance policies.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u w:val="single"/>
        </w:rPr>
        <w:t>Termination Payments; Severance Benefit</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Payment of Accrued Obligations</w:t>
      </w:r>
      <w:r>
        <w:rPr>
          <w:rFonts w:ascii="Times New Roman" w:hAnsi="Times New Roman"/>
          <w:color w:val="000000"/>
          <w:sz w:val="24"/>
        </w:rPr>
        <w:t>. Regardless of the reason for any employment termination hereunder, Stoke shall pay to Executive: (i) the portion of Executive’s Base Salary that has accrued prior to any termination of Executive’s employment and has not yet been paid; (ii) except in the event of Executive’s termination for Cause, the amount of any Annual Bonus determined by the Board and payable from a prior year which remains unpaid by Stoke as of the date of the termination of employment; (iii) the amount of any expenses properly incurred by Executive on behalf of Stoke prior to any such termination and has not yet been reimbursed (together, the “Accrued Obligations”) promptly following the effective date of termination, and otherwise within any timeframe required by law. Executive’s entitlement to other compensation or benefits under any Stoke plan or policy shall be governed by and determined in accordance with the terms of such plan or policy, except as otherwise specified in this Agreement. In the event of Stoke’s termination of Executive’s employment for Cause or Executive’s termination of Executive’s employment without Good Reason, Executive shall be eligible for the Accrued Obligations and shall not be eligible for any severance or severance-type payments, other than as expressly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Severance in the Event of Termination Without Cause or Resignation for Good Reason</w:t>
      </w:r>
      <w:r>
        <w:rPr>
          <w:rFonts w:ascii="Times New Roman" w:hAnsi="Times New Roman"/>
          <w:color w:val="000000"/>
          <w:sz w:val="24"/>
        </w:rPr>
        <w:t>. Subject to the terms and conditions of Section 4(c), in the event that Executive’s employment hereunder is terminated by Stoke without Cause or terminated by Executive for Good Reason, then, in addition to the Accrued Obligations: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Stoke shall continue to pay the Executive’s Base Salary for a </w:t>
      </w:r>
      <w:r>
        <w:rPr>
          <w:rFonts w:ascii="Times New Roman" w:hAnsi="Times New Roman"/>
          <w:b/>
          <w:color w:val="000000"/>
          <w:sz w:val="24"/>
        </w:rPr>
        <w:t>twelve (12)</w:t>
      </w:r>
      <w:r>
        <w:rPr>
          <w:color w:val="000000"/>
        </w:rPr>
        <w:t xml:space="preserve"> </w:t>
      </w:r>
      <w:r>
        <w:rPr>
          <w:rFonts w:ascii="Times New Roman" w:hAnsi="Times New Roman"/>
          <w:color w:val="000000"/>
          <w:sz w:val="24"/>
        </w:rPr>
        <w:t>month period following the termination date of Executive’s employment (the “Separation Date”), with such payments to be made in accordance with Stoke’s normal payroll practices and schedules, less all customary and required taxes and employment-related deductions.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Stoke shall pay Executive the Annual Bonus set forth in Section 3(b) for the year in which the termination occurs based on the achievement level of the factors described in Section 3(b), as determined by the Board (or its Compensation Committee), paid in one lump sum, less all customary and required taxes and employment-related deductions, within the time period described in Section 3(b).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the Board determines in good faith that the mutually agreed-upon Performance Metrics referenced in Section 3(d) have been achieved on or prior to the termination date of Executive’s employment, but the Performance Bonus set forth in Section 3(d) has not been paid to Executive, the Performance Bonus shall be paid within the time period described in Section 3(d).</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rPr>
        <w:t xml:space="preserve">In the event that Executive is eligible for coverage under a Stoke health insurance plan and Executive has elected to have coverage thereunder and was covered thereunder prior to termination, and in the event that Executive chooses to exercise Executive’s right under the Consolidated Omnibus Budget Reconciliation Act of 1985 (“COBRA”) to continue Executive’s participation in such plan, Stoke shall pay its normal share of the costs for such coverage for a period of up to </w:t>
      </w:r>
      <w:r>
        <w:rPr>
          <w:rFonts w:ascii="Times New Roman" w:hAnsi="Times New Roman"/>
          <w:b/>
          <w:color w:val="000000"/>
          <w:sz w:val="24"/>
        </w:rPr>
        <w:t>twelve (12)</w:t>
      </w:r>
      <w:r>
        <w:rPr>
          <w:color w:val="000000"/>
        </w:rPr>
        <w:t xml:space="preserve"> </w:t>
      </w:r>
      <w:r>
        <w:rPr>
          <w:rFonts w:ascii="Times New Roman" w:hAnsi="Times New Roman"/>
          <w:color w:val="000000"/>
          <w:sz w:val="24"/>
        </w:rPr>
        <w:t>months from the Separation Date, to the same extent that such insurance is provided to persons then currently employed by Stoke. Stoke shall deduct from each of the installments due under Section 4(b)(i) the portion of the monthly premium due from Executive in accordance with the terms of such coverage. Notwithstanding any other provision of this Agreement, this obligation shall cease on the date Executive becomes eligible to receive health insurance benefits through any other employer, and Executive agrees to provide Stoke with written notice immediately upon becoming eligible for such benefits. Executive’s acceptance of any payment on Executive’s behalf or coverage provided hereunder shall be an express representation to Stoke that Executive has no such eligibility.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portion of Executive’s then-outstanding unvested options to purchase shares of Company common stock as well as any and all other stock-based awards granted to the Executive, including but not limited to stock bonus awards, restricted stock, restricted stock units or stock appreciation rights (the “Equity Awards”) that would have vested during the twelve (12) month period following the Separation Date had Executive’s termination of employment not occurred shall vest on the Separation Date. </w:t>
      </w:r>
    </w:p>
    <w:p>
      <w:pPr>
        <w:pStyle w:val="TextBody"/>
        <w:bidi w:val="0"/>
        <w:spacing w:before="0" w:after="240"/>
        <w:jc w:val="both"/>
        <w:rPr>
          <w:rFonts w:ascii="Times New Roman" w:hAnsi="Times New Roman"/>
          <w:sz w:val="20"/>
        </w:rPr>
      </w:pPr>
      <w:r>
        <w:rPr>
          <w:rFonts w:ascii="Times New Roman" w:hAnsi="Times New Roman"/>
          <w:color w:val="000000"/>
          <w:sz w:val="24"/>
        </w:rPr>
        <w:t>Subsections (i) through (v) are referred to as the Severance Benefit. The Severance Benefit is expressly subject to the conditions described above and in Section 4(c) below. Any payment or benefit made as part of such Severance Benefit shall be paid less all customary and required taxes and employment-related deductions.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Conditions</w:t>
      </w:r>
      <w:r>
        <w:rPr>
          <w:rFonts w:ascii="Times New Roman" w:hAnsi="Times New Roman"/>
          <w:color w:val="000000"/>
          <w:sz w:val="24"/>
        </w:rPr>
        <w:t xml:space="preserve">. Stoke shall not be obligated to provide Executive with the Severance Benefit described in Section 4(b) unless and until Executive has executed without revocation a separation agreement in a form acceptable to Stoke, which must be signed by Executive, returned to Stoke and be enforceable and irrevocable no later than sixty (60) days following Executive’s Separation Date (the “Review Period”), and which shall include, at a minimum, the provision of the Severance Benefit due from Stoke to Executive, a complete general release of claims against Stoke and its affiliated entities and each of their officers, directors and employees, and terms relating to non-disparagement, non-competition, confidentiality, cooperation and other customary terms determined by Stoke. If Executive executes and does not revoke such agreement within the time provided in the Separation Agreement, then provision of the portion of the Severance Benefit specified in Sections 4(b)(i) through (iv) shall commence on the first (1st) regularly scheduled payroll date following the Review Period,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if the last day of the Review Period occurs in the calendar year following the year of termination, then the payment shall not commence until January 2 of such subsequent calendar year, and further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as applied to Section 4(b), the first payments/benefits shall include in a lump sum all amounts that were otherwise payable to Executive from the Separation Date through such first payment. As stated in Stoke’s Non-Competition, Non-Solicitation, Non-Disclosure, and Intellectual Property Agreement (described below), in the event Executive is eligible for garden leave or analogous payments in support of non-competition obligations, then Stoke reserves the right to offset the portions of the Severance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Benefit specified in Sections 4(b)(i) through (iv) with such garden leave or analogous payments to the extent permitted by applicable law (</w:t>
      </w:r>
      <w:r>
        <w:rPr>
          <w:rFonts w:ascii="Times New Roman" w:hAnsi="Times New Roman"/>
          <w:i/>
          <w:color w:val="000000"/>
          <w:sz w:val="24"/>
        </w:rPr>
        <w:t xml:space="preserve">i.e. </w:t>
      </w:r>
      <w:r>
        <w:rPr>
          <w:rFonts w:ascii="Times New Roman" w:hAnsi="Times New Roman"/>
          <w:color w:val="000000"/>
          <w:sz w:val="24"/>
        </w:rPr>
        <w:t>Stoke shall pay the greater of the severance or the garden leave but not both).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COBRA</w:t>
      </w:r>
      <w:r>
        <w:rPr>
          <w:rFonts w:ascii="Times New Roman" w:hAnsi="Times New Roman"/>
          <w:color w:val="000000"/>
          <w:sz w:val="24"/>
        </w:rPr>
        <w:t>. If the payment of any COBRA or health insurance premiums by Stoke on behalf of Executive as described herein would otherwise violate any applicable nondiscrimination rules or cause the reimbursement of claims to be taxable under the Patient Protection and Affordable Care Act of 2010, together with the Health Care and Education Reconciliation Act of 2010 (collectively, the “Act”) or Section 105(h) of the Code, the COBRA premiums paid by Stoke shall be treated as taxable payments (subject to customary and required taxes and employment-related deductions) and be subject to imputed income tax treatment to the extent necessary to eliminate any discriminatory treatment or taxation under the Act or Section 105(h) of the Code. If Stoke determines in its sole discretion that it cannot provide the COBRA benefits described herein under Stoke’s health insurance plan without potentially violating applicable law (including, without limitation, Section 2716 of the Public Health Service Act), Stoke shall in lieu thereof provide to Executive a taxable lump-sum payment in an amount equal to the sum of the monthly (or then remaining) COBRA premiums that Executive would be required to pay to maintain Executive’s group health insurance coverage in effect on the Separation Date for the remaining portion of the period for which Executive shall receive the payments described in Section 4(b) 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No Other Payments or Benefits Owing</w:t>
      </w:r>
      <w:r>
        <w:rPr>
          <w:rFonts w:ascii="Times New Roman" w:hAnsi="Times New Roman"/>
          <w:color w:val="000000"/>
          <w:sz w:val="24"/>
        </w:rPr>
        <w:t>. The payments and benefits set forth in this Section 4 shall be the sole amounts owing to Executive upon termination of Executive’s employment for the reasons set forth above and Executive shall not be eligible for any other payments or other forms of compensation or benefits except as may be provided in the Executive’s Change of Control Severance Agreement. The payments and benefits set forth in this Section shall be the sole remedy, if any, available to Executive in the event that Executive brings any claim against Stoke relating to the termination of Executive’s employment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4"/>
          <w:u w:val="single"/>
        </w:rPr>
        <w:t>Non-Competition, Non-Solicitation, Non-Disclosure Agreement</w:t>
      </w:r>
      <w:r>
        <w:rPr>
          <w:rFonts w:ascii="Times New Roman" w:hAnsi="Times New Roman"/>
          <w:color w:val="000000"/>
          <w:sz w:val="24"/>
        </w:rPr>
        <w:t xml:space="preserve">. In light of the competitive and proprietary aspects of the business of Stoke, and as a condition of Executive’s employment hereunder, Executive agrees to sign and abide by Stoke’s Non-Competition, Non-Solicitation, Non-Disclosure, and Intellectual Property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4"/>
          <w:u w:val="single"/>
        </w:rPr>
        <w:t>Code Section 409A</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that the payments or benefits set forth in Section 4 constitute “non-qualified deferred compensation” subject to Section 409A, then the following conditions apply to such payments or benefits: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Any termination of Executive’s employment triggering payment of benefits under Section 4 must constitute a “separation from service” under Section 409A(a)(2)(A)(i) of the Code and Treas. Reg. §1.409A-1(h) before distribution of such benefits can commence. To the extent that the termination of Executive’s employment does not constitute a separation of service under Section 409A(a)(2)(A)(i) of the Code and Treas. Reg. §1.409A-1(h) (as the result of further services that are reasonably anticipated to be provided by Executive to Stoke at the time Executive’s employment terminates), any such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payments under Section 4 that constitute deferred compensation under Section 409A shall be delayed until after the date of a subsequent event constituting a separation of service under Section 409A(a)(2)(A)(i) of the Code and Treas. Reg. §1.409A-1(h). For purposes of clarification, this Section 6(a) shall not cause any forfeiture of benefits on Executive’s part, but shall only act as a delay until such time as a “separation from service” occurs.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 other provision with respect to the timing of payments under Section 4 if, at the time of Executive’s termination, Executive is deemed to be a “specified employee” of Stoke (within the meaning of Section 409A(a)(2)(B)(i) of the Code), then limited only to the extent necessary to comply with the requirements of Section 409A, any payments to which Executive may become entitled under Section 4 which are subject to Section 409A (and not otherwise exempt from its application) shall be withheld until the first (1st) business day of the seventh (7th) month following the termination of Executive’s employment, at which time Executive shall be paid an aggregate amount equal to the accumulated, but unpaid, payments otherwise due to Executive under the terms of Section 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is intended that each installment of the payments and benefits provided under Section 4 shall be treated as a separate “payment” for purposes of Section 409A. Neither Stoke nor Executive shall have the right to accelerate or defer the delivery of any such payments or benefits except to the extent specifically permitted or required by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 other provision of this Agreement to the contrary, this Agreement shall be interpreted and at all times administered in a manner that avoids the inclusion of compensation in income under Section 409A, or the payment of increased taxes, excise taxes or other penalties under Section 409A. The parties intend this Agreement to be in compliance with Section 409A. Executive acknowledges and agrees that Stoke does not guarantee the tax treatment or tax consequences associated with any payment or benefit arising under this Agreement, including but not limited to consequences related to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4"/>
          <w:u w:val="single"/>
        </w:rPr>
        <w:t>General</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 Except as otherwise specifically provided herein, any notice required or permitted by this Agreement shall be in writing and shall be delivered as follows with notice deemed given as indicated: (i) by personal delivery when delivered personally; (ii) by overnight courier upon written verification of receipt; (iii) by certified or registered mail, return receipt requested, upon verification of receipt; or (iv) by e-mail, upon acknowledgement of receipt from the receiving party.</w:t>
      </w:r>
    </w:p>
    <w:p>
      <w:pPr>
        <w:pStyle w:val="Heading2"/>
        <w:bidi w:val="0"/>
        <w:spacing w:before="0" w:after="240"/>
        <w:jc w:val="both"/>
        <w:rPr>
          <w:rFonts w:ascii="Times New Roman" w:hAnsi="Times New Roman"/>
          <w:sz w:val="20"/>
        </w:rPr>
      </w:pPr>
      <w:r>
        <w:rPr>
          <w:rFonts w:ascii="Times New Roman" w:hAnsi="Times New Roman"/>
          <w:b w:val="false"/>
          <w:i/>
          <w:color w:val="000000"/>
          <w:sz w:val="24"/>
        </w:rPr>
        <w:t>Notices to Executive shall be sent to the address specified below, or the last known address in Stoke’s records.</w:t>
      </w:r>
      <w:r>
        <w:rPr>
          <w:rFonts w:ascii="Times New Roman" w:hAnsi="Times New Roman"/>
          <w:color w:val="000000"/>
          <w:sz w:val="20"/>
        </w:rPr>
        <w:t xml:space="preserve"> </w:t>
      </w:r>
    </w:p>
    <w:p>
      <w:pPr>
        <w:pStyle w:val="Heading2"/>
        <w:bidi w:val="0"/>
        <w:spacing w:before="0" w:after="240"/>
        <w:jc w:val="both"/>
        <w:rPr>
          <w:rFonts w:ascii="Times New Roman" w:hAnsi="Times New Roman"/>
          <w:b w:val="false"/>
          <w:i/>
          <w:color w:val="000000"/>
          <w:sz w:val="24"/>
        </w:rPr>
      </w:pPr>
      <w:r>
        <w:rPr>
          <w:rFonts w:ascii="Times New Roman" w:hAnsi="Times New Roman"/>
          <w:b w:val="false"/>
          <w:i/>
          <w:color w:val="000000"/>
          <w:sz w:val="24"/>
        </w:rPr>
        <w:t>Notices to Stoke shall be sent to:</w:t>
      </w:r>
    </w:p>
    <w:p>
      <w:pPr>
        <w:pStyle w:val="TextBody"/>
        <w:bidi w:val="0"/>
        <w:jc w:val="left"/>
        <w:rPr>
          <w:rFonts w:ascii="Times New Roman" w:hAnsi="Times New Roman"/>
          <w:color w:val="000000"/>
          <w:sz w:val="24"/>
        </w:rPr>
      </w:pPr>
      <w:r>
        <w:rPr>
          <w:rFonts w:ascii="Times New Roman" w:hAnsi="Times New Roman"/>
          <w:color w:val="000000"/>
          <w:sz w:val="24"/>
        </w:rPr>
        <w:t>Jonathan Allan, General Counsel</w:t>
      </w:r>
    </w:p>
    <w:p>
      <w:pPr>
        <w:pStyle w:val="TextBody"/>
        <w:bidi w:val="0"/>
        <w:jc w:val="left"/>
        <w:rPr>
          <w:rFonts w:ascii="Times New Roman" w:hAnsi="Times New Roman"/>
          <w:color w:val="000000"/>
          <w:sz w:val="24"/>
        </w:rPr>
      </w:pPr>
      <w:r>
        <w:rPr>
          <w:rFonts w:ascii="Times New Roman" w:hAnsi="Times New Roman"/>
          <w:color w:val="000000"/>
          <w:sz w:val="24"/>
        </w:rPr>
        <w:t>Stoke Therapeutics, Inc.</w:t>
      </w:r>
    </w:p>
    <w:p>
      <w:pPr>
        <w:pStyle w:val="TextBody"/>
        <w:bidi w:val="0"/>
        <w:jc w:val="left"/>
        <w:rPr>
          <w:rFonts w:ascii="Times New Roman" w:hAnsi="Times New Roman"/>
          <w:color w:val="000000"/>
          <w:sz w:val="24"/>
        </w:rPr>
      </w:pPr>
      <w:r>
        <w:rPr>
          <w:rFonts w:ascii="Times New Roman" w:hAnsi="Times New Roman"/>
          <w:color w:val="000000"/>
          <w:sz w:val="24"/>
        </w:rPr>
        <w:t>45 Wiggins Ave</w:t>
      </w:r>
    </w:p>
    <w:p>
      <w:pPr>
        <w:pStyle w:val="TextBody"/>
        <w:bidi w:val="0"/>
        <w:jc w:val="left"/>
        <w:rPr>
          <w:rFonts w:ascii="Times New Roman" w:hAnsi="Times New Roman"/>
          <w:color w:val="000000"/>
          <w:sz w:val="24"/>
        </w:rPr>
      </w:pPr>
      <w:r>
        <w:rPr>
          <w:rFonts w:ascii="Times New Roman" w:hAnsi="Times New Roman"/>
          <w:color w:val="000000"/>
          <w:sz w:val="24"/>
        </w:rPr>
        <w:t>Bedford, MA 01730</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sz w:val="24"/>
        </w:rPr>
        <w:t>jallan@stoketherapeutics.com</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Wendy Baccari, Executive Director, HR Operations</w:t>
      </w:r>
    </w:p>
    <w:p>
      <w:pPr>
        <w:pStyle w:val="TextBody"/>
        <w:bidi w:val="0"/>
        <w:jc w:val="left"/>
        <w:rPr>
          <w:rFonts w:ascii="Times New Roman" w:hAnsi="Times New Roman"/>
          <w:color w:val="000000"/>
          <w:sz w:val="24"/>
        </w:rPr>
      </w:pPr>
      <w:r>
        <w:rPr>
          <w:rFonts w:ascii="Times New Roman" w:hAnsi="Times New Roman"/>
          <w:color w:val="000000"/>
          <w:sz w:val="24"/>
        </w:rPr>
        <w:t>Stoke Therapeutics, Inc.</w:t>
      </w:r>
    </w:p>
    <w:p>
      <w:pPr>
        <w:pStyle w:val="TextBody"/>
        <w:bidi w:val="0"/>
        <w:jc w:val="left"/>
        <w:rPr>
          <w:rFonts w:ascii="Times New Roman" w:hAnsi="Times New Roman"/>
          <w:color w:val="000000"/>
          <w:sz w:val="24"/>
        </w:rPr>
      </w:pPr>
      <w:r>
        <w:rPr>
          <w:rFonts w:ascii="Times New Roman" w:hAnsi="Times New Roman"/>
          <w:color w:val="000000"/>
          <w:sz w:val="24"/>
        </w:rPr>
        <w:t>45 Wiggins Ave</w:t>
      </w:r>
    </w:p>
    <w:p>
      <w:pPr>
        <w:pStyle w:val="TextBody"/>
        <w:bidi w:val="0"/>
        <w:jc w:val="left"/>
        <w:rPr>
          <w:rFonts w:ascii="Times New Roman" w:hAnsi="Times New Roman"/>
          <w:color w:val="000000"/>
          <w:sz w:val="24"/>
        </w:rPr>
      </w:pPr>
      <w:r>
        <w:rPr>
          <w:rFonts w:ascii="Times New Roman" w:hAnsi="Times New Roman"/>
          <w:color w:val="000000"/>
          <w:sz w:val="24"/>
        </w:rPr>
        <w:t>Bedford, MA 01730</w:t>
      </w:r>
    </w:p>
    <w:p>
      <w:pPr>
        <w:pStyle w:val="TextBody"/>
        <w:bidi w:val="0"/>
        <w:jc w:val="left"/>
        <w:rPr>
          <w:rFonts w:ascii="Times New Roman" w:hAnsi="Times New Roman"/>
          <w:sz w:val="24"/>
        </w:rPr>
      </w:pPr>
      <w:r>
        <w:rPr>
          <w:rFonts w:ascii="Times New Roman" w:hAnsi="Times New Roman"/>
          <w:sz w:val="24"/>
        </w:rPr>
        <w:t>wbaccari@stoketherapeutics.com</w:t>
      </w:r>
    </w:p>
    <w:p>
      <w:pPr>
        <w:pStyle w:val="TextBody"/>
        <w:bidi w:val="0"/>
        <w:jc w:val="left"/>
        <w:rPr/>
      </w:pPr>
      <w:r>
        <w:rPr/>
        <w:t> </w:t>
      </w:r>
    </w:p>
    <w:p>
      <w:pPr>
        <w:pStyle w:val="TextBody"/>
        <w:bidi w:val="0"/>
        <w:spacing w:before="0" w:after="240"/>
        <w:jc w:val="left"/>
        <w:rPr>
          <w:rFonts w:ascii="Times New Roman" w:hAnsi="Times New Roman"/>
          <w:i/>
          <w:color w:val="000000"/>
          <w:sz w:val="24"/>
        </w:rPr>
      </w:pPr>
      <w:r>
        <w:rPr>
          <w:rFonts w:ascii="Times New Roman" w:hAnsi="Times New Roman"/>
          <w:i/>
          <w:color w:val="000000"/>
          <w:sz w:val="24"/>
        </w:rPr>
        <w:t>with a copy to:</w:t>
      </w:r>
    </w:p>
    <w:p>
      <w:pPr>
        <w:pStyle w:val="TextBody"/>
        <w:bidi w:val="0"/>
        <w:jc w:val="left"/>
        <w:rPr>
          <w:rFonts w:ascii="Times New Roman" w:hAnsi="Times New Roman"/>
          <w:sz w:val="20"/>
        </w:rPr>
      </w:pPr>
      <w:r>
        <w:rPr>
          <w:rFonts w:ascii="Times New Roman" w:hAnsi="Times New Roman"/>
          <w:color w:val="000000"/>
          <w:sz w:val="24"/>
        </w:rPr>
        <w:t>Mintz, Levin, Cohn, Ferris, Glovsky &amp; Popeo, P.C.</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701 Pennsylvania Avenue NW #900</w:t>
      </w:r>
    </w:p>
    <w:p>
      <w:pPr>
        <w:pStyle w:val="TextBody"/>
        <w:bidi w:val="0"/>
        <w:jc w:val="left"/>
        <w:rPr>
          <w:rFonts w:ascii="Times New Roman" w:hAnsi="Times New Roman"/>
          <w:color w:val="000000"/>
          <w:sz w:val="24"/>
        </w:rPr>
      </w:pPr>
      <w:r>
        <w:rPr>
          <w:rFonts w:ascii="Times New Roman" w:hAnsi="Times New Roman"/>
          <w:color w:val="000000"/>
          <w:sz w:val="24"/>
        </w:rPr>
        <w:t>Washington, DC 20004</w:t>
      </w:r>
    </w:p>
    <w:p>
      <w:pPr>
        <w:pStyle w:val="TextBody"/>
        <w:bidi w:val="0"/>
        <w:jc w:val="left"/>
        <w:rPr>
          <w:rFonts w:ascii="Times New Roman" w:hAnsi="Times New Roman"/>
          <w:color w:val="000000"/>
          <w:sz w:val="24"/>
        </w:rPr>
      </w:pPr>
      <w:r>
        <w:rPr>
          <w:rFonts w:ascii="Times New Roman" w:hAnsi="Times New Roman"/>
          <w:color w:val="000000"/>
          <w:sz w:val="24"/>
        </w:rPr>
        <w:t>dbarmak@mintz.com</w:t>
      </w:r>
    </w:p>
    <w:p>
      <w:pPr>
        <w:pStyle w:val="TextBody"/>
        <w:bidi w:val="0"/>
        <w:jc w:val="left"/>
        <w:rPr>
          <w:rFonts w:ascii="Times New Roman" w:hAnsi="Times New Roman"/>
          <w:color w:val="000000"/>
          <w:sz w:val="24"/>
        </w:rPr>
      </w:pPr>
      <w:r>
        <w:rPr>
          <w:rFonts w:ascii="Times New Roman" w:hAnsi="Times New Roman"/>
          <w:color w:val="000000"/>
          <w:sz w:val="24"/>
        </w:rPr>
        <w:t>Fax: (202) 434 – 7400</w:t>
      </w:r>
    </w:p>
    <w:p>
      <w:pPr>
        <w:pStyle w:val="TextBody"/>
        <w:bidi w:val="0"/>
        <w:jc w:val="left"/>
        <w:rPr>
          <w:rFonts w:ascii="Times New Roman" w:hAnsi="Times New Roman"/>
          <w:sz w:val="20"/>
        </w:rPr>
      </w:pPr>
      <w:r>
        <w:rPr>
          <w:rFonts w:ascii="Times New Roman" w:hAnsi="Times New Roman"/>
          <w:color w:val="000000"/>
          <w:sz w:val="24"/>
        </w:rPr>
        <w:t>Attn: David Barmak, Esq.</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Modifications and Amendments</w:t>
      </w:r>
      <w:r>
        <w:rPr>
          <w:rFonts w:ascii="Times New Roman" w:hAnsi="Times New Roman"/>
          <w:color w:val="000000"/>
          <w:sz w:val="24"/>
        </w:rPr>
        <w:t>. The terms and provisions of this Agreement may be modified or amended only by written agreement executed by the parties 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Waivers and Consents</w:t>
      </w:r>
      <w:r>
        <w:rPr>
          <w:rFonts w:ascii="Times New Roman" w:hAnsi="Times New Roman"/>
          <w:color w:val="000000"/>
          <w:sz w:val="24"/>
        </w:rPr>
        <w:t>.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Assignment</w:t>
      </w:r>
      <w:r>
        <w:rPr>
          <w:rFonts w:ascii="Times New Roman" w:hAnsi="Times New Roman"/>
          <w:color w:val="000000"/>
          <w:sz w:val="24"/>
        </w:rPr>
        <w:t>. Stoke may assign its rights and obligations hereunder to any person or entity that succeeds to all or substantially all of Stoke’s business or that aspect of Stoke’s business in which Executive is principally involved. Executive may not assign Executive’s rights and obligations under this Agreement without the prior written consent of Stoke.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Governing Law; Jury Waiver</w:t>
      </w:r>
      <w:r>
        <w:rPr>
          <w:rFonts w:ascii="Times New Roman" w:hAnsi="Times New Roman"/>
          <w:color w:val="000000"/>
          <w:sz w:val="24"/>
        </w:rPr>
        <w:t>. This Agreement and the rights and obligations of the parties hereunder shall be construed in accordance with and governed by the law of the Commonwealth of Massachusetts without giving effect to the conflict of law principles thereof. Any legal action or proceeding with respect to this Agreement shall be brought in the courts of the Commonwealth of Massachusetts or the United States of America for the District of Massachusetts. By execution and delivery of this Agreement, each of the parties hereto accepts for itself and in respect of its property, generally and unconditionally, the exclusive jurisdiction of the aforesaid courts. ANY ACTION, DEMAND, CLAIM OR COUNTERCLAIM ARISING UNDER OR RELATING TO THIS AGREEMENT SHALL BE RESOLVED BY A JUDGE ALONE AND EACH OF STOKE AND EXECUTIVE WAIVES ANY RIGHT TO A JURY TRIAL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Headings and Captions</w:t>
      </w:r>
      <w:r>
        <w:rPr>
          <w:rFonts w:ascii="Times New Roman" w:hAnsi="Times New Roman"/>
          <w:color w:val="000000"/>
          <w:sz w:val="24"/>
        </w:rPr>
        <w:t>. The headings and captions of the various subdivisions of this Agreement are for convenience of reference only and shall in no way modify or affect the meaning or construction of any of the terms or provisions hereof.</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Entire Agreement</w:t>
      </w:r>
      <w:r>
        <w:rPr>
          <w:rFonts w:ascii="Times New Roman" w:hAnsi="Times New Roman"/>
          <w:color w:val="000000"/>
          <w:sz w:val="24"/>
        </w:rPr>
        <w:t>. This Agreement, together with the other agreements expressly referenced herein, embodies the entire agreement and understanding between the parties hereto with respect to the subject matter hereof and supersedes all prior oral or written agreements and understandings relating to the subject matter hereof. No statement, representation, warranty, covenant or agreement of any kind not expressly set forth in this Agreement shall affect, or be used to interpret, change or restrict, the express terms and provisions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Counterparts</w:t>
      </w:r>
      <w:r>
        <w:rPr>
          <w:rFonts w:ascii="Times New Roman" w:hAnsi="Times New Roman"/>
          <w:color w:val="000000"/>
          <w:sz w:val="24"/>
        </w:rPr>
        <w:t>. This Agreement may be executed in two or more counterparts, and by different parties hereto on separate counterparts, each of which shall be deemed an original, but all of which together shall constitute one and the same instrument. For all purposes signed counterparts delivered by fax or other digital means (e.g., .pdf) shall be treated as an original.</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[Signature Page to Follow]</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parties hereto have executed this Agreement as of the date first written above.</w:t>
      </w:r>
    </w:p>
    <w:tbl>
      <w:tblPr>
        <w:tblW w:w="8432" w:type="dxa"/>
        <w:jc w:val="left"/>
        <w:tblInd w:w="0" w:type="dxa"/>
        <w:tblLayout w:type="fixed"/>
        <w:tblCellMar>
          <w:top w:w="28" w:type="dxa"/>
          <w:left w:w="28" w:type="dxa"/>
          <w:bottom w:w="28" w:type="dxa"/>
          <w:right w:w="28" w:type="dxa"/>
        </w:tblCellMar>
      </w:tblPr>
      <w:tblGrid>
        <w:gridCol w:w="3946"/>
        <w:gridCol w:w="4486"/>
      </w:tblGrid>
      <w:tr>
        <w:trPr/>
        <w:tc>
          <w:tcPr>
            <w:tcW w:w="3946" w:type="dxa"/>
            <w:tcBorders/>
            <w:vAlign w:val="center"/>
          </w:tcPr>
          <w:p>
            <w:pPr>
              <w:pStyle w:val="TableContents"/>
              <w:bidi w:val="0"/>
              <w:spacing w:before="0" w:after="283"/>
              <w:jc w:val="left"/>
              <w:rPr>
                <w:sz w:val="4"/>
                <w:szCs w:val="4"/>
              </w:rPr>
            </w:pPr>
            <w:r>
              <w:rPr>
                <w:sz w:val="4"/>
                <w:szCs w:val="4"/>
              </w:rPr>
            </w:r>
          </w:p>
        </w:tc>
        <w:tc>
          <w:tcPr>
            <w:tcW w:w="4486" w:type="dxa"/>
            <w:tcBorders/>
            <w:vAlign w:val="center"/>
          </w:tcPr>
          <w:p>
            <w:pPr>
              <w:pStyle w:val="TableContents"/>
              <w:bidi w:val="0"/>
              <w:spacing w:before="0" w:after="283"/>
              <w:jc w:val="left"/>
              <w:rPr>
                <w:sz w:val="4"/>
                <w:szCs w:val="4"/>
              </w:rPr>
            </w:pPr>
            <w:r>
              <w:rPr>
                <w:sz w:val="4"/>
                <w:szCs w:val="4"/>
              </w:rPr>
            </w:r>
          </w:p>
        </w:tc>
      </w:tr>
      <w:tr>
        <w:trPr/>
        <w:tc>
          <w:tcPr>
            <w:tcW w:w="39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Ian Smith</w:t>
            </w:r>
          </w:p>
          <w:p>
            <w:pPr>
              <w:pStyle w:val="TableContents"/>
              <w:bidi w:val="0"/>
              <w:jc w:val="left"/>
              <w:rPr/>
            </w:pPr>
            <w:r>
              <w:rPr/>
              <w:t> </w:t>
            </w:r>
          </w:p>
          <w:p>
            <w:pPr>
              <w:pStyle w:val="TableContents"/>
              <w:bidi w:val="0"/>
              <w:jc w:val="left"/>
              <w:rPr>
                <w:rFonts w:ascii="Times New Roman" w:hAnsi="Times New Roman"/>
                <w:sz w:val="24"/>
              </w:rPr>
            </w:pPr>
            <w:r>
              <w:rPr>
                <w:rFonts w:ascii="Times New Roman" w:hAnsi="Times New Roman"/>
                <w:color w:val="000000"/>
                <w:sz w:val="24"/>
                <w:u w:val="single"/>
              </w:rPr>
              <w:t>/s/ Ian Smith</w:t>
            </w:r>
            <w:r>
              <w:rPr>
                <w:rFonts w:ascii="Times New Roman" w:hAnsi="Times New Roman"/>
                <w:color w:val="000000"/>
                <w:sz w:val="24"/>
              </w:rPr>
              <w:t>______________________</w:t>
            </w:r>
          </w:p>
          <w:p>
            <w:pPr>
              <w:pStyle w:val="TableContents"/>
              <w:bidi w:val="0"/>
              <w:jc w:val="left"/>
              <w:rPr>
                <w:rFonts w:ascii="Times New Roman" w:hAnsi="Times New Roman"/>
                <w:color w:val="000000"/>
                <w:sz w:val="24"/>
              </w:rPr>
            </w:pPr>
            <w:r>
              <w:rPr>
                <w:rFonts w:ascii="Times New Roman" w:hAnsi="Times New Roman"/>
                <w:color w:val="000000"/>
                <w:sz w:val="24"/>
              </w:rPr>
              <w:t>Signature</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Date: October 5, 2025</w:t>
            </w:r>
          </w:p>
          <w:p>
            <w:pPr>
              <w:pStyle w:val="TableContents"/>
              <w:bidi w:val="0"/>
              <w:spacing w:before="0" w:after="283"/>
              <w:jc w:val="left"/>
              <w:rPr/>
            </w:pPr>
            <w:r>
              <w:rPr/>
              <w:t> </w:t>
            </w:r>
          </w:p>
        </w:tc>
        <w:tc>
          <w:tcPr>
            <w:tcW w:w="448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 xml:space="preserve">STOKE THERAPEUTICS, INC. </w:t>
            </w:r>
          </w:p>
          <w:p>
            <w:pPr>
              <w:pStyle w:val="TableContents"/>
              <w:bidi w:val="0"/>
              <w:jc w:val="left"/>
              <w:rPr/>
            </w:pPr>
            <w:r>
              <w:rPr/>
              <w:t> </w:t>
            </w:r>
          </w:p>
          <w:p>
            <w:pPr>
              <w:pStyle w:val="TableContents"/>
              <w:bidi w:val="0"/>
              <w:jc w:val="left"/>
              <w:rPr>
                <w:rFonts w:ascii="Times New Roman" w:hAnsi="Times New Roman"/>
                <w:sz w:val="24"/>
              </w:rPr>
            </w:pPr>
            <w:r>
              <w:rPr>
                <w:rFonts w:ascii="Times New Roman" w:hAnsi="Times New Roman"/>
                <w:color w:val="000000"/>
                <w:sz w:val="24"/>
                <w:u w:val="single"/>
              </w:rPr>
              <w:t>/s/ Arthur Tzianabos</w:t>
            </w:r>
            <w:r>
              <w:rPr>
                <w:rFonts w:ascii="Times New Roman" w:hAnsi="Times New Roman"/>
                <w:color w:val="000000"/>
                <w:sz w:val="24"/>
              </w:rPr>
              <w:t>____________________</w:t>
            </w:r>
          </w:p>
          <w:p>
            <w:pPr>
              <w:pStyle w:val="TableContents"/>
              <w:bidi w:val="0"/>
              <w:jc w:val="left"/>
              <w:rPr>
                <w:rFonts w:ascii="Times New Roman" w:hAnsi="Times New Roman"/>
                <w:color w:val="000000"/>
                <w:sz w:val="24"/>
              </w:rPr>
            </w:pPr>
            <w:r>
              <w:rPr>
                <w:rFonts w:ascii="Times New Roman" w:hAnsi="Times New Roman"/>
                <w:color w:val="000000"/>
                <w:sz w:val="24"/>
              </w:rPr>
              <w:t>By: Arthur Tzianabos</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Interim Executive Chair</w:t>
            </w:r>
          </w:p>
        </w:tc>
      </w:tr>
      <w:tr>
        <w:trPr/>
        <w:tc>
          <w:tcPr>
            <w:tcW w:w="39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8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rFonts w:ascii="Times New Roman" w:hAnsi="Times New Roman"/>
          <w:b/>
          <w:color w:val="000000"/>
          <w:sz w:val="22"/>
        </w:rPr>
      </w:pPr>
      <w:r>
        <w:rPr>
          <w:rFonts w:ascii="Times New Roman" w:hAnsi="Times New Roman"/>
          <w:b/>
          <w:color w:val="000000"/>
          <w:sz w:val="22"/>
        </w:rPr>
        <w:t>FIRST AMENDMENT TO EXECUTIVE EMPLOYMENT AGREEMENT</w:t>
      </w:r>
    </w:p>
    <w:p>
      <w:pPr>
        <w:pStyle w:val="TextBody"/>
        <w:bidi w:val="0"/>
        <w:spacing w:before="0" w:after="160"/>
        <w:jc w:val="both"/>
        <w:rPr>
          <w:rFonts w:ascii="Times New Roman" w:hAnsi="Times New Roman"/>
          <w:sz w:val="20"/>
        </w:rPr>
      </w:pPr>
      <w:r>
        <w:rPr>
          <w:rFonts w:ascii="Times New Roman" w:hAnsi="Times New Roman"/>
          <w:color w:val="000000"/>
          <w:sz w:val="22"/>
        </w:rPr>
        <w:t>This First Amendment to Executive Employment Agreement (this “</w:t>
      </w:r>
      <w:r>
        <w:rPr>
          <w:rFonts w:ascii="Times New Roman" w:hAnsi="Times New Roman"/>
          <w:b/>
          <w:i/>
          <w:color w:val="000000"/>
          <w:sz w:val="22"/>
        </w:rPr>
        <w:t>Amendment</w:t>
      </w:r>
      <w:r>
        <w:rPr>
          <w:rFonts w:ascii="Times New Roman" w:hAnsi="Times New Roman"/>
          <w:color w:val="000000"/>
          <w:sz w:val="20"/>
        </w:rPr>
        <w:t>”</w:t>
      </w:r>
      <w:r>
        <w:rPr>
          <w:rFonts w:ascii="Times New Roman" w:hAnsi="Times New Roman"/>
          <w:color w:val="000000"/>
          <w:sz w:val="22"/>
        </w:rPr>
        <w:t>), is made and entered into this 21</w:t>
      </w:r>
      <w:r>
        <w:rPr>
          <w:rFonts w:ascii="Times New Roman" w:hAnsi="Times New Roman"/>
          <w:color w:val="000000"/>
          <w:sz w:val="15"/>
        </w:rPr>
        <w:t>st</w:t>
      </w:r>
      <w:r>
        <w:rPr>
          <w:rFonts w:ascii="Times New Roman" w:hAnsi="Times New Roman"/>
          <w:color w:val="000000"/>
          <w:sz w:val="20"/>
        </w:rPr>
        <w:t xml:space="preserve"> </w:t>
      </w:r>
      <w:r>
        <w:rPr>
          <w:rFonts w:ascii="Times New Roman" w:hAnsi="Times New Roman"/>
          <w:color w:val="000000"/>
          <w:sz w:val="22"/>
        </w:rPr>
        <w:t>day of July 2026 (the “</w:t>
      </w:r>
      <w:r>
        <w:rPr>
          <w:rFonts w:ascii="Times New Roman" w:hAnsi="Times New Roman"/>
          <w:b/>
          <w:i/>
          <w:color w:val="000000"/>
          <w:sz w:val="22"/>
        </w:rPr>
        <w:t>Effective Date</w:t>
      </w:r>
      <w:r>
        <w:rPr>
          <w:rFonts w:ascii="Times New Roman" w:hAnsi="Times New Roman"/>
          <w:color w:val="000000"/>
          <w:sz w:val="20"/>
        </w:rPr>
        <w:t>”</w:t>
      </w:r>
      <w:r>
        <w:rPr>
          <w:rFonts w:ascii="Times New Roman" w:hAnsi="Times New Roman"/>
          <w:color w:val="000000"/>
          <w:sz w:val="22"/>
        </w:rPr>
        <w:t>), by and between Ian Smith (“</w:t>
      </w:r>
      <w:r>
        <w:rPr>
          <w:rFonts w:ascii="Times New Roman" w:hAnsi="Times New Roman"/>
          <w:b/>
          <w:i/>
          <w:color w:val="000000"/>
          <w:sz w:val="22"/>
        </w:rPr>
        <w:t>Executive</w:t>
      </w:r>
      <w:r>
        <w:rPr>
          <w:rFonts w:ascii="Times New Roman" w:hAnsi="Times New Roman"/>
          <w:color w:val="000000"/>
          <w:sz w:val="20"/>
        </w:rPr>
        <w:t>”</w:t>
      </w:r>
      <w:r>
        <w:rPr>
          <w:rFonts w:ascii="Times New Roman" w:hAnsi="Times New Roman"/>
          <w:color w:val="000000"/>
          <w:sz w:val="22"/>
        </w:rPr>
        <w:t>) and Stoke Therapeutics, Inc. (“</w:t>
      </w:r>
      <w:r>
        <w:rPr>
          <w:rFonts w:ascii="Times New Roman" w:hAnsi="Times New Roman"/>
          <w:b/>
          <w:i/>
          <w:color w:val="000000"/>
          <w:sz w:val="22"/>
        </w:rPr>
        <w:t>Stoke</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Times New Roman" w:hAnsi="Times New Roman"/>
          <w:color w:val="000000"/>
          <w:sz w:val="22"/>
        </w:rPr>
        <w:t>WHEREAS, Stoke and Executive are parties to that certain Executive Employment Agreement dated October 6, 2025 (the “</w:t>
      </w:r>
      <w:r>
        <w:rPr>
          <w:rFonts w:ascii="Times New Roman" w:hAnsi="Times New Roman"/>
          <w:b/>
          <w:i/>
          <w:color w:val="000000"/>
          <w:sz w:val="22"/>
        </w:rPr>
        <w:t>Original Agreement</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WHEREAS, Stoke and Executive desire that certain modifications be made to the Original Agreement; and </w:t>
      </w:r>
    </w:p>
    <w:p>
      <w:pPr>
        <w:pStyle w:val="TextBody"/>
        <w:bidi w:val="0"/>
        <w:spacing w:before="0" w:after="160"/>
        <w:jc w:val="both"/>
        <w:rPr>
          <w:rFonts w:ascii="Times New Roman" w:hAnsi="Times New Roman"/>
          <w:sz w:val="20"/>
        </w:rPr>
      </w:pPr>
      <w:r>
        <w:rPr>
          <w:rFonts w:ascii="Times New Roman" w:hAnsi="Times New Roman"/>
          <w:color w:val="000000"/>
          <w:sz w:val="22"/>
        </w:rPr>
        <w:t>WHEREAS, Section 7(b) of the Original Agreement permits the parties to amend such agreement in writing, signed by each party.</w:t>
      </w:r>
      <w:r>
        <w:rPr>
          <w:rFonts w:ascii="Times New Roman" w:hAnsi="Times New Roman"/>
          <w:color w:val="000000"/>
          <w:sz w:val="20"/>
        </w:rPr>
        <w:t xml:space="preserve"> </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NOW, THEREFORE, in consideration of the parties’ mutual desire to amend the Original Agreement, the parties agree as follows effective as of the Effective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Amendment shall amend the terms of the Original Agreement as set forth herein. From and after the Effective Date, all references to the term “Agreement” in this Amendment or the Original Agreement shall include the terms contained in this Amendment. Capitalized terms used but not otherwise defined herein shall have the meanings ascribed to them in the Original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Section 4(b)(i) of the Original Agreement shall be amended and restated as follows:</w:t>
      </w:r>
    </w:p>
    <w:p>
      <w:pPr>
        <w:pStyle w:val="TextBody"/>
        <w:bidi w:val="0"/>
        <w:spacing w:before="0" w:after="240"/>
        <w:jc w:val="both"/>
        <w:rPr>
          <w:color w:val="000000"/>
        </w:rPr>
      </w:pPr>
      <w:r>
        <w:rPr>
          <w:color w:val="000000"/>
        </w:rPr>
        <w:t>“</w:t>
      </w:r>
      <w:r>
        <w:rPr>
          <w:rFonts w:ascii="Times New Roman" w:hAnsi="Times New Roman"/>
          <w:color w:val="000000"/>
          <w:sz w:val="22"/>
        </w:rPr>
        <w:t>Stoke shall continue to pay the Executive’s Base Salary for an eighteen (18) month period following the termination date of Executive’s employment (the “Separation Date”), with such payments to be made in accordance with Stoke’s normal payroll practices and schedules, less all customary and required taxes and employment-related deductions.”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first sentence of Section 4(b)(iv) of the Original Agreement shall be amended and restated as follows:</w:t>
      </w:r>
    </w:p>
    <w:p>
      <w:pPr>
        <w:pStyle w:val="TextBody"/>
        <w:bidi w:val="0"/>
        <w:spacing w:before="0" w:after="240"/>
        <w:jc w:val="both"/>
        <w:rPr>
          <w:color w:val="000000"/>
        </w:rPr>
      </w:pPr>
      <w:r>
        <w:rPr>
          <w:color w:val="000000"/>
        </w:rPr>
        <w:t>“</w:t>
      </w:r>
      <w:r>
        <w:rPr>
          <w:rFonts w:ascii="Times New Roman" w:hAnsi="Times New Roman"/>
          <w:color w:val="000000"/>
          <w:sz w:val="22"/>
        </w:rPr>
        <w:t>In the event that Executive is eligible for coverage under a Stoke health insurance plan and Executive has elected to have coverage thereunder and was covered thereunder prior to termination, and in the event that Executive chooses to exercise Executive’s right under the Consolidated Omnibus Budget Reconciliation Act of 1985 (“COBRA”) to continue Executive’s participation in such plan, Stoke shall pay its normal share of the costs for such coverage for a period of up to eighteen (18) months from the Separation Date, to the same extent that such insurance is provided to persons then currently employed by Stoke.”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Except as expressly amended hereby, the Original Agreement shall continue to remain in full force and effect in accordance with its terms. This Amendment may be executed in one or more counterparts, each of which shall be deemed an original document and both of which together shall constitute the same instrument. </w:t>
      </w:r>
    </w:p>
    <w:p>
      <w:pPr>
        <w:pStyle w:val="TextBody"/>
        <w:bidi w:val="0"/>
        <w:spacing w:before="0" w:after="240"/>
        <w:jc w:val="center"/>
        <w:rPr>
          <w:rFonts w:ascii="Times New Roman" w:hAnsi="Times New Roman"/>
          <w:i/>
          <w:color w:val="000000"/>
          <w:sz w:val="22"/>
        </w:rPr>
      </w:pPr>
      <w:r>
        <w:rPr>
          <w:rFonts w:ascii="Times New Roman" w:hAnsi="Times New Roman"/>
          <w:i/>
          <w:color w:val="000000"/>
          <w:sz w:val="22"/>
        </w:rPr>
        <w:t>[Signature Page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 WITNESS WHEREOF, each of the undersigned parties have executed, or have caused their duly authorized representative to execute, this Amendment as of the date first written above.</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b/>
          <w:caps/>
          <w:color w:val="000000"/>
          <w:sz w:val="22"/>
        </w:rPr>
        <w:t xml:space="preserve">Ian Smith </w:t>
      </w:r>
      <w:r>
        <w:rPr>
          <w:rFonts w:ascii="Times New Roman" w:hAnsi="Times New Roman"/>
          <w:b/>
          <w:color w:val="000000"/>
          <w:sz w:val="22"/>
        </w:rPr>
        <w:t>STOKE THERAPEUTICS, INC.</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u w:val="single"/>
        </w:rPr>
        <w:t xml:space="preserve">/s/ Ian F. Smith /s/ Sara Den Besten </w:t>
        <w:br/>
      </w:r>
      <w:r>
        <w:rPr>
          <w:rFonts w:ascii="Times New Roman" w:hAnsi="Times New Roman"/>
          <w:color w:val="000000"/>
          <w:sz w:val="22"/>
        </w:rPr>
        <w:t>Signature By: Sara Den Besten</w:t>
        <w:br/>
        <w:t>Title: Chief People Officer</w:t>
        <w:br/>
        <w:br/>
      </w:r>
      <w:r>
        <w:rPr>
          <w:rFonts w:ascii="Times New Roman" w:hAnsi="Times New Roman"/>
          <w:color w:val="000000"/>
          <w:sz w:val="20"/>
        </w:rPr>
        <w:t> </w:t>
      </w:r>
    </w:p>
    <w:p>
      <w:pPr>
        <w:pStyle w:val="TextBody"/>
        <w:bidi w:val="0"/>
        <w:jc w:val="center"/>
        <w:rPr>
          <w:rFonts w:ascii="Times New Roman" w:hAnsi="Times New Roman"/>
          <w:i/>
          <w:color w:val="000000"/>
          <w:sz w:val="24"/>
        </w:rPr>
      </w:pPr>
      <w:r>
        <w:rPr>
          <w:rFonts w:ascii="Times New Roman" w:hAnsi="Times New Roman"/>
          <w:i/>
          <w:color w:val="000000"/>
          <w:sz w:val="24"/>
        </w:rPr>
        <w:t>[Signature Page to First Amendment]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3" w:name="stok-ex10_2.htm"/>
      <w:bookmarkStart w:id="24" w:name="ksstokex10_2"/>
      <w:bookmarkEnd w:id="23"/>
      <w:bookmarkEnd w:id="24"/>
      <w:r>
        <w:rPr>
          <w:rFonts w:ascii="Times New Roman" w:hAnsi="Times New Roman"/>
          <w:b/>
          <w:color w:val="000000"/>
          <w:sz w:val="24"/>
        </w:rPr>
        <w:t>Exhibit 10.2</w:t>
      </w:r>
      <w:r>
        <w:br w:type="page"/>
      </w:r>
    </w:p>
    <w:p>
      <w:pPr>
        <w:pStyle w:val="TextBody"/>
        <w:bidi w:val="0"/>
        <w:spacing w:before="0" w:after="24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EXECUTIVE EMPLOYMENT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Executive Employment Agreement (the “Agreement”), is made and entered into this 23</w:t>
      </w:r>
      <w:r>
        <w:rPr>
          <w:rFonts w:ascii="Times New Roman" w:hAnsi="Times New Roman"/>
          <w:color w:val="000000"/>
          <w:sz w:val="16"/>
        </w:rPr>
        <w:t>rd</w:t>
      </w:r>
      <w:r>
        <w:rPr>
          <w:rFonts w:ascii="Times New Roman" w:hAnsi="Times New Roman"/>
          <w:color w:val="000000"/>
          <w:sz w:val="20"/>
        </w:rPr>
        <w:t xml:space="preserve"> </w:t>
      </w:r>
      <w:r>
        <w:rPr>
          <w:rFonts w:ascii="Times New Roman" w:hAnsi="Times New Roman"/>
          <w:color w:val="000000"/>
          <w:sz w:val="24"/>
        </w:rPr>
        <w:t>day of April, 2024 (the “Effective Date”), by and between Stoke Therapeutics, Inc. (“Stoke”), and Thomas Leggett (“Executive”).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Stoke wishes to employ Executive to serve as its Chief Financial Officer;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Executive represents that Executive possesses the necessary skills to perform the duties of this position and that Executive has no obligation to any other person or entity which would prevent, limit or interfere with Executive’s ability to do so;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Executive and Stoke desire to enter into a formal Executive Employment Agreement to assure the harmonious performance of the affairs of Stoke.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mutual promises, covenants, terms, provisions, and conditions contained herein and other good and valuable consideration, the receipt and sufficiency of which are hereby mutually acknowledged, the parties agree as follows:</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pPr>
      <w:r>
        <w:rPr>
          <w:rFonts w:ascii="Times New Roman" w:hAnsi="Times New Roman"/>
          <w:color w:val="000000"/>
          <w:sz w:val="24"/>
          <w:u w:val="single"/>
        </w:rPr>
        <w:t>Title and Duties</w:t>
      </w:r>
      <w:r>
        <w:rPr>
          <w:rFonts w:ascii="Times New Roman" w:hAnsi="Times New Roman"/>
          <w:color w:val="000000"/>
          <w:sz w:val="24"/>
        </w:rPr>
        <w:t xml:space="preserve">. Subject to the terms and conditions of this Agreement, Executive’s position with Stoke shall be Chief Financial Officer (“CFO”) reporting to Stoke’s Chief Executive Officer. Executive shall provide the services described hereunder in Stoke’s office in Bedford, MA, provided that Executive shall be permitted to provide services in other locations as agreed upon by Executive and Stoke. Executive accepts such employment upon the terms and conditions set forth herein, and agrees to perform to the best of Executive’s ability the duties normally associated with such position and as reasonably determined by Stoke in its sole discretion. While serving as CFO hereunder, Executive shall devote all of Executive’s business time and energies to the business and affairs of Stoke,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nothing contained in this Section 1 shall prevent or limit: (a) Executive’s right to manage Executive’s personal investments on Executive’s own personal time, including, without limitation the right to make passive investments in the securities of (i) any entity which Executive does not control, directly or indirectly, and which does not compete with Stoke, or (ii) any publicly held entity, so long as Executive’s aggregate direct and indirect interest does not exceed two percent (2%) of the issued and outstanding securities of any class of securities of such publicly held entity; and (b) Executive’s participation in civic and charitable activities, including as a member of a board of a civic or charitable organization, so long as such activities do not interfere with Executive’s performance of Executive’s duties hereunder.</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u w:val="single"/>
        </w:rPr>
        <w:t>Term; Termination</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Term</w:t>
      </w:r>
      <w:r>
        <w:rPr>
          <w:rFonts w:ascii="Times New Roman" w:hAnsi="Times New Roman"/>
          <w:color w:val="000000"/>
          <w:sz w:val="24"/>
        </w:rPr>
        <w:t>. Subject to the terms hereof, Executive’s employment hereunder shall commence on May 7, 2024 (the “Commencement Date”) and shall continue until terminated hereunder by either party (such term of employment shall be referred to herein as the “Term”). Executive’s employment with Stoke shall be at-will and may be terminated by Executive or Stoke at any time, subject to the terms and conditions in this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Termination by Stoke</w:t>
      </w:r>
      <w:r>
        <w:rPr>
          <w:rFonts w:ascii="Times New Roman" w:hAnsi="Times New Roman"/>
          <w:color w:val="000000"/>
          <w:sz w:val="24"/>
        </w:rPr>
        <w:t>. Notwithstanding anything else contained in this Agreement, Stoke may terminate Executive’s employment hereunder as follows:</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pPr>
      <w:r>
        <w:rPr>
          <w:rFonts w:ascii="Times New Roman" w:hAnsi="Times New Roman"/>
          <w:color w:val="000000"/>
          <w:sz w:val="24"/>
          <w:u w:val="single"/>
        </w:rPr>
        <w:t>For Cause</w:t>
      </w:r>
      <w:r>
        <w:rPr>
          <w:rFonts w:ascii="Times New Roman" w:hAnsi="Times New Roman"/>
          <w:color w:val="000000"/>
          <w:sz w:val="24"/>
        </w:rPr>
        <w:t xml:space="preserve">. Stoke may terminate Executive’s employment for Cause (as defined below) by written notice by Stoke to Executive that Executive’s employment is being terminated for Cause, which termination shall be effective on the date of such notice or such later date as specified in writing by Stoke,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if Executive has cured the circumstances giving rise to Cause (as such cure right may be applicable pursuant to the terms and conditions set forth below) then such termination shall not be effective. </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(ii)</w:t>
      </w:r>
    </w:p>
    <w:p>
      <w:pPr>
        <w:pStyle w:val="TextBody"/>
        <w:bidi w:val="0"/>
        <w:jc w:val="both"/>
        <w:rPr/>
      </w:pPr>
      <w:r>
        <w:rPr>
          <w:rFonts w:ascii="Times New Roman" w:hAnsi="Times New Roman"/>
          <w:color w:val="000000"/>
          <w:sz w:val="24"/>
          <w:u w:val="single"/>
        </w:rPr>
        <w:t>Without Cause</w:t>
      </w:r>
      <w:r>
        <w:rPr>
          <w:rFonts w:ascii="Times New Roman" w:hAnsi="Times New Roman"/>
          <w:color w:val="000000"/>
          <w:sz w:val="24"/>
        </w:rPr>
        <w:t xml:space="preserve">. Stoke may terminate Executive’s employment without Cause, by written notice by Stoke to Executive that Executive’s employment is being terminated without Cause, which termination shall be effective on the date of such notice or such later date as specified in writing by Stoke.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the purposes of this Agreement, “Cause” shall mean: (A) fraud, embezzlement, or illegal misconduct in connection with Executive’s duties under this Agreement; (B) commission of a felony involving fraud, dishonesty or breach of trust; (C) willful misconduct or gross negligence in the performance of the duties delegated to Executive; (D) breach of this Agreement; or (E) material breach of Executive’s Non-Competition, Non-Solicitation, Non-Disclosure, and Intellectual Property Agreement (as described below);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“Cause” shall not be deemed to have occurred pursuant to subsection (D) hereof unless Executive has first received written notice specifying in reasonable detail the particulars of such ground and that Stoke intends to terminate Executive’s employment hereunder for such ground, and if such ground is curable, Executive has failed to cure such ground within a period of thirty (30) days from the date of his receipt of such notice.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Termination by Executive</w:t>
      </w:r>
      <w:r>
        <w:rPr>
          <w:rFonts w:ascii="Times New Roman" w:hAnsi="Times New Roman"/>
          <w:color w:val="000000"/>
          <w:sz w:val="24"/>
        </w:rPr>
        <w:t>. Notwithstanding anything else contained in this Agreement, Executive may terminate Executive’s employment hereunder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For Good Reason</w:t>
      </w:r>
      <w:r>
        <w:rPr>
          <w:rFonts w:ascii="Times New Roman" w:hAnsi="Times New Roman"/>
          <w:color w:val="000000"/>
          <w:sz w:val="24"/>
        </w:rPr>
        <w:t xml:space="preserve">. Executive may terminate Executive’s employment for Good Reason (as defined below) by written notice by Executive to Stoke that Executive is terminating Executive’s employment for Good Reason, which termination shall be effective thirty (30) days after the date of such notice;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if Stoke has cured the circumstances giving rise to Good Reason then such termination shall not be effective;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Without Good Reason</w:t>
      </w:r>
      <w:r>
        <w:rPr>
          <w:rFonts w:ascii="Times New Roman" w:hAnsi="Times New Roman"/>
          <w:color w:val="000000"/>
          <w:sz w:val="24"/>
        </w:rPr>
        <w:t>. Executive may terminate Executive’s employment without Good Reason by written notice by Executive to Stoke that Executive is terminating Executive’s employment, which termination shall be effective ninety (90) days after the date of such notice.</w:t>
      </w:r>
    </w:p>
    <w:p>
      <w:pPr>
        <w:pStyle w:val="TextBody"/>
        <w:bidi w:val="0"/>
        <w:spacing w:before="0" w:after="240"/>
        <w:jc w:val="both"/>
        <w:rPr>
          <w:rFonts w:ascii="Times New Roman" w:hAnsi="Times New Roman"/>
          <w:sz w:val="20"/>
        </w:rPr>
      </w:pPr>
      <w:r>
        <w:rPr>
          <w:rFonts w:ascii="Times New Roman" w:hAnsi="Times New Roman"/>
          <w:color w:val="000000"/>
          <w:sz w:val="24"/>
        </w:rPr>
        <w:t>For the purposes of this Agreement, “Good Reason” shall mean: (A) a material reduction in Executive’s then-current Base Salary, provided that such material reduction is unique to Executive and not to all similarly situated executives of Stoke; (B) Executive does not report to the Chief Executive Officer of the parent company following any Change in Control (as that term is defined in Executive’s Change of Control Severance Agreement;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a material change in the geographic location at which the Executive provides services to Stoke outside of a fifty (50) mile radius from the then-current location; or (D) any action or inaction by Stoke that constitutes a material breach of this Agreement;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“Good Reason” shall not be deemed to have occurred unless: (1) Executive provides Stoke with written notice that Executive intends to terminate Executive’s employment hereunder for one of the grounds set forth above within thirty (30) days of such ground first occurring, (2) if such ground is capable of being cured, Stoke has failed to cure such ground within a period of thirty (30) days from the date of such written notice, and (3) Executive terminates Executive’s employment within seventy five (75) days from the date that Good Reason first occurs. For purposes of clarification, the above-listed conditions shall apply separately to each occurrence of Good Reason and failure to adhere to such conditions in the event of Good Reason shall not disqualify Executive from asserting Good Reason for any subsequent occurrence of Good Reason.</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(d) </w:t>
      </w:r>
      <w:r>
        <w:rPr>
          <w:rFonts w:ascii="Times New Roman" w:hAnsi="Times New Roman"/>
          <w:b w:val="false"/>
          <w:color w:val="000000"/>
          <w:sz w:val="24"/>
          <w:u w:val="single"/>
        </w:rPr>
        <w:t>Termination Due to Executive’s Death or Disability</w:t>
      </w:r>
      <w:r>
        <w:rPr>
          <w:rFonts w:ascii="Times New Roman" w:hAnsi="Times New Roman"/>
          <w:b w:val="false"/>
          <w:color w:val="000000"/>
          <w:sz w:val="24"/>
        </w:rPr>
        <w:t>. Notwithstanding anything else contained in this Agreement, Stoke may terminate Executive’s employment immediately upon Executive’s death, or due to Executive’s Disability (as defined below) by written notice to Executive that Executive’s employment is being terminated as a result of Executive’s Disability, which termination shall be effective on the date of such notice or such later date as specified in writing by Stoke. For the purposes of this Agreement, “Disability” shall mean Executive’s incapacity or inability to perform Executive’s duties and responsibilities as contemplated herein for one hundred twenty (120) days or more within any one (1) year period (cumulative or consecutive), because Executive’s physical or mental health has become so impaired as to make it impossible or impractical for Executive to perform the duties and responsibilities contemplated hereunder. Determination of Executive’s physical or mental health shall be determined by Stoke after consultation with a medical expert appointed by mutual agreement between Stoke and Executive who has examined Executive. Executive hereby consents to such examination and consultation regarding Executive’s health and ability to perform as aforesaid.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u w:val="single"/>
        </w:rPr>
        <w:t>Compensation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Base Salary</w:t>
      </w:r>
      <w:r>
        <w:rPr>
          <w:rFonts w:ascii="Times New Roman" w:hAnsi="Times New Roman"/>
          <w:color w:val="000000"/>
          <w:sz w:val="24"/>
        </w:rPr>
        <w:t>. While Executive is employed hereunder, Executive shall earn a base salary at the annual rate of $475,000.00 (the “Base Salary”). The Base Salary shall be payable in substantially equal periodic installments, in accordance with Stoke’s payroll practices as in effect from time to time. Stoke shall deduct from each such installment all amounts required to be deducted or withheld under applicable law or under any employee benefit plan in which Executive participates.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Annual Bonus</w:t>
      </w:r>
      <w:r>
        <w:rPr>
          <w:rFonts w:ascii="Times New Roman" w:hAnsi="Times New Roman"/>
          <w:color w:val="000000"/>
          <w:sz w:val="24"/>
        </w:rPr>
        <w:t xml:space="preserve">. Executive shall be eligible to receive an annual cash bonus with a target amount equal to 40% of Executive’s Base Salary, (the “Annual Bonus”). The amount of the Annual Bonus shall be based on factors such as Executive’s work performance, Stoke’s financial performance, Stoke’s business forecasts, Stoke’s determination of Executive’s achievement of milestones for the applicable year, and economic conditions generally. The actual amount of the Annual Bonus shall be determined by the Board in its sole discretion. Executive’s Annual Bonus shall be paid by the fifteenth day of the third month following Executive’s or Stoke’s taxable year in which it is earned, whichever is later. Executive must be employed by Stoke on the last day of such fiscal year to which such Annual Bonus relates, to be deemed as having earned the Annual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Bonus. Stoke shall deduct from the Annual Bonus all amounts required to be deducted or withheld under applicable law or under any employee benefit plan in which Executive participates.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Equity</w:t>
      </w:r>
      <w:r>
        <w:rPr>
          <w:rFonts w:ascii="Times New Roman" w:hAnsi="Times New Roman"/>
          <w:color w:val="000000"/>
          <w:sz w:val="24"/>
        </w:rPr>
        <w:t>. On the Commencement Date or as soon as practicable thereafter, and subject to the Board’s approval, the Stoke shall grant you an option to purchase 396,200 shares of Stoke’s common stock (the “Equity Award”) under Stoke’s 2023 Inducement Plan (the “Plan”). The Equity Award shall have an exercise price equal to the fair market value of Stoke’s common stock on the date of grant. The Equity Award shall be an “incentive stock option” to the extent permitted under Section 409A the Internal Revenue Code (“Section 409A”). Subject to the Board’s approval as described above and Executive’s continued employment by Stoke, the Equity Award shall be vested as to one fourth (1/4</w:t>
      </w:r>
      <w:r>
        <w:rPr>
          <w:rFonts w:ascii="Times New Roman" w:hAnsi="Times New Roman"/>
          <w:color w:val="000000"/>
          <w:sz w:val="16"/>
        </w:rPr>
        <w:t>th</w:t>
      </w:r>
      <w:r>
        <w:rPr>
          <w:rFonts w:ascii="Times New Roman" w:hAnsi="Times New Roman"/>
          <w:color w:val="000000"/>
          <w:sz w:val="24"/>
        </w:rPr>
        <w:t>) of the total number of shares subject to the Equity Award on the one-year anniversary of the Commencement Date, and one forty-eighth (1/48</w:t>
      </w:r>
      <w:r>
        <w:rPr>
          <w:rFonts w:ascii="Times New Roman" w:hAnsi="Times New Roman"/>
          <w:color w:val="000000"/>
          <w:sz w:val="16"/>
        </w:rPr>
        <w:t>th</w:t>
      </w:r>
      <w:r>
        <w:rPr>
          <w:rFonts w:ascii="Times New Roman" w:hAnsi="Times New Roman"/>
          <w:color w:val="000000"/>
          <w:sz w:val="24"/>
        </w:rPr>
        <w:t xml:space="preserve">) of the total number of shares subject to the Equity Award shall vest in monthly installments thereafter on the same day of the month as the Commencement Date (and if there is no corresponding day, on the last day of the month), with all shares subject to the Equity Award being fully vested on the four-year anniversary of the Commencement Date. Vesting is contingent on Executive’s continued employment with Stoke and shall be subject to the terms and conditions of the Plan and the written agreement governing the Equity Award except as explicitly set forth below.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Fringe Benefits</w:t>
      </w:r>
      <w:r>
        <w:rPr>
          <w:rFonts w:ascii="Times New Roman" w:hAnsi="Times New Roman"/>
          <w:color w:val="000000"/>
          <w:sz w:val="24"/>
        </w:rPr>
        <w:t>. Executive shall be entitled to participate in all benefit/welfare plans and fringe benefits provided to employees at the same level as Executive. Executive understands that, except when prohibited by applicable law, Stoke’s benefit plans and fringe benefits may be amended by Stoke from time to time in its sole discretion.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Vacation</w:t>
      </w:r>
      <w:r>
        <w:rPr>
          <w:rFonts w:ascii="Times New Roman" w:hAnsi="Times New Roman"/>
          <w:color w:val="000000"/>
          <w:sz w:val="24"/>
        </w:rPr>
        <w:t xml:space="preserve">. Executive shall be eligible </w:t>
      </w:r>
      <w:r>
        <w:rPr>
          <w:rFonts w:ascii="Times New Roman" w:hAnsi="Times New Roman"/>
          <w:color w:val="000000"/>
          <w:sz w:val="23"/>
        </w:rPr>
        <w:t>for Stoke’s unlimited vacation time policy, subject to its terms and conditions, as established or modified from time to time by Stoke.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Reimbursement of Expenses</w:t>
      </w:r>
      <w:r>
        <w:rPr>
          <w:rFonts w:ascii="Times New Roman" w:hAnsi="Times New Roman"/>
          <w:color w:val="000000"/>
          <w:sz w:val="24"/>
        </w:rPr>
        <w:t>. Stoke shall reimburse Executive for all ordinary and reasonable out-of-pocket business expenses incurred by Executive in furtherance of Stoke’s business in accordance with Stoke’s policies with respect thereto as in effect from time to time. All reimbursements provided under this Agreement shall be made or provided in accordance with the requirements of Section 409A and the rules and regulations thereunder, including, where applicable, the requirement that (i) any reimbursement is for expenses incurred during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shall be made no later than the last day of the calendar year following the year in which the expense is incurred; and (iv) the right to reimbursement or in kind benefits is not subject to liquidation or exchange for another benefit.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Indemnification</w:t>
      </w:r>
      <w:r>
        <w:rPr>
          <w:rFonts w:ascii="Times New Roman" w:hAnsi="Times New Roman"/>
          <w:color w:val="000000"/>
          <w:sz w:val="24"/>
        </w:rPr>
        <w:t>. Executive shall be eligible for coverage under Stoke Directors’ and Officers’ (“D&amp;O”) insurance policies to the same extent and in the same manner to which Stoke’s similarly situated executives are entitled to coverage under Stoke D&amp;O insurance policies, subject to the terms and conditions of any such Stoke D&amp;O insurance policies.</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u w:val="single"/>
        </w:rPr>
        <w:t>Termination Payments; Severance Benefit</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Payment of Accrued Obligations</w:t>
      </w:r>
      <w:r>
        <w:rPr>
          <w:rFonts w:ascii="Times New Roman" w:hAnsi="Times New Roman"/>
          <w:color w:val="000000"/>
          <w:sz w:val="24"/>
        </w:rPr>
        <w:t>. Regardless of the reason for any employment termination hereunder, Stoke shall pay to Executive: (i) the portion of Executive’s Base Salary that has accrued prior to any termination of Executive’s employment and has not yet been paid; (ii) except in the event of Executive’s termination for Cause, the amount of any Annual Bonus determined by the Board and payable from a prior year which remains unpaid by Stoke as of the date of the termination of employment; (iii) the amount of any expenses properly incurred by Executive on behalf of Stoke prior to any such termination and has not yet been reimbursed (together, the “Accrued Obligations”) promptly following the effective date of termination, and otherwise within any timeframe required by law. Executive’s entitlement to other compensation or benefits under any Stoke plan or policy shall be governed by and determined in accordance with the terms of such plan or policy, except as otherwise specified in this Agreement. In the event of Stoke’s termination of Executive’s employment for Cause or Executive’s termination of Executive’s employment without Good Reason, Executive shall be eligible for the Accrued Obligations and shall not be eligible for any severance or severance-type payments, other than as expressly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Severance in the Event of Termination Without Cause or Resignation for Good Reason</w:t>
      </w:r>
      <w:r>
        <w:rPr>
          <w:rFonts w:ascii="Times New Roman" w:hAnsi="Times New Roman"/>
          <w:color w:val="000000"/>
          <w:sz w:val="24"/>
        </w:rPr>
        <w:t>. Subject to the terms and conditions of Section 4(c), in the event that Executive’s employment hereunder is terminated by Stoke without Cause or terminated by Executive for Good Reason, then, in addition to the Accrued Obligations: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Stoke shall continue to pay the Executive’s Base Salary for a nine (9) month period following the termination date of Executive’s employment (the “Separation Date”), with such payments to be made in accordance with Stoke’s normal payroll practices and schedules, less all customary and required taxes and employment-related deductions.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that Executive is eligible for coverage under a Stoke health insurance plan and Executive has elected to have coverage thereunder and was covered thereunder prior to termination, and in the event that Executive chooses to exercise Executive’s right under the Consolidated Omnibus Budget Reconciliation Act of 1985 (“COBRA”) to continue Executive’s participation in such plan, Stoke shall pay its normal share of the costs for such coverage for a period of up to nine (9) months from the Separation Date, to the same extent that such insurance is provided to persons then currently employed by Stoke. Stoke shall deduct from each of the installments due under Section 4(b)(i) the portion of the monthly premium due from Executive in accordance with the terms of such coverage. Notwithstanding any other provision of this Agreement, this obligation shall cease on the date Executive becomes eligible to receive health insurance benefits through any other employer, and Executive agrees to provide Stoke with written notice immediately upon becoming eligible for such benefits. Executive’s acceptance of any payment on Executive’s behalf or coverage provided hereunder shall be an express representation to Stoke that Executive has no such eligibility.</w:t>
      </w:r>
    </w:p>
    <w:p>
      <w:pPr>
        <w:pStyle w:val="TextBody"/>
        <w:bidi w:val="0"/>
        <w:spacing w:before="0" w:after="240"/>
        <w:jc w:val="both"/>
        <w:rPr>
          <w:rFonts w:ascii="Times New Roman" w:hAnsi="Times New Roman"/>
          <w:sz w:val="20"/>
        </w:rPr>
      </w:pPr>
      <w:r>
        <w:rPr>
          <w:rFonts w:ascii="Times New Roman" w:hAnsi="Times New Roman"/>
          <w:color w:val="000000"/>
          <w:sz w:val="24"/>
        </w:rPr>
        <w:t>Subsections (i) and (ii) are referred to as the Severance Benefit. The Severance Benefit is expressly subject to the conditions described above and in Section 4(c) below. Any payment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benefit made as part of such Severance Benefit shall be paid less all customary and required taxes and employment-related deductions.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Conditions</w:t>
      </w:r>
      <w:r>
        <w:rPr>
          <w:rFonts w:ascii="Times New Roman" w:hAnsi="Times New Roman"/>
          <w:color w:val="000000"/>
          <w:sz w:val="24"/>
        </w:rPr>
        <w:t xml:space="preserve">. Stoke shall not be obligated to provide Executive with the Severance Benefit described in Section 4(b) unless and until Executive has executed without revocation a separation agreement in a form acceptable to Stoke, which must be signed by Executive, returned to Stoke and be enforceable and irrevocable no later than sixty (60) days following Executive’s Separation Date (the “Review Period”), and which shall include, at a minimum, the provision of the Severance Benefit due from Stoke to Executive, a complete general release of claims against Stoke and its affiliated entities and each of their officers, directors and employees, and terms relating to non-disparagement, non-competition, confidentiality, cooperation and other customary terms determined by Stoke. If Executive executes and does not revoke such agreement within the time provided in the Separation Agreement, then provision of the Severance Benefit shall commence on the first (1st) regularly scheduled payroll date following the Review Period,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if the last day of the Review Period occurs in the calendar year following the year of termination, then the payment shall not commence until January 2 of such subsequent calendar year, and further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as applied to Section 4(b), the first payments/benefits shall include in a lump sum all amounts that were otherwise payable to Executive from the Separation Date through such first payment. As stated in Stoke’s Non-Competition, Non-Solicitation, Non-Disclosure, and Intellectual Property Agreement (described below), in the event Executive is eligible for garden leave or analogous payments in support of non-competition obligations, then Stoke reserves the right to offset the Severance Benefit with such garden leave or analogous payments to the extent permitted by applicable law (</w:t>
      </w:r>
      <w:r>
        <w:rPr>
          <w:rFonts w:ascii="Times New Roman" w:hAnsi="Times New Roman"/>
          <w:i/>
          <w:color w:val="000000"/>
          <w:sz w:val="24"/>
        </w:rPr>
        <w:t xml:space="preserve">i.e. </w:t>
      </w:r>
      <w:r>
        <w:rPr>
          <w:rFonts w:ascii="Times New Roman" w:hAnsi="Times New Roman"/>
          <w:color w:val="000000"/>
          <w:sz w:val="24"/>
        </w:rPr>
        <w:t>Stoke shall pay the greater of the severance or the garden leave but not both).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COBRA</w:t>
      </w:r>
      <w:r>
        <w:rPr>
          <w:rFonts w:ascii="Times New Roman" w:hAnsi="Times New Roman"/>
          <w:color w:val="000000"/>
          <w:sz w:val="24"/>
        </w:rPr>
        <w:t>. If the payment of any COBRA or health insurance premiums by Stoke on behalf of Executive as described herein would otherwise violate any applicable nondiscrimination rules or cause the reimbursement of claims to be taxable under the Patient Protection and Affordable Care Act of 2010, together with the Health Care and Education Reconciliation Act of 2010 (collectively, the “Act”) or Section 105(h) of the Code, the COBRA premiums paid by Stoke shall be treated as taxable payments (subject to customary and required taxes and employment-related deductions) and be subject to imputed income tax treatment to the extent necessary to eliminate any discriminatory treatment or taxation under the Act or Section 105(h) of the Code. If Stoke determines in its sole discretion that it cannot provide the COBRA benefits described herein under Stoke’s health insurance plan without potentially violating applicable law (including, without limitation, Section 2716 of the Public Health Service Act), Stoke shall in lieu thereof provide to Executive a taxable lump-sum payment in an amount equal to the sum of the monthly (or then remaining) COBRA premiums that Executive would be required to pay to maintain Executive’s group health insurance coverage in effect on the Separation Date for the remaining portion of the period for which Executive shall receive the payments described in Section 4(b) 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No Other Payments or Benefits Owing</w:t>
      </w:r>
      <w:r>
        <w:rPr>
          <w:rFonts w:ascii="Times New Roman" w:hAnsi="Times New Roman"/>
          <w:color w:val="000000"/>
          <w:sz w:val="24"/>
        </w:rPr>
        <w:t xml:space="preserve">. The payments and benefits set forth in this Section 4 shall be the sole amounts owing to Executive upon termination of Executive’s employment for the reasons set forth above and Executive shall not be eligible for any other payments or other forms of compensation or benefits. The payments and benefits set forth in this Section shall be the sole remedy, if any, available to Executive in the event that Executive brings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claim against Stoke relating to the termination of Executive’s employment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4"/>
          <w:u w:val="single"/>
        </w:rPr>
        <w:t>Non-Competition, Non-Solicitation, Non-Disclosure Agreement</w:t>
      </w:r>
      <w:r>
        <w:rPr>
          <w:rFonts w:ascii="Times New Roman" w:hAnsi="Times New Roman"/>
          <w:color w:val="000000"/>
          <w:sz w:val="24"/>
        </w:rPr>
        <w:t>. In light of the competitive and proprietary aspects of the business of Stoke, and as a condition of Executive’s employment hereunder, Executive agrees to sign and abide by Stoke’s Non-Competition, Non-Solicitation, Non-Disclosure, and Intellectual Property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4"/>
          <w:u w:val="single"/>
        </w:rPr>
        <w:t>Code Section 409A</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that the payments or benefits set forth in Section 4 constitute “non-qualified deferred compensation” subject to Section 409A, then the following conditions apply to such payments or benefits: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termination of Executive’s employment triggering payment of benefits under Section 4 must constitute a “separation from service” under Section 409A(a)(2)(A)(i) of the Code and Treas. Reg. §1.409A-1(h) before distribution of such benefits can commence. To the extent that the termination of Executive’s employment does not constitute a separation of service under Section 409A(a)(2)(A)(i) of the Code and Treas. Reg. §1.409A-1(h) (as the result of further services that are reasonably anticipated to be provided by Executive to Stoke at the time Executive’s employment terminates), any such payments under Section 4 that constitute deferred compensation under Section 409A shall be delayed until after the date of a subsequent event constituting a separation of service under Section 409A(a)(2)(A)(i) of the Code and Treas. Reg. §1.409A-1(h). For purposes of clarification, this Section 6(a) shall not cause any forfeiture of benefits on Executive’s part, but shall only act as a delay until such time as a “separation from service” occurs.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 other provision with respect to the timing of payments under Section 4 if, at the time of Executive’s termination, Executive is deemed to be a “specified employee” of Stoke (within the meaning of Section 409A(a)(2)(B)(i) of the Code), then limited only to the extent necessary to comply with the requirements of Section 409A, any payments to which Executive may become entitled under Section 4 which are subject to Section 409A (and not otherwise exempt from its application) shall be withheld until the first (1st) business day of the seventh (7th) month following the termination of Executive’s employment, at which time Executive shall be paid an aggregate amount equal to the accumulated, but unpaid, payments otherwise due to Executive under the terms of Section 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is intended that each installment of the payments and benefits provided under Section 4 shall be treated as a separate “payment” for purposes of Section 409A. Neither Stoke nor Executive shall have the right to accelerate or defer the delivery of any such payments or benefits except to the extent specifically permitted or required by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Notwithstanding any other provision of this Agreement to the contrary, this Agreement shall be interpreted and at all times administered in a manner that avoids the inclusion of compensation in income under Section 409A, or the payment of increased taxes, excise taxes or other penalties under Section 409A. The parties intend this Agreement to be in compliance with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409A. Executive acknowledges and agrees that Stoke does not guarantee the tax treatment or tax consequences associated with any payment or benefit arising under this Agreement, including but not limited to consequences related to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4"/>
          <w:u w:val="single"/>
        </w:rPr>
        <w:t>General</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 Except as otherwise specifically provided herein, any notice required or permitted by this Agreement shall be in writing and shall be delivered as follows with notice deemed given as indicated: (i) by personal delivery when delivered personally; (ii) by overnight courier upon written verification of receipt; (iii) by certified or registered mail, return receipt requested, upon verification of receipt; or (iv) by e-mail, upon acknowledgement of receipt from the receiving party.</w:t>
      </w:r>
    </w:p>
    <w:p>
      <w:pPr>
        <w:pStyle w:val="Heading2"/>
        <w:bidi w:val="0"/>
        <w:spacing w:before="0" w:after="240"/>
        <w:jc w:val="both"/>
        <w:rPr>
          <w:rFonts w:ascii="Times New Roman" w:hAnsi="Times New Roman"/>
          <w:sz w:val="20"/>
        </w:rPr>
      </w:pPr>
      <w:r>
        <w:rPr>
          <w:rFonts w:ascii="Times New Roman" w:hAnsi="Times New Roman"/>
          <w:b w:val="false"/>
          <w:i/>
          <w:color w:val="000000"/>
          <w:sz w:val="24"/>
        </w:rPr>
        <w:t>Notices to Executive shall be sent to the address specified below, or the last known address in Stoke’s records.</w:t>
      </w:r>
      <w:r>
        <w:rPr>
          <w:rFonts w:ascii="Times New Roman" w:hAnsi="Times New Roman"/>
          <w:color w:val="000000"/>
          <w:sz w:val="20"/>
        </w:rPr>
        <w:t xml:space="preserve"> </w:t>
      </w:r>
    </w:p>
    <w:p>
      <w:pPr>
        <w:pStyle w:val="Heading2"/>
        <w:bidi w:val="0"/>
        <w:spacing w:before="0" w:after="240"/>
        <w:jc w:val="both"/>
        <w:rPr>
          <w:rFonts w:ascii="Times New Roman" w:hAnsi="Times New Roman"/>
          <w:b w:val="false"/>
          <w:i/>
          <w:color w:val="000000"/>
          <w:sz w:val="24"/>
        </w:rPr>
      </w:pPr>
      <w:r>
        <w:rPr>
          <w:rFonts w:ascii="Times New Roman" w:hAnsi="Times New Roman"/>
          <w:b w:val="false"/>
          <w:i/>
          <w:color w:val="000000"/>
          <w:sz w:val="24"/>
        </w:rPr>
        <w:t>Notices to Stoke shall be sent to:</w:t>
      </w:r>
    </w:p>
    <w:p>
      <w:pPr>
        <w:pStyle w:val="TextBody"/>
        <w:bidi w:val="0"/>
        <w:jc w:val="left"/>
        <w:rPr>
          <w:rFonts w:ascii="Times New Roman" w:hAnsi="Times New Roman"/>
          <w:color w:val="000000"/>
          <w:sz w:val="24"/>
        </w:rPr>
      </w:pPr>
      <w:r>
        <w:rPr>
          <w:rFonts w:ascii="Times New Roman" w:hAnsi="Times New Roman"/>
          <w:color w:val="000000"/>
          <w:sz w:val="24"/>
        </w:rPr>
        <w:t>Jonathan Allan, General Counsel</w:t>
      </w:r>
    </w:p>
    <w:p>
      <w:pPr>
        <w:pStyle w:val="TextBody"/>
        <w:bidi w:val="0"/>
        <w:jc w:val="left"/>
        <w:rPr>
          <w:rFonts w:ascii="Times New Roman" w:hAnsi="Times New Roman"/>
          <w:color w:val="000000"/>
          <w:sz w:val="24"/>
        </w:rPr>
      </w:pPr>
      <w:r>
        <w:rPr>
          <w:rFonts w:ascii="Times New Roman" w:hAnsi="Times New Roman"/>
          <w:color w:val="000000"/>
          <w:sz w:val="24"/>
        </w:rPr>
        <w:t>Stoke Therapeutics, Inc.</w:t>
      </w:r>
    </w:p>
    <w:p>
      <w:pPr>
        <w:pStyle w:val="TextBody"/>
        <w:bidi w:val="0"/>
        <w:jc w:val="left"/>
        <w:rPr>
          <w:rFonts w:ascii="Times New Roman" w:hAnsi="Times New Roman"/>
          <w:color w:val="000000"/>
          <w:sz w:val="24"/>
        </w:rPr>
      </w:pPr>
      <w:r>
        <w:rPr>
          <w:rFonts w:ascii="Times New Roman" w:hAnsi="Times New Roman"/>
          <w:color w:val="000000"/>
          <w:sz w:val="24"/>
        </w:rPr>
        <w:t>45 Wiggins Ave</w:t>
      </w:r>
    </w:p>
    <w:p>
      <w:pPr>
        <w:pStyle w:val="TextBody"/>
        <w:bidi w:val="0"/>
        <w:jc w:val="left"/>
        <w:rPr>
          <w:rFonts w:ascii="Times New Roman" w:hAnsi="Times New Roman"/>
          <w:color w:val="000000"/>
          <w:sz w:val="24"/>
        </w:rPr>
      </w:pPr>
      <w:r>
        <w:rPr>
          <w:rFonts w:ascii="Times New Roman" w:hAnsi="Times New Roman"/>
          <w:color w:val="000000"/>
          <w:sz w:val="24"/>
        </w:rPr>
        <w:t>Bedford, MA 01730</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Wendy Baccari, Senior Director, HR Operations</w:t>
      </w:r>
    </w:p>
    <w:p>
      <w:pPr>
        <w:pStyle w:val="TextBody"/>
        <w:bidi w:val="0"/>
        <w:jc w:val="left"/>
        <w:rPr>
          <w:rFonts w:ascii="Times New Roman" w:hAnsi="Times New Roman"/>
          <w:color w:val="000000"/>
          <w:sz w:val="24"/>
        </w:rPr>
      </w:pPr>
      <w:r>
        <w:rPr>
          <w:rFonts w:ascii="Times New Roman" w:hAnsi="Times New Roman"/>
          <w:color w:val="000000"/>
          <w:sz w:val="24"/>
        </w:rPr>
        <w:t>Stoke Therapeutics, Inc.</w:t>
      </w:r>
    </w:p>
    <w:p>
      <w:pPr>
        <w:pStyle w:val="TextBody"/>
        <w:bidi w:val="0"/>
        <w:jc w:val="left"/>
        <w:rPr>
          <w:rFonts w:ascii="Times New Roman" w:hAnsi="Times New Roman"/>
          <w:color w:val="000000"/>
          <w:sz w:val="24"/>
        </w:rPr>
      </w:pPr>
      <w:r>
        <w:rPr>
          <w:rFonts w:ascii="Times New Roman" w:hAnsi="Times New Roman"/>
          <w:color w:val="000000"/>
          <w:sz w:val="24"/>
        </w:rPr>
        <w:t>45 Wiggins Ave</w:t>
      </w:r>
    </w:p>
    <w:p>
      <w:pPr>
        <w:pStyle w:val="TextBody"/>
        <w:bidi w:val="0"/>
        <w:jc w:val="left"/>
        <w:rPr>
          <w:rFonts w:ascii="Times New Roman" w:hAnsi="Times New Roman"/>
          <w:color w:val="000000"/>
          <w:sz w:val="24"/>
        </w:rPr>
      </w:pPr>
      <w:r>
        <w:rPr>
          <w:rFonts w:ascii="Times New Roman" w:hAnsi="Times New Roman"/>
          <w:color w:val="000000"/>
          <w:sz w:val="24"/>
        </w:rPr>
        <w:t>Bedford, MA 01730</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i/>
          <w:color w:val="000000"/>
          <w:sz w:val="24"/>
        </w:rPr>
      </w:pPr>
      <w:r>
        <w:rPr>
          <w:rFonts w:ascii="Times New Roman" w:hAnsi="Times New Roman"/>
          <w:i/>
          <w:color w:val="000000"/>
          <w:sz w:val="24"/>
        </w:rPr>
        <w:t>with a copy to:</w:t>
      </w:r>
    </w:p>
    <w:p>
      <w:pPr>
        <w:pStyle w:val="TextBody"/>
        <w:bidi w:val="0"/>
        <w:jc w:val="left"/>
        <w:rPr>
          <w:rFonts w:ascii="Times New Roman" w:hAnsi="Times New Roman"/>
          <w:color w:val="000000"/>
          <w:sz w:val="24"/>
        </w:rPr>
      </w:pPr>
      <w:r>
        <w:rPr>
          <w:rFonts w:ascii="Times New Roman" w:hAnsi="Times New Roman"/>
          <w:color w:val="000000"/>
          <w:sz w:val="24"/>
        </w:rPr>
        <w:t>Mintz, Levin, Cohn, Ferris, Glovsky &amp; Popeo, P.C.</w:t>
      </w:r>
    </w:p>
    <w:p>
      <w:pPr>
        <w:pStyle w:val="TextBody"/>
        <w:bidi w:val="0"/>
        <w:jc w:val="left"/>
        <w:rPr>
          <w:rFonts w:ascii="Times New Roman" w:hAnsi="Times New Roman"/>
          <w:color w:val="000000"/>
          <w:sz w:val="24"/>
        </w:rPr>
      </w:pPr>
      <w:r>
        <w:rPr>
          <w:rFonts w:ascii="Times New Roman" w:hAnsi="Times New Roman"/>
          <w:color w:val="000000"/>
          <w:sz w:val="24"/>
        </w:rPr>
        <w:t>701 Pennsylvania Avenue NW #900</w:t>
      </w:r>
    </w:p>
    <w:p>
      <w:pPr>
        <w:pStyle w:val="TextBody"/>
        <w:bidi w:val="0"/>
        <w:jc w:val="left"/>
        <w:rPr>
          <w:rFonts w:ascii="Times New Roman" w:hAnsi="Times New Roman"/>
          <w:color w:val="000000"/>
          <w:sz w:val="24"/>
        </w:rPr>
      </w:pPr>
      <w:r>
        <w:rPr>
          <w:rFonts w:ascii="Times New Roman" w:hAnsi="Times New Roman"/>
          <w:color w:val="000000"/>
          <w:sz w:val="24"/>
        </w:rPr>
        <w:t>Washington, DC 20004</w:t>
      </w:r>
    </w:p>
    <w:p>
      <w:pPr>
        <w:pStyle w:val="TextBody"/>
        <w:bidi w:val="0"/>
        <w:jc w:val="left"/>
        <w:rPr>
          <w:rFonts w:ascii="Times New Roman" w:hAnsi="Times New Roman"/>
          <w:sz w:val="20"/>
        </w:rPr>
      </w:pPr>
      <w:r>
        <w:rPr>
          <w:rFonts w:ascii="Times New Roman" w:hAnsi="Times New Roman"/>
          <w:color w:val="000000"/>
          <w:sz w:val="24"/>
        </w:rPr>
        <w:t>Fax:</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Attn: David Barmak, Esq.</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Modifications and Amendments</w:t>
      </w:r>
      <w:r>
        <w:rPr>
          <w:rFonts w:ascii="Times New Roman" w:hAnsi="Times New Roman"/>
          <w:color w:val="000000"/>
          <w:sz w:val="24"/>
        </w:rPr>
        <w:t>. The terms and provisions of this Agreement may be modified or amended only by written agreement executed by the parties 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Waivers and Consents</w:t>
      </w:r>
      <w:r>
        <w:rPr>
          <w:rFonts w:ascii="Times New Roman" w:hAnsi="Times New Roman"/>
          <w:color w:val="000000"/>
          <w:sz w:val="24"/>
        </w:rPr>
        <w:t>.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Assignment</w:t>
      </w:r>
      <w:r>
        <w:rPr>
          <w:rFonts w:ascii="Times New Roman" w:hAnsi="Times New Roman"/>
          <w:color w:val="000000"/>
          <w:sz w:val="24"/>
        </w:rPr>
        <w:t>. Stoke may assign its rights and obligations hereunder to any person or entity that succeeds to all or substantially all of Stoke’s business or that aspect of Stoke’s business in which Executive is principally involved. Executive may not assign Executive’s rights and obligations under this Agreement without the prior written consent of Stoke.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Governing Law; Jury Waiver</w:t>
      </w:r>
      <w:r>
        <w:rPr>
          <w:rFonts w:ascii="Times New Roman" w:hAnsi="Times New Roman"/>
          <w:color w:val="000000"/>
          <w:sz w:val="24"/>
        </w:rPr>
        <w:t>. This Agreement and the rights and obligations of the parties hereunder shall be construed in accordance with and governed by the law of the Commonwealth of Massachusetts without giving effect to the conflict of law principles thereof. Any legal action or proceeding with respect to this Agreement shall be brought in the courts of the Commonwealth of Massachusetts or the United States of America for the District of Massachusetts. By execution and delivery of this Agreement, each of the parties hereto accepts for itself and in respect of its property, generally and unconditionally, the exclusive jurisdiction of the aforesaid courts. ANY ACTION, DEMAND, CLAIM OR COUNTERCLAIM ARISING UNDER OR RELATING TO THIS AGREEMENT SHALL BE RESOLVED BY A JUDGE ALONE AND EACH OF STOKE AND EXECUTIVE WAIVES ANY RIGHT TO A JURY TRIAL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Headings and Captions</w:t>
      </w:r>
      <w:r>
        <w:rPr>
          <w:rFonts w:ascii="Times New Roman" w:hAnsi="Times New Roman"/>
          <w:color w:val="000000"/>
          <w:sz w:val="24"/>
        </w:rPr>
        <w:t>. The headings and captions of the various subdivisions of this Agreement are for convenience of reference only and shall in no way modify or affect the meaning or construction of any of the terms or provisions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Entire Agreement</w:t>
      </w:r>
      <w:r>
        <w:rPr>
          <w:rFonts w:ascii="Times New Roman" w:hAnsi="Times New Roman"/>
          <w:color w:val="000000"/>
          <w:sz w:val="24"/>
        </w:rPr>
        <w:t>. This Agreement, together with the other agreements expressly referenced herein, embodies the entire agreement and understanding between the parties hereto with respect to the subject matter hereof and supersedes all prior oral or written agreements and understandings relating to the subject matter hereof. No statement, representation, warranty, covenant or agreement of any kind not expressly set forth in this Agreement shall affect, or be used to interpret, change or restrict, the express terms and provisions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Counterparts</w:t>
      </w:r>
      <w:r>
        <w:rPr>
          <w:rFonts w:ascii="Times New Roman" w:hAnsi="Times New Roman"/>
          <w:color w:val="000000"/>
          <w:sz w:val="24"/>
        </w:rPr>
        <w:t>. This Agreement may be executed in two or more counterparts, and by different parties hereto on separate counterparts, each of which shall be deemed an original, but all of which together shall constitute one and the same instrument. For all purposes signed counterparts delivered by fax or other digital means (e.g., .pdf) shall be treated as an original.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Satisfactory Background Check</w:t>
      </w:r>
      <w:r>
        <w:rPr>
          <w:rFonts w:ascii="Times New Roman" w:hAnsi="Times New Roman"/>
          <w:color w:val="000000"/>
          <w:sz w:val="24"/>
        </w:rPr>
        <w:t xml:space="preserve">. Executive understands and acknowledges that this Agreement and Stoke’s offer of employment hereunder is contingent upon Executive’s satisfactory completion of a background check, in accordance with applicable law. </w:t>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[Signature Page to Follow]</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parties hereto have executed this Agreement as of the date first written above.</w:t>
      </w:r>
    </w:p>
    <w:tbl>
      <w:tblPr>
        <w:tblW w:w="6932" w:type="dxa"/>
        <w:jc w:val="left"/>
        <w:tblInd w:w="0" w:type="dxa"/>
        <w:tblLayout w:type="fixed"/>
        <w:tblCellMar>
          <w:top w:w="28" w:type="dxa"/>
          <w:left w:w="28" w:type="dxa"/>
          <w:bottom w:w="28" w:type="dxa"/>
          <w:right w:w="28" w:type="dxa"/>
        </w:tblCellMar>
      </w:tblPr>
      <w:tblGrid>
        <w:gridCol w:w="3106"/>
        <w:gridCol w:w="3826"/>
      </w:tblGrid>
      <w:tr>
        <w:trPr/>
        <w:tc>
          <w:tcPr>
            <w:tcW w:w="310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1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Thomas Leggett</w:t>
            </w:r>
          </w:p>
          <w:p>
            <w:pPr>
              <w:pStyle w:val="TableContents"/>
              <w:bidi w:val="0"/>
              <w:jc w:val="left"/>
              <w:rPr/>
            </w:pPr>
            <w:r>
              <w:rPr/>
              <w:t> </w:t>
            </w:r>
          </w:p>
          <w:p>
            <w:pPr>
              <w:pStyle w:val="TableContents"/>
              <w:bidi w:val="0"/>
              <w:jc w:val="left"/>
              <w:rPr>
                <w:rFonts w:ascii="Times New Roman" w:hAnsi="Times New Roman"/>
                <w:sz w:val="24"/>
              </w:rPr>
            </w:pPr>
            <w:r>
              <w:rPr>
                <w:rFonts w:ascii="Times New Roman" w:hAnsi="Times New Roman"/>
                <w:color w:val="000000"/>
                <w:sz w:val="24"/>
                <w:u w:val="single"/>
              </w:rPr>
              <w:t>/s/ Thomas Leggett</w:t>
            </w:r>
            <w:r>
              <w:rPr>
                <w:rFonts w:ascii="Times New Roman" w:hAnsi="Times New Roman"/>
                <w:color w:val="000000"/>
                <w:sz w:val="24"/>
              </w:rPr>
              <w:t>_________</w:t>
            </w:r>
          </w:p>
          <w:p>
            <w:pPr>
              <w:pStyle w:val="TableContents"/>
              <w:bidi w:val="0"/>
              <w:jc w:val="left"/>
              <w:rPr>
                <w:rFonts w:ascii="Times New Roman" w:hAnsi="Times New Roman"/>
                <w:color w:val="000000"/>
                <w:sz w:val="24"/>
              </w:rPr>
            </w:pPr>
            <w:r>
              <w:rPr>
                <w:rFonts w:ascii="Times New Roman" w:hAnsi="Times New Roman"/>
                <w:color w:val="000000"/>
                <w:sz w:val="24"/>
              </w:rPr>
              <w:t>Printed name</w:t>
            </w:r>
          </w:p>
          <w:p>
            <w:pPr>
              <w:pStyle w:val="TableContents"/>
              <w:bidi w:val="0"/>
              <w:jc w:val="left"/>
              <w:rPr/>
            </w:pPr>
            <w:r>
              <w:rPr/>
              <w:t> </w:t>
            </w:r>
          </w:p>
          <w:p>
            <w:pPr>
              <w:pStyle w:val="TableContents"/>
              <w:bidi w:val="0"/>
              <w:jc w:val="left"/>
              <w:rPr>
                <w:rFonts w:ascii="Times New Roman" w:hAnsi="Times New Roman"/>
                <w:sz w:val="24"/>
              </w:rPr>
            </w:pPr>
            <w:r>
              <w:rPr>
                <w:rFonts w:ascii="Times New Roman" w:hAnsi="Times New Roman"/>
                <w:color w:val="000000"/>
                <w:sz w:val="24"/>
                <w:u w:val="single"/>
              </w:rPr>
              <w:t>/s/ Thomas Leggett</w:t>
            </w:r>
            <w:r>
              <w:rPr>
                <w:rFonts w:ascii="Times New Roman" w:hAnsi="Times New Roman"/>
                <w:color w:val="000000"/>
                <w:sz w:val="24"/>
              </w:rPr>
              <w:t>_________</w:t>
            </w:r>
          </w:p>
          <w:p>
            <w:pPr>
              <w:pStyle w:val="TableContents"/>
              <w:bidi w:val="0"/>
              <w:jc w:val="left"/>
              <w:rPr>
                <w:rFonts w:ascii="Times New Roman" w:hAnsi="Times New Roman"/>
                <w:color w:val="000000"/>
                <w:sz w:val="24"/>
              </w:rPr>
            </w:pPr>
            <w:r>
              <w:rPr>
                <w:rFonts w:ascii="Times New Roman" w:hAnsi="Times New Roman"/>
                <w:color w:val="000000"/>
                <w:sz w:val="24"/>
              </w:rPr>
              <w:t>Signature</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Address:</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sz w:val="24"/>
              </w:rPr>
            </w:pPr>
            <w:r>
              <w:rPr>
                <w:rFonts w:ascii="Times New Roman" w:hAnsi="Times New Roman"/>
                <w:color w:val="000000"/>
                <w:sz w:val="24"/>
              </w:rPr>
              <w:t>Date:_</w:t>
            </w:r>
            <w:r>
              <w:rPr>
                <w:rFonts w:ascii="Times New Roman" w:hAnsi="Times New Roman"/>
                <w:color w:val="000000"/>
                <w:sz w:val="24"/>
                <w:u w:val="single"/>
              </w:rPr>
              <w:t>April 23, 2024</w:t>
            </w:r>
            <w:r>
              <w:rPr>
                <w:rFonts w:ascii="Times New Roman" w:hAnsi="Times New Roman"/>
                <w:color w:val="000000"/>
                <w:sz w:val="24"/>
              </w:rPr>
              <w:t>________</w:t>
            </w:r>
          </w:p>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 xml:space="preserve">STOKE THERAPEUTICS, INC. </w:t>
            </w:r>
          </w:p>
          <w:p>
            <w:pPr>
              <w:pStyle w:val="TableContents"/>
              <w:bidi w:val="0"/>
              <w:jc w:val="left"/>
              <w:rPr/>
            </w:pPr>
            <w:r>
              <w:rPr/>
              <w:t> </w:t>
            </w:r>
          </w:p>
          <w:p>
            <w:pPr>
              <w:pStyle w:val="TableContents"/>
              <w:bidi w:val="0"/>
              <w:jc w:val="left"/>
              <w:rPr>
                <w:rFonts w:ascii="Times New Roman" w:hAnsi="Times New Roman"/>
                <w:sz w:val="24"/>
              </w:rPr>
            </w:pPr>
            <w:r>
              <w:rPr>
                <w:rFonts w:ascii="Times New Roman" w:hAnsi="Times New Roman"/>
                <w:color w:val="000000"/>
                <w:sz w:val="24"/>
                <w:u w:val="single"/>
              </w:rPr>
              <w:t>/s/ Joan Wood</w:t>
            </w:r>
            <w:r>
              <w:rPr>
                <w:rFonts w:ascii="Times New Roman" w:hAnsi="Times New Roman"/>
                <w:color w:val="000000"/>
                <w:sz w:val="24"/>
              </w:rPr>
              <w:t>______________</w:t>
            </w:r>
          </w:p>
          <w:p>
            <w:pPr>
              <w:pStyle w:val="TableContents"/>
              <w:bidi w:val="0"/>
              <w:jc w:val="left"/>
              <w:rPr>
                <w:rFonts w:ascii="Times New Roman" w:hAnsi="Times New Roman"/>
                <w:color w:val="000000"/>
                <w:sz w:val="24"/>
              </w:rPr>
            </w:pPr>
            <w:r>
              <w:rPr>
                <w:rFonts w:ascii="Times New Roman" w:hAnsi="Times New Roman"/>
                <w:color w:val="000000"/>
                <w:sz w:val="24"/>
              </w:rPr>
              <w:t>By: Joan Wood</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Title: Chief Human Resources Officer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FIRST AMENDMENT TO EXECUTIVE EMPLOYMENT AGREEMENT</w:t>
      </w:r>
    </w:p>
    <w:p>
      <w:pPr>
        <w:pStyle w:val="TextBody"/>
        <w:bidi w:val="0"/>
        <w:jc w:val="both"/>
        <w:rPr>
          <w:rFonts w:ascii="Times New Roman" w:hAnsi="Times New Roman"/>
          <w:sz w:val="20"/>
        </w:rPr>
      </w:pPr>
      <w:r>
        <w:rPr>
          <w:rFonts w:ascii="Times New Roman" w:hAnsi="Times New Roman"/>
          <w:color w:val="000000"/>
          <w:sz w:val="22"/>
        </w:rPr>
        <w:t>This First Amendment to Executive Employment Agreement (this “</w:t>
      </w:r>
      <w:r>
        <w:rPr>
          <w:rFonts w:ascii="Times New Roman" w:hAnsi="Times New Roman"/>
          <w:b/>
          <w:i/>
          <w:color w:val="000000"/>
          <w:sz w:val="22"/>
        </w:rPr>
        <w:t>Amendment</w:t>
      </w:r>
      <w:r>
        <w:rPr>
          <w:rFonts w:ascii="Times New Roman" w:hAnsi="Times New Roman"/>
          <w:color w:val="000000"/>
          <w:sz w:val="20"/>
        </w:rPr>
        <w:t>”</w:t>
      </w:r>
      <w:r>
        <w:rPr>
          <w:rFonts w:ascii="Times New Roman" w:hAnsi="Times New Roman"/>
          <w:color w:val="000000"/>
          <w:sz w:val="22"/>
        </w:rPr>
        <w:t>), is made and entered into this 21</w:t>
      </w:r>
      <w:r>
        <w:rPr>
          <w:rFonts w:ascii="Times New Roman" w:hAnsi="Times New Roman"/>
          <w:color w:val="000000"/>
          <w:sz w:val="15"/>
        </w:rPr>
        <w:t>st</w:t>
      </w:r>
      <w:r>
        <w:rPr>
          <w:rFonts w:ascii="Times New Roman" w:hAnsi="Times New Roman"/>
          <w:color w:val="000000"/>
          <w:sz w:val="20"/>
        </w:rPr>
        <w:t xml:space="preserve"> </w:t>
      </w:r>
      <w:r>
        <w:rPr>
          <w:rFonts w:ascii="Times New Roman" w:hAnsi="Times New Roman"/>
          <w:color w:val="000000"/>
          <w:sz w:val="22"/>
        </w:rPr>
        <w:t>day of July 2026 (the “</w:t>
      </w:r>
      <w:r>
        <w:rPr>
          <w:rFonts w:ascii="Times New Roman" w:hAnsi="Times New Roman"/>
          <w:b/>
          <w:i/>
          <w:color w:val="000000"/>
          <w:sz w:val="22"/>
        </w:rPr>
        <w:t>Effective Date</w:t>
      </w:r>
      <w:r>
        <w:rPr>
          <w:rFonts w:ascii="Times New Roman" w:hAnsi="Times New Roman"/>
          <w:color w:val="000000"/>
          <w:sz w:val="20"/>
        </w:rPr>
        <w:t>”</w:t>
      </w:r>
      <w:r>
        <w:rPr>
          <w:rFonts w:ascii="Times New Roman" w:hAnsi="Times New Roman"/>
          <w:color w:val="000000"/>
          <w:sz w:val="22"/>
        </w:rPr>
        <w:t>), by and between Thomas Leggett (“</w:t>
      </w:r>
      <w:r>
        <w:rPr>
          <w:rFonts w:ascii="Times New Roman" w:hAnsi="Times New Roman"/>
          <w:b/>
          <w:i/>
          <w:color w:val="000000"/>
          <w:sz w:val="22"/>
        </w:rPr>
        <w:t>Executive</w:t>
      </w:r>
      <w:r>
        <w:rPr>
          <w:rFonts w:ascii="Times New Roman" w:hAnsi="Times New Roman"/>
          <w:color w:val="000000"/>
          <w:sz w:val="20"/>
        </w:rPr>
        <w:t>”</w:t>
      </w:r>
      <w:r>
        <w:rPr>
          <w:rFonts w:ascii="Times New Roman" w:hAnsi="Times New Roman"/>
          <w:color w:val="000000"/>
          <w:sz w:val="22"/>
        </w:rPr>
        <w:t>) and Stoke Therapeutics, Inc. (“</w:t>
      </w:r>
      <w:r>
        <w:rPr>
          <w:rFonts w:ascii="Times New Roman" w:hAnsi="Times New Roman"/>
          <w:b/>
          <w:i/>
          <w:color w:val="000000"/>
          <w:sz w:val="22"/>
        </w:rPr>
        <w:t>Stoke</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spacing w:before="0" w:after="160"/>
        <w:jc w:val="both"/>
        <w:rPr>
          <w:rFonts w:ascii="Times New Roman" w:hAnsi="Times New Roman"/>
          <w:sz w:val="20"/>
        </w:rPr>
      </w:pPr>
      <w:r>
        <w:rPr>
          <w:rFonts w:ascii="Times New Roman" w:hAnsi="Times New Roman"/>
          <w:color w:val="000000"/>
          <w:sz w:val="22"/>
        </w:rPr>
        <w:t>WHEREAS, Stoke and Executive are parties to that certain Executive Employment Agreement dated April 23, 2024 (the “</w:t>
      </w:r>
      <w:r>
        <w:rPr>
          <w:rFonts w:ascii="Times New Roman" w:hAnsi="Times New Roman"/>
          <w:b/>
          <w:i/>
          <w:color w:val="000000"/>
          <w:sz w:val="22"/>
        </w:rPr>
        <w:t>Original Agreement</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WHEREAS, Stoke and Executive desire that certain modifications be made to the Original Agreement; and </w:t>
      </w:r>
    </w:p>
    <w:p>
      <w:pPr>
        <w:pStyle w:val="TextBody"/>
        <w:bidi w:val="0"/>
        <w:spacing w:before="0" w:after="160"/>
        <w:jc w:val="both"/>
        <w:rPr>
          <w:rFonts w:ascii="Times New Roman" w:hAnsi="Times New Roman"/>
          <w:sz w:val="20"/>
        </w:rPr>
      </w:pPr>
      <w:r>
        <w:rPr>
          <w:rFonts w:ascii="Times New Roman" w:hAnsi="Times New Roman"/>
          <w:color w:val="000000"/>
          <w:sz w:val="22"/>
        </w:rPr>
        <w:t>WHEREAS, Section 7(b) of the Original Agreement permits the parties to amend such agreement in writing, signed by each party.</w:t>
      </w:r>
      <w:r>
        <w:rPr>
          <w:rFonts w:ascii="Times New Roman" w:hAnsi="Times New Roman"/>
          <w:color w:val="000000"/>
          <w:sz w:val="20"/>
        </w:rPr>
        <w:t xml:space="preserve"> </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NOW, THEREFORE, in consideration of the parties’ mutual desire to amend the Original Agreement, the parties agree as follows effective as of the Effective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Amendment shall amend the terms of the Original Agreement as set forth herein. From and after the Effective Date, all references to the term “Agreement” in this Amendment or the Original Agreement shall include the terms contained in this Amendment. Capitalized terms used but not otherwise defined herein shall have the meanings ascribed to them in the Original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Section 4(b)(i) of the Original Agreement shall be amended and restated as follows:</w:t>
      </w:r>
    </w:p>
    <w:p>
      <w:pPr>
        <w:pStyle w:val="TextBody"/>
        <w:bidi w:val="0"/>
        <w:spacing w:before="0" w:after="240"/>
        <w:jc w:val="both"/>
        <w:rPr>
          <w:color w:val="000000"/>
        </w:rPr>
      </w:pPr>
      <w:r>
        <w:rPr>
          <w:color w:val="000000"/>
        </w:rPr>
        <w:t>“</w:t>
      </w:r>
      <w:r>
        <w:rPr>
          <w:rFonts w:ascii="Times New Roman" w:hAnsi="Times New Roman"/>
          <w:color w:val="000000"/>
          <w:sz w:val="22"/>
        </w:rPr>
        <w:t>Stoke shall continue to pay the Executive’s Base Salary for a twelve (12) month period following the termination date of Executive’s employment (the “Separation Date”), with such payments to be made in accordance with Stoke’s normal payroll practices and schedules, less all customary and required taxes and employment-related deductions.”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first sentence of Section 4(b)(ii) of the Original Agreement shall be amended and restated as follows:</w:t>
      </w:r>
    </w:p>
    <w:p>
      <w:pPr>
        <w:pStyle w:val="TextBody"/>
        <w:bidi w:val="0"/>
        <w:spacing w:before="0" w:after="240"/>
        <w:jc w:val="both"/>
        <w:rPr>
          <w:color w:val="000000"/>
        </w:rPr>
      </w:pPr>
      <w:r>
        <w:rPr>
          <w:color w:val="000000"/>
        </w:rPr>
        <w:t>“</w:t>
      </w:r>
      <w:r>
        <w:rPr>
          <w:rFonts w:ascii="Times New Roman" w:hAnsi="Times New Roman"/>
          <w:color w:val="000000"/>
          <w:sz w:val="22"/>
        </w:rPr>
        <w:t>In the event that Executive is eligible for coverage under a Stoke health insurance plan and Executive has elected to have coverage thereunder and was covered thereunder prior to termination, and in the event that Executive chooses to exercise Executive’s right under the Consolidated Omnibus Budget Reconciliation Act of 1985 (“COBRA”) to continue Executive’s participation in such plan, Stoke shall pay its normal share of the costs for such coverage for a period of up to twelve (12) months from the Separation Date, to the same extent that such insurance is provided to persons then currently employed by Stoke.”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Except as expressly amended hereby, the Original Agreement shall continue to remain in full force and effect in accordance with its terms. This Amendment may be executed in one or more counterparts, each of which shall be deemed an original document and both of which together shall constitute the same instrument. </w:t>
      </w:r>
    </w:p>
    <w:p>
      <w:pPr>
        <w:pStyle w:val="TextBody"/>
        <w:bidi w:val="0"/>
        <w:spacing w:before="0" w:after="240"/>
        <w:jc w:val="center"/>
        <w:rPr>
          <w:rFonts w:ascii="Times New Roman" w:hAnsi="Times New Roman"/>
          <w:i/>
          <w:color w:val="000000"/>
          <w:sz w:val="22"/>
        </w:rPr>
      </w:pPr>
      <w:r>
        <w:rPr>
          <w:rFonts w:ascii="Times New Roman" w:hAnsi="Times New Roman"/>
          <w:i/>
          <w:color w:val="000000"/>
          <w:sz w:val="22"/>
        </w:rPr>
        <w:t>[Signature Page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2"/>
        </w:rPr>
      </w:pPr>
      <w:r>
        <w:rPr>
          <w:rFonts w:ascii="Times New Roman" w:hAnsi="Times New Roman"/>
          <w:color w:val="000000"/>
          <w:sz w:val="22"/>
        </w:rPr>
        <w:t>IN WITNESS WHEREOF, each of the undersigned parties have executed, or have caused their duly authorized representative to execute, this Amendment as of the date first written above.</w:t>
      </w:r>
    </w:p>
    <w:p>
      <w:pPr>
        <w:pStyle w:val="TextBody"/>
        <w:bidi w:val="0"/>
        <w:spacing w:before="0" w:after="240"/>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THOMAS LEGGETT STOKE THERAPEUTICS, INC.</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u w:val="single"/>
        </w:rPr>
        <w:t xml:space="preserve">/s/ Thomas Leggett /s/ Sara Den Besten </w:t>
        <w:br/>
      </w:r>
      <w:r>
        <w:rPr>
          <w:rFonts w:ascii="Times New Roman" w:hAnsi="Times New Roman"/>
          <w:color w:val="000000"/>
          <w:sz w:val="22"/>
        </w:rPr>
        <w:t>Signature By: Sara Den Besten</w:t>
        <w:br/>
        <w:t>Title: Chief People Officer</w:t>
        <w:br/>
      </w:r>
      <w:r>
        <w:rPr>
          <w:rFonts w:ascii="Times New Roman" w:hAnsi="Times New Roman"/>
          <w:color w:val="000000"/>
          <w:sz w:val="24"/>
        </w:rPr>
        <w:br/>
      </w:r>
      <w:r>
        <w:rPr>
          <w:rFonts w:ascii="Times New Roman" w:hAnsi="Times New Roman"/>
          <w:color w:val="000000"/>
          <w:sz w:val="20"/>
        </w:rPr>
        <w:t> </w:t>
      </w:r>
    </w:p>
    <w:p>
      <w:pPr>
        <w:pStyle w:val="TextBody"/>
        <w:bidi w:val="0"/>
        <w:jc w:val="center"/>
        <w:rPr>
          <w:rFonts w:ascii="Times New Roman" w:hAnsi="Times New Roman"/>
          <w:i/>
          <w:color w:val="000000"/>
          <w:sz w:val="24"/>
        </w:rPr>
      </w:pPr>
      <w:r>
        <w:rPr>
          <w:rFonts w:ascii="Times New Roman" w:hAnsi="Times New Roman"/>
          <w:i/>
          <w:color w:val="000000"/>
          <w:sz w:val="24"/>
        </w:rPr>
        <w:t>[Signature Page to First Amendment]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5" w:name="stok-ex10_3.htm"/>
      <w:bookmarkStart w:id="26" w:name="ksstokex10_3"/>
      <w:bookmarkEnd w:id="25"/>
      <w:bookmarkEnd w:id="26"/>
      <w:r>
        <w:rPr>
          <w:rFonts w:ascii="Times New Roman" w:hAnsi="Times New Roman"/>
          <w:b/>
          <w:color w:val="000000"/>
          <w:sz w:val="24"/>
        </w:rPr>
        <w:t>Exhibit 10.3</w:t>
      </w:r>
      <w:r>
        <w:br w:type="page"/>
      </w:r>
    </w:p>
    <w:p>
      <w:pPr>
        <w:pStyle w:val="TextBody"/>
        <w:bidi w:val="0"/>
        <w:spacing w:before="0" w:after="24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EXECUTIVE EMPLOYMENT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Executive Employment Agreement (the “Agreement”), is made and entered into this 14th day of March, 2024 (the “Effective Date”), by and between Stoke Therapeutics, Inc. (“Stoke”), and Jason Hoitt (“Executive”).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Stoke wishes to employ Executive to serve as its Chief Commercial Officer;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Executive represents that Executive possesses the necessary skills to perform the duties of this position and that Executive has no obligation to any other person or entity which would prevent, limit or interfere with Executive’s ability to do so;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Executive and Stoke desire to enter into a formal Executive Employment Agreement to assure the harmonious performance of the affairs of Stoke.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mutual promises, covenants, terms, provisions, and conditions contained herein and other good and valuable consideration, the receipt and sufficiency of which are hereby mutually acknowledged, the parties agree as follows:</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pPr>
      <w:r>
        <w:rPr>
          <w:rFonts w:ascii="Times New Roman" w:hAnsi="Times New Roman"/>
          <w:color w:val="000000"/>
          <w:sz w:val="24"/>
          <w:u w:val="single"/>
        </w:rPr>
        <w:t>Title and Duties</w:t>
      </w:r>
      <w:r>
        <w:rPr>
          <w:rFonts w:ascii="Times New Roman" w:hAnsi="Times New Roman"/>
          <w:color w:val="000000"/>
          <w:sz w:val="24"/>
        </w:rPr>
        <w:t xml:space="preserve">. Subject to the terms and conditions of this Agreement, Executive’s position with Stoke shall be Chief Commercial Officer (“CCO”) reporting to Stoke’s Chief Executive Officer. Executive’s principal place of work for Stoke shall be Executive’s home office in Rumson, NJ, provided that Executive shall be required to travel to Stoke’s office in Massachusetts as may be necessary to fulfill Executive’s responsibilities hereunder. Executive accepts such employment upon the terms and conditions set forth herein, and agrees to perform to the best of Executive’s ability the duties normally associated with such position and as reasonably determined by Stoke in its sole discretion. While serving as CCO hereunder, Executive shall devote all of Executive’s business time and energies to the business and affairs of Stoke,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nothing contained in this Section 1 shall prevent or limit: (a) Executive’s right to manage Executive’s personal investments on Executive’s own personal time, including, without limitation the right to make passive investments in the securities of (i) any entity which Executive does not control, directly or indirectly, and which does not compete with Stoke, or (ii) any publicly held entity, so long as Executive’s aggregate direct and indirect interest does not exceed two percent (2%) of the issued and outstanding securities of any class of securities of such publicly held entity; and (b) Executive’s participation in civic and charitable activities, including as a member of a board of a civic or charitable organization, so long as such activities do not interfere with Executive’s performance of Executive’s duties hereunder.</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u w:val="single"/>
        </w:rPr>
        <w:t>Term; Termination</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Term</w:t>
      </w:r>
      <w:r>
        <w:rPr>
          <w:rFonts w:ascii="Times New Roman" w:hAnsi="Times New Roman"/>
          <w:color w:val="000000"/>
          <w:sz w:val="24"/>
        </w:rPr>
        <w:t>. Subject to the terms hereof, Executive’s employment hereunder shall commence on April 8, 2024 (the “Commencement Date”) and shall continue until terminated hereunder by either party (such term of employment shall be referred to herein as the “Term”). Executive’s employment with Stoke shall be at-will and may be terminated by Executive or Stoke at any time, subject to the terms and conditions in this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Termination by Stoke</w:t>
      </w:r>
      <w:r>
        <w:rPr>
          <w:rFonts w:ascii="Times New Roman" w:hAnsi="Times New Roman"/>
          <w:color w:val="000000"/>
          <w:sz w:val="24"/>
        </w:rPr>
        <w:t>. Notwithstanding anything else contained in this Agreement, Stoke may terminate Executive’s employment hereunder as follows:</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pPr>
      <w:r>
        <w:rPr>
          <w:rFonts w:ascii="Times New Roman" w:hAnsi="Times New Roman"/>
          <w:color w:val="000000"/>
          <w:sz w:val="24"/>
          <w:u w:val="single"/>
        </w:rPr>
        <w:t>For Cause</w:t>
      </w:r>
      <w:r>
        <w:rPr>
          <w:rFonts w:ascii="Times New Roman" w:hAnsi="Times New Roman"/>
          <w:color w:val="000000"/>
          <w:sz w:val="24"/>
        </w:rPr>
        <w:t xml:space="preserve">. Stoke may terminate Executive’s employment for Cause (as defined below) by written notice by Stoke to Executive that Executive’s employment is being terminated for Cause, which termination shall be effective on the date of such notice or such later date as specified in writing by Stoke,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if Executive has cured the circumstances giving rise to Cause (as such cure right may be applicable pursuant to the terms and conditions set forth below) then such termination shall not be effective. </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(ii)</w:t>
      </w:r>
    </w:p>
    <w:p>
      <w:pPr>
        <w:pStyle w:val="TextBody"/>
        <w:bidi w:val="0"/>
        <w:jc w:val="both"/>
        <w:rPr/>
      </w:pPr>
      <w:r>
        <w:rPr>
          <w:rFonts w:ascii="Times New Roman" w:hAnsi="Times New Roman"/>
          <w:color w:val="000000"/>
          <w:sz w:val="24"/>
          <w:u w:val="single"/>
        </w:rPr>
        <w:t>Without Cause</w:t>
      </w:r>
      <w:r>
        <w:rPr>
          <w:rFonts w:ascii="Times New Roman" w:hAnsi="Times New Roman"/>
          <w:color w:val="000000"/>
          <w:sz w:val="24"/>
        </w:rPr>
        <w:t xml:space="preserve">. Stoke may terminate Executive’s employment without Cause, by written notice by Stoke to Executive that Executive’s employment is being terminated without Cause, which termination shall be effective on the date of such notice or such later date as specified in writing by Stoke.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the purposes of this Agreement, “Cause” shall mean: (A) fraud, embezzlement, or illegal misconduct in connection with Executive’s duties under this Agreement; (B) commission of a felony involving fraud, dishonesty or breach of trust; (C) willful misconduct or gross negligence in the performance of the duties delegated to Executive; (D) breach of this Agreement; or (E) material breach of Executive’s Non-Competition, Non-Solicitation, Non-Disclosure, and Intellectual Property Agreement (as described below);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“Cause” shall not be deemed to have occurred pursuant to subsection (D) hereof unless Executive has first received written notice specifying in reasonable detail the particulars of such ground and that Stoke intends to terminate Executive’s employment hereunder for such ground, and if such ground is curable, Executive has failed to cure such ground within a period of thirty (30) days from the date of his receipt of such notice.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Termination by Executive</w:t>
      </w:r>
      <w:r>
        <w:rPr>
          <w:rFonts w:ascii="Times New Roman" w:hAnsi="Times New Roman"/>
          <w:color w:val="000000"/>
          <w:sz w:val="24"/>
        </w:rPr>
        <w:t>. Notwithstanding anything else contained in this Agreement, Executive may terminate Executive’s employment hereunder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For Good Reason</w:t>
      </w:r>
      <w:r>
        <w:rPr>
          <w:rFonts w:ascii="Times New Roman" w:hAnsi="Times New Roman"/>
          <w:color w:val="000000"/>
          <w:sz w:val="24"/>
        </w:rPr>
        <w:t xml:space="preserve">. Executive may terminate Executive’s employment for Good Reason (as defined below) by written notice by Executive to Stoke that Executive is terminating Executive’s employment for Good Reason, which termination shall be effective thirty (30) days after the date of such notice;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if Stoke has cured the circumstances giving rise to Good Reason then such termination shall not be effective;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Without Good Reason</w:t>
      </w:r>
      <w:r>
        <w:rPr>
          <w:rFonts w:ascii="Times New Roman" w:hAnsi="Times New Roman"/>
          <w:color w:val="000000"/>
          <w:sz w:val="24"/>
        </w:rPr>
        <w:t>. Executive may terminate Executive’s employment without Good Reason by written notice by Executive to Stoke that Executive is terminating Executive’s employment, which termination shall be effective ninety (90) days after the date of such notice.</w:t>
      </w:r>
    </w:p>
    <w:p>
      <w:pPr>
        <w:pStyle w:val="TextBody"/>
        <w:bidi w:val="0"/>
        <w:spacing w:before="0" w:after="240"/>
        <w:jc w:val="both"/>
        <w:rPr>
          <w:rFonts w:ascii="Times New Roman" w:hAnsi="Times New Roman"/>
          <w:sz w:val="20"/>
        </w:rPr>
      </w:pPr>
      <w:r>
        <w:rPr>
          <w:rFonts w:ascii="Times New Roman" w:hAnsi="Times New Roman"/>
          <w:color w:val="000000"/>
          <w:sz w:val="24"/>
        </w:rPr>
        <w:t>For the purposes of this Agreement, “Good Reason” shall mean: (A) a material reduction in Executive’s then-current Base Salary, provided that such material reduction is unique to Executive and not to all similarly situated executives of Stoke; (B) Executive does not report to the Chief Executive Officer of the parent company following any Change in Control (as that term is defined in Executive’s Change of Control Severance Agreement;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a material change in the geographic location at which the Executive provides services to Stoke outside of a fifty (50) mile radius from the then-current location; or (D) any action or inaction by Stoke that constitutes a material breach of this Agreement;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“Good Reason” shall not be deemed to have occurred unless: (1) Executive provides Stoke with written notice that Executive intends to terminate Executive’s employment hereunder for one of the grounds set forth above within thirty (30) days of such ground first occurring, (2) if such ground is capable of being cured, Stoke has failed to cure such ground within a period of thirty (30) days from the date of such written notice, and (3) Executive terminates Executive’s employment within seventy five (75) days from the date that Good Reason first occurs. For purposes of clarification, the above-listed conditions shall apply separately to each occurrence of Good Reason and failure to adhere to such conditions in the event of Good Reason shall not disqualify Executive from asserting Good Reason for any subsequent occurrence of Good Reason.</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(d) </w:t>
      </w:r>
      <w:r>
        <w:rPr>
          <w:rFonts w:ascii="Times New Roman" w:hAnsi="Times New Roman"/>
          <w:b w:val="false"/>
          <w:color w:val="000000"/>
          <w:sz w:val="24"/>
          <w:u w:val="single"/>
        </w:rPr>
        <w:t>Termination Due to Executive’s Death or Disability</w:t>
      </w:r>
      <w:r>
        <w:rPr>
          <w:rFonts w:ascii="Times New Roman" w:hAnsi="Times New Roman"/>
          <w:b w:val="false"/>
          <w:color w:val="000000"/>
          <w:sz w:val="24"/>
        </w:rPr>
        <w:t>. Notwithstanding anything else contained in this Agreement, Stoke may terminate Executive’s employment immediately upon Executive’s death, or due to Executive’s Disability (as defined below) by written notice to Executive that Executive’s employment is being terminated as a result of Executive’s Disability, which termination shall be effective on the date of such notice or such later date as specified in writing by Stoke. For the purposes of this Agreement, “Disability” shall mean Executive’s incapacity or inability to perform Executive’s duties and responsibilities as contemplated herein for one hundred twenty (120) days or more within any one (1) year period (cumulative or consecutive), because Executive’s physical or mental health has become so impaired as to make it impossible or impractical for Executive to perform the duties and responsibilities contemplated hereunder. Determination of Executive’s physical or mental health shall be determined by Stoke after consultation with a medical expert appointed by mutual agreement between Stoke and Executive who has examined Executive. Executive hereby consents to such examination and consultation regarding Executive’s health and ability to perform as aforesaid.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u w:val="single"/>
        </w:rPr>
        <w:t>Compensation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Base Salary</w:t>
      </w:r>
      <w:r>
        <w:rPr>
          <w:rFonts w:ascii="Times New Roman" w:hAnsi="Times New Roman"/>
          <w:color w:val="000000"/>
          <w:sz w:val="24"/>
        </w:rPr>
        <w:t>. While Executive is employed hereunder, Executive shall earn a base salary at the annual rate of $456,000.00 (the “Base Salary”). The Base Salary shall be payable in substantially equal periodic installments, in accordance with Stoke’s payroll practices as in effect from time to time. Stoke shall deduct from each such installment all amounts required to be deducted or withheld under applicable law or under any employee benefit plan in which Executive participates.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Annual Bonus</w:t>
      </w:r>
      <w:r>
        <w:rPr>
          <w:rFonts w:ascii="Times New Roman" w:hAnsi="Times New Roman"/>
          <w:color w:val="000000"/>
          <w:sz w:val="24"/>
        </w:rPr>
        <w:t xml:space="preserve">. Executive shall be eligible to receive an annual cash bonus with a target amount equal to 40% of Executive’s Base Salary, (the “Annual Bonus”). The amount of the Annual Bonus shall be based on factors such as Executive’s work performance, Stoke’s financial performance, Stoke’s business forecasts, Stoke’s determination of Executive’s achievement of milestones for the applicable year, and economic conditions generally. The actual amount of the Annual Bonus shall be determined by the Board in its sole discretion. Executive’s Annual Bonus shall be paid by the fifteenth day of the third month following Executive’s or Stoke’s taxable year in which it is earned, whichever is later. Executive must be employed by Stoke on the last day of such fiscal year to which such Annual Bonus relates, to be deemed as having earned the Annual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Bonus. Stoke shall deduct from the Annual Bonus all amounts required to be deducted or withheld under applicable law or under any employee benefit plan in which Executive participates.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Equity</w:t>
      </w:r>
      <w:r>
        <w:rPr>
          <w:rFonts w:ascii="Times New Roman" w:hAnsi="Times New Roman"/>
          <w:color w:val="000000"/>
          <w:sz w:val="24"/>
        </w:rPr>
        <w:t>. On the Commencement Date or as soon as practicable thereafter, and subject to the Board’s approval, the Stoke shall grant you an option to purchase 265,000 shares of Stoke’s common stock (the “Equity Award”) under Stoke’s 2023 Inducement Plan (the “Plan”). The Equity Award shall have an exercise price equal to the fair market value of Stoke’s common stock on the date of grant. The Equity Award shall be an “incentive stock option” to the extent permitted under Section 409A the Internal Revenue Code (“Section 409A”). Subject to the Board’s approval as described above and Executive’s continued employment by Stoke, the Equity Award shall be vested as to one fourth (1/4</w:t>
      </w:r>
      <w:r>
        <w:rPr>
          <w:rFonts w:ascii="Times New Roman" w:hAnsi="Times New Roman"/>
          <w:color w:val="000000"/>
          <w:sz w:val="16"/>
        </w:rPr>
        <w:t>th</w:t>
      </w:r>
      <w:r>
        <w:rPr>
          <w:rFonts w:ascii="Times New Roman" w:hAnsi="Times New Roman"/>
          <w:color w:val="000000"/>
          <w:sz w:val="24"/>
        </w:rPr>
        <w:t>) of the total number of shares subject to the Equity Award on the one-year anniversary of the Commencement Date, and one forty-eighth (1/48</w:t>
      </w:r>
      <w:r>
        <w:rPr>
          <w:rFonts w:ascii="Times New Roman" w:hAnsi="Times New Roman"/>
          <w:color w:val="000000"/>
          <w:sz w:val="16"/>
        </w:rPr>
        <w:t>th</w:t>
      </w:r>
      <w:r>
        <w:rPr>
          <w:rFonts w:ascii="Times New Roman" w:hAnsi="Times New Roman"/>
          <w:color w:val="000000"/>
          <w:sz w:val="24"/>
        </w:rPr>
        <w:t xml:space="preserve">) of the total number of shares subject to the Equity Award shall vest in monthly installments thereafter on the same day of the month as the Commencement Date (and if there is no corresponding day, on the last day of the month), with all shares subject to the Equity Award being fully vested on the four-year anniversary of the Commencement Date. Vesting is contingent on Executive’s continued employment with Stoke and shall be subject to the terms and conditions of the Plan and the written agreement governing the Equity Award except as explicitly set forth below.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Fringe Benefits</w:t>
      </w:r>
      <w:r>
        <w:rPr>
          <w:rFonts w:ascii="Times New Roman" w:hAnsi="Times New Roman"/>
          <w:color w:val="000000"/>
          <w:sz w:val="24"/>
        </w:rPr>
        <w:t>. Executive shall be entitled to participate in all benefit/welfare plans and fringe benefits provided to employees at the same level as Executive. Executive understands that, except when prohibited by applicable law, Stoke’s benefit plans and fringe benefits may be amended by Stoke from time to time in its sole discretion.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Vacation</w:t>
      </w:r>
      <w:r>
        <w:rPr>
          <w:rFonts w:ascii="Times New Roman" w:hAnsi="Times New Roman"/>
          <w:color w:val="000000"/>
          <w:sz w:val="24"/>
        </w:rPr>
        <w:t xml:space="preserve">. Executive shall be eligible </w:t>
      </w:r>
      <w:r>
        <w:rPr>
          <w:rFonts w:ascii="Times New Roman" w:hAnsi="Times New Roman"/>
          <w:color w:val="000000"/>
          <w:sz w:val="23"/>
        </w:rPr>
        <w:t>for Stoke’s unlimited vacation time policy, subject to its terms and conditions, as established or modified from time to time by Stoke.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Reimbursement of Expenses</w:t>
      </w:r>
      <w:r>
        <w:rPr>
          <w:rFonts w:ascii="Times New Roman" w:hAnsi="Times New Roman"/>
          <w:color w:val="000000"/>
          <w:sz w:val="24"/>
        </w:rPr>
        <w:t>. Stoke shall reimburse Executive for all ordinary and reasonable out-of-pocket business expenses incurred by Executive in furtherance of Stoke’s business in accordance with Stoke’s policies with respect thereto as in effect from time to time. All reimbursements provided under this Agreement shall be made or provided in accordance with the requirements of Section 409A and the rules and regulations thereunder, including, where applicable, the requirement that (i) any reimbursement is for expenses incurred during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shall be made no later than the last day of the calendar year following the year in which the expense is incurred; and (iv) the right to reimbursement or in kind benefits is not subject to liquidation or exchange for another benefit.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Indemnification</w:t>
      </w:r>
      <w:r>
        <w:rPr>
          <w:rFonts w:ascii="Times New Roman" w:hAnsi="Times New Roman"/>
          <w:color w:val="000000"/>
          <w:sz w:val="24"/>
        </w:rPr>
        <w:t>. Executive shall be eligible for coverage under Stoke Directors’ and Officers’ (“D&amp;O”) insurance policies to the same extent and in the same manner to which Stoke’s similarly situated executives are entitled to coverage under Stoke D&amp;O insurance policies, subject to the terms and conditions of any such Stoke D&amp;O insurance policies.</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u w:val="single"/>
        </w:rPr>
        <w:t>Termination Payments; Severance Benefit</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Payment of Accrued Obligations</w:t>
      </w:r>
      <w:r>
        <w:rPr>
          <w:rFonts w:ascii="Times New Roman" w:hAnsi="Times New Roman"/>
          <w:color w:val="000000"/>
          <w:sz w:val="24"/>
        </w:rPr>
        <w:t>. Regardless of the reason for any employment termination hereunder, Stoke shall pay to Executive: (i) the portion of Executive’s Base Salary that has accrued prior to any termination of Executive’s employment and has not yet been paid; (ii) except in the event of Executive’s termination for Cause, the amount of any Annual Bonus determined by the Board and payable from a prior year which remains unpaid by Stoke as of the date of the termination of employment; (iii) the amount of any expenses properly incurred by Executive on behalf of Stoke prior to any such termination and has not yet been reimbursed (together, the “Accrued Obligations”) promptly following the effective date of termination, and otherwise within any timeframe required by law. Executive’s entitlement to other compensation or benefits under any Stoke plan or policy shall be governed by and determined in accordance with the terms of such plan or policy, except as otherwise specified in this Agreement. In the event of Stoke’s termination of Executive’s employment for Cause or Executive’s termination of Executive’s employment without Good Reason, Executive shall be eligible for the Accrued Obligations and shall not be eligible for any severance or severance-type payments, other than as expressly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Severance in the Event of Termination Without Cause or Resignation for Good Reason</w:t>
      </w:r>
      <w:r>
        <w:rPr>
          <w:rFonts w:ascii="Times New Roman" w:hAnsi="Times New Roman"/>
          <w:color w:val="000000"/>
          <w:sz w:val="24"/>
        </w:rPr>
        <w:t>. Subject to the terms and conditions of Section 4(c), in the event that Executive’s employment hereunder is terminated by Stoke without Cause or terminated by Executive for Good Reason, then, in addition to the Accrued Obligations: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Stoke shall continue to pay the Executive’s Base Salary for a nine (9) month period following the termination date of Executive’s employment (the “Separation Date”), with such payments to be made in accordance with Stoke’s normal payroll practices and schedules, less all customary and required taxes and employment-related deductions.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that Executive is eligible for coverage under a Stoke health insurance plan and Executive has elected to have coverage thereunder and was covered thereunder prior to termination, and in the event that Executive chooses to exercise Executive’s right under the Consolidated Omnibus Budget Reconciliation Act of 1985 (“COBRA”) to continue Executive’s participation in such plan, Stoke shall pay its normal share of the costs for such coverage for a period of up to nine (9) months from the Separation Date, to the same extent that such insurance is provided to persons then currently employed by Stoke. Stoke shall deduct from each of the installments due under Section 4(b)(i) the portion of the monthly premium due from Executive in accordance with the terms of such coverage. Notwithstanding any other provision of this Agreement, this obligation shall cease on the date Executive becomes eligible to receive health insurance benefits through any other employer, and Executive agrees to provide Stoke with written notice immediately upon becoming eligible for such benefits. Executive’s acceptance of any payment on Executive’s behalf or coverage provided hereunder shall be an express representation to Stoke that Executive has no such eligibility.</w:t>
      </w:r>
    </w:p>
    <w:p>
      <w:pPr>
        <w:pStyle w:val="TextBody"/>
        <w:bidi w:val="0"/>
        <w:spacing w:before="0" w:after="240"/>
        <w:jc w:val="both"/>
        <w:rPr>
          <w:rFonts w:ascii="Times New Roman" w:hAnsi="Times New Roman"/>
          <w:sz w:val="20"/>
        </w:rPr>
      </w:pPr>
      <w:r>
        <w:rPr>
          <w:rFonts w:ascii="Times New Roman" w:hAnsi="Times New Roman"/>
          <w:color w:val="000000"/>
          <w:sz w:val="24"/>
        </w:rPr>
        <w:t>Subsections (i) and (ii) are referred to as the Severance Benefit. The Severance Benefit is expressly subject to the conditions described above and in Section 4(c) below. Any payment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benefit made as part of such Severance Benefit shall be paid less all customary and required taxes and employment-related deductions.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Conditions</w:t>
      </w:r>
      <w:r>
        <w:rPr>
          <w:rFonts w:ascii="Times New Roman" w:hAnsi="Times New Roman"/>
          <w:color w:val="000000"/>
          <w:sz w:val="24"/>
        </w:rPr>
        <w:t xml:space="preserve">. Stoke shall not be obligated to provide Executive with the Severance Benefit described in Section 4(b) unless and until Executive has executed without revocation a separation agreement in a form acceptable to Stoke, which must be signed by Executive, returned to Stoke and be enforceable and irrevocable no later than sixty (60) days following Executive’s Separation Date (the “Review Period”), and which shall include, at a minimum, the provision of the Severance Benefit due from Stoke to Executive, a complete general release of claims against Stoke and its affiliated entities and each of their officers, directors and employees, and terms relating to non-disparagement, non-competition, confidentiality, cooperation and other customary terms determined by Stoke. If Executive executes and does not revoke such agreement within the time provided in the Separation Agreement, then provision of the Severance Benefit shall commence on the first (1st) regularly scheduled payroll date following the Review Period,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if the last day of the Review Period occurs in the calendar year following the year of termination, then the payment shall not commence until January 2 of such subsequent calendar year, and further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as applied to Section 4(b), the first payments/benefits shall include in a lump sum all amounts that were otherwise payable to Executive from the Separation Date through such first payment. As stated in Stoke’s Non-Competition, Non-Solicitation, Non-Disclosure, and Intellectual Property Agreement (described below), in the event Executive is eligible for garden leave or analogous payments in support of non-competition obligations, then Stoke reserves the right to offset the Severance Benefit with such garden leave or analogous payments to the extent permitted by applicable law (</w:t>
      </w:r>
      <w:r>
        <w:rPr>
          <w:rFonts w:ascii="Times New Roman" w:hAnsi="Times New Roman"/>
          <w:i/>
          <w:color w:val="000000"/>
          <w:sz w:val="24"/>
        </w:rPr>
        <w:t xml:space="preserve">i.e. </w:t>
      </w:r>
      <w:r>
        <w:rPr>
          <w:rFonts w:ascii="Times New Roman" w:hAnsi="Times New Roman"/>
          <w:color w:val="000000"/>
          <w:sz w:val="24"/>
        </w:rPr>
        <w:t>Stoke shall pay the greater of the severance or the garden leave but not both).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COBRA</w:t>
      </w:r>
      <w:r>
        <w:rPr>
          <w:rFonts w:ascii="Times New Roman" w:hAnsi="Times New Roman"/>
          <w:color w:val="000000"/>
          <w:sz w:val="24"/>
        </w:rPr>
        <w:t>. If the payment of any COBRA or health insurance premiums by Stoke on behalf of Executive as described herein would otherwise violate any applicable nondiscrimination rules or cause the reimbursement of claims to be taxable under the Patient Protection and Affordable Care Act of 2010, together with the Health Care and Education Reconciliation Act of 2010 (collectively, the “Act”) or Section 105(h) of the Code, the COBRA premiums paid by Stoke shall be treated as taxable payments (subject to customary and required taxes and employment-related deductions) and be subject to imputed income tax treatment to the extent necessary to eliminate any discriminatory treatment or taxation under the Act or Section 105(h) of the Code. If Stoke determines in its sole discretion that it cannot provide the COBRA benefits described herein under Stoke’s health insurance plan without potentially violating applicable law (including, without limitation, Section 2716 of the Public Health Service Act), Stoke shall in lieu thereof provide to Executive a taxable lump-sum payment in an amount equal to the sum of the monthly (or then remaining) COBRA premiums that Executive would be required to pay to maintain Executive’s group health insurance coverage in effect on the Separation Date for the remaining portion of the period for which Executive shall receive the payments described in Section 4(b) 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No Other Payments or Benefits Owing</w:t>
      </w:r>
      <w:r>
        <w:rPr>
          <w:rFonts w:ascii="Times New Roman" w:hAnsi="Times New Roman"/>
          <w:color w:val="000000"/>
          <w:sz w:val="24"/>
        </w:rPr>
        <w:t xml:space="preserve">. The payments and benefits set forth in this Section 4 shall be the sole amounts owing to Executive upon termination of Executive’s employment for the reasons set forth above and Executive shall not be eligible for any other payments or other forms of compensation or benefits. The payments and benefits set forth in this Section shall be the sole remedy, if any, available to Executive in the event that Executive brings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claim against Stoke relating to the termination of Executive’s employment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4"/>
          <w:u w:val="single"/>
        </w:rPr>
        <w:t>Non-Competition, Non-Solicitation, Non-Disclosure Agreement</w:t>
      </w:r>
      <w:r>
        <w:rPr>
          <w:rFonts w:ascii="Times New Roman" w:hAnsi="Times New Roman"/>
          <w:color w:val="000000"/>
          <w:sz w:val="24"/>
        </w:rPr>
        <w:t>. In light of the competitive and proprietary aspects of the business of Stoke, and as a condition of Executive’s employment hereunder, Executive agrees to sign and abide by Stoke’s Non-Competition, Non-Solicitation, Non-Disclosure, and Intellectual Property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4"/>
          <w:u w:val="single"/>
        </w:rPr>
        <w:t>Code Section 409A</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that the payments or benefits set forth in Section 4 constitute “non-qualified deferred compensation” subject to Section 409A, then the following conditions apply to such payments or benefits: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termination of Executive’s employment triggering payment of benefits under Section 4 must constitute a “separation from service” under Section 409A(a)(2)(A)(i) of the Code and Treas. Reg. §1.409A-1(h) before distribution of such benefits can commence. To the extent that the termination of Executive’s employment does not constitute a separation of service under Section 409A(a)(2)(A)(i) of the Code and Treas. Reg. §1.409A-1(h) (as the result of further services that are reasonably anticipated to be provided by Executive to Stoke at the time Executive’s employment terminates), any such payments under Section 4 that constitute deferred compensation under Section 409A shall be delayed until after the date of a subsequent event constituting a separation of service under Section 409A(a)(2)(A)(i) of the Code and Treas. Reg. §1.409A-1(h). For purposes of clarification, this Section 6(a) shall not cause any forfeiture of benefits on Executive’s part, but shall only act as a delay until such time as a “separation from service” occurs.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 other provision with respect to the timing of payments under Section 4 if, at the time of Executive’s termination, Executive is deemed to be a “specified employee” of Stoke (within the meaning of Section 409A(a)(2)(B)(i) of the Code), then limited only to the extent necessary to comply with the requirements of Section 409A, any payments to which Executive may become entitled under Section 4 which are subject to Section 409A (and not otherwise exempt from its application) shall be withheld until the first (1st) business day of the seventh (7th) month following the termination of Executive’s employment, at which time Executive shall be paid an aggregate amount equal to the accumulated, but unpaid, payments otherwise due to Executive under the terms of Section 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is intended that each installment of the payments and benefits provided under Section 4 shall be treated as a separate “payment” for purposes of Section 409A. Neither Stoke nor Executive shall have the right to accelerate or defer the delivery of any such payments or benefits except to the extent specifically permitted or required by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Notwithstanding any other provision of this Agreement to the contrary, this Agreement shall be interpreted and at all times administered in a manner that avoids the inclusion of compensation in income under Section 409A, or the payment of increased taxes, excise taxes or other penalties under Section 409A. The parties intend this Agreement to be in compliance with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409A. Executive acknowledges and agrees that Stoke does not guarantee the tax treatment or tax consequences associated with any payment or benefit arising under this Agreement, including but not limited to consequences related to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4"/>
          <w:u w:val="single"/>
        </w:rPr>
        <w:t>General</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 Except as otherwise specifically provided herein, any notice required or permitted by this Agreement shall be in writing and shall be delivered as follows with notice deemed given as indicated: (i) by personal delivery when delivered personally; (ii) by overnight courier upon written verification of receipt; (iii) by certified or registered mail, return receipt requested, upon verification of receipt; or (iv) by e-mail, upon acknowledgement of receipt from the receiving party.</w:t>
      </w:r>
    </w:p>
    <w:p>
      <w:pPr>
        <w:pStyle w:val="Heading2"/>
        <w:bidi w:val="0"/>
        <w:spacing w:before="0" w:after="240"/>
        <w:jc w:val="both"/>
        <w:rPr>
          <w:rFonts w:ascii="Times New Roman" w:hAnsi="Times New Roman"/>
          <w:sz w:val="20"/>
        </w:rPr>
      </w:pPr>
      <w:r>
        <w:rPr>
          <w:rFonts w:ascii="Times New Roman" w:hAnsi="Times New Roman"/>
          <w:b w:val="false"/>
          <w:i/>
          <w:color w:val="000000"/>
          <w:sz w:val="24"/>
        </w:rPr>
        <w:t>Notices to Executive shall be sent to the address specified below, or the last known address in Stoke’s records.</w:t>
      </w:r>
      <w:r>
        <w:rPr>
          <w:rFonts w:ascii="Times New Roman" w:hAnsi="Times New Roman"/>
          <w:color w:val="000000"/>
          <w:sz w:val="20"/>
        </w:rPr>
        <w:t xml:space="preserve"> </w:t>
      </w:r>
    </w:p>
    <w:p>
      <w:pPr>
        <w:pStyle w:val="Heading2"/>
        <w:bidi w:val="0"/>
        <w:spacing w:before="0" w:after="240"/>
        <w:jc w:val="both"/>
        <w:rPr>
          <w:rFonts w:ascii="Times New Roman" w:hAnsi="Times New Roman"/>
          <w:b w:val="false"/>
          <w:i/>
          <w:color w:val="000000"/>
          <w:sz w:val="24"/>
        </w:rPr>
      </w:pPr>
      <w:r>
        <w:rPr>
          <w:rFonts w:ascii="Times New Roman" w:hAnsi="Times New Roman"/>
          <w:b w:val="false"/>
          <w:i/>
          <w:color w:val="000000"/>
          <w:sz w:val="24"/>
        </w:rPr>
        <w:t>Notices to Stoke shall be sent to:</w:t>
      </w:r>
    </w:p>
    <w:p>
      <w:pPr>
        <w:pStyle w:val="TextBody"/>
        <w:bidi w:val="0"/>
        <w:jc w:val="left"/>
        <w:rPr>
          <w:rFonts w:ascii="Times New Roman" w:hAnsi="Times New Roman"/>
          <w:color w:val="000000"/>
          <w:sz w:val="24"/>
        </w:rPr>
      </w:pPr>
      <w:r>
        <w:rPr>
          <w:rFonts w:ascii="Times New Roman" w:hAnsi="Times New Roman"/>
          <w:color w:val="000000"/>
          <w:sz w:val="24"/>
        </w:rPr>
        <w:t>Jonathan Allan, General Counsel</w:t>
      </w:r>
    </w:p>
    <w:p>
      <w:pPr>
        <w:pStyle w:val="TextBody"/>
        <w:bidi w:val="0"/>
        <w:jc w:val="left"/>
        <w:rPr>
          <w:rFonts w:ascii="Times New Roman" w:hAnsi="Times New Roman"/>
          <w:color w:val="000000"/>
          <w:sz w:val="24"/>
        </w:rPr>
      </w:pPr>
      <w:r>
        <w:rPr>
          <w:rFonts w:ascii="Times New Roman" w:hAnsi="Times New Roman"/>
          <w:color w:val="000000"/>
          <w:sz w:val="24"/>
        </w:rPr>
        <w:t>Stoke Therapeutics, Inc.</w:t>
      </w:r>
    </w:p>
    <w:p>
      <w:pPr>
        <w:pStyle w:val="TextBody"/>
        <w:bidi w:val="0"/>
        <w:jc w:val="left"/>
        <w:rPr>
          <w:rFonts w:ascii="Times New Roman" w:hAnsi="Times New Roman"/>
          <w:color w:val="000000"/>
          <w:sz w:val="24"/>
        </w:rPr>
      </w:pPr>
      <w:r>
        <w:rPr>
          <w:rFonts w:ascii="Times New Roman" w:hAnsi="Times New Roman"/>
          <w:color w:val="000000"/>
          <w:sz w:val="24"/>
        </w:rPr>
        <w:t>45 Wiggins Ave</w:t>
      </w:r>
    </w:p>
    <w:p>
      <w:pPr>
        <w:pStyle w:val="TextBody"/>
        <w:bidi w:val="0"/>
        <w:jc w:val="left"/>
        <w:rPr>
          <w:rFonts w:ascii="Times New Roman" w:hAnsi="Times New Roman"/>
          <w:color w:val="000000"/>
          <w:sz w:val="24"/>
        </w:rPr>
      </w:pPr>
      <w:r>
        <w:rPr>
          <w:rFonts w:ascii="Times New Roman" w:hAnsi="Times New Roman"/>
          <w:color w:val="000000"/>
          <w:sz w:val="24"/>
        </w:rPr>
        <w:t>Bedford, MA 01730</w:t>
      </w:r>
    </w:p>
    <w:p>
      <w:pPr>
        <w:pStyle w:val="TextBody"/>
        <w:bidi w:val="0"/>
        <w:jc w:val="left"/>
        <w:rPr>
          <w:rFonts w:ascii="Times New Roman" w:hAnsi="Times New Roman"/>
          <w:sz w:val="24"/>
        </w:rPr>
      </w:pPr>
      <w:r>
        <w:rPr>
          <w:rFonts w:ascii="Times New Roman" w:hAnsi="Times New Roman"/>
          <w:sz w:val="24"/>
        </w:rPr>
        <w:t>jallan@stoketherapeutics.com</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Wendy Baccari, Senior Director, HR Operations</w:t>
      </w:r>
    </w:p>
    <w:p>
      <w:pPr>
        <w:pStyle w:val="TextBody"/>
        <w:bidi w:val="0"/>
        <w:jc w:val="left"/>
        <w:rPr>
          <w:rFonts w:ascii="Times New Roman" w:hAnsi="Times New Roman"/>
          <w:color w:val="000000"/>
          <w:sz w:val="24"/>
        </w:rPr>
      </w:pPr>
      <w:r>
        <w:rPr>
          <w:rFonts w:ascii="Times New Roman" w:hAnsi="Times New Roman"/>
          <w:color w:val="000000"/>
          <w:sz w:val="24"/>
        </w:rPr>
        <w:t>Stoke Therapeutics, Inc.</w:t>
      </w:r>
    </w:p>
    <w:p>
      <w:pPr>
        <w:pStyle w:val="TextBody"/>
        <w:bidi w:val="0"/>
        <w:jc w:val="left"/>
        <w:rPr>
          <w:rFonts w:ascii="Times New Roman" w:hAnsi="Times New Roman"/>
          <w:color w:val="000000"/>
          <w:sz w:val="24"/>
        </w:rPr>
      </w:pPr>
      <w:r>
        <w:rPr>
          <w:rFonts w:ascii="Times New Roman" w:hAnsi="Times New Roman"/>
          <w:color w:val="000000"/>
          <w:sz w:val="24"/>
        </w:rPr>
        <w:t>45 Wiggins Ave</w:t>
      </w:r>
    </w:p>
    <w:p>
      <w:pPr>
        <w:pStyle w:val="TextBody"/>
        <w:bidi w:val="0"/>
        <w:jc w:val="left"/>
        <w:rPr>
          <w:rFonts w:ascii="Times New Roman" w:hAnsi="Times New Roman"/>
          <w:color w:val="000000"/>
          <w:sz w:val="24"/>
        </w:rPr>
      </w:pPr>
      <w:r>
        <w:rPr>
          <w:rFonts w:ascii="Times New Roman" w:hAnsi="Times New Roman"/>
          <w:color w:val="000000"/>
          <w:sz w:val="24"/>
        </w:rPr>
        <w:t>Bedford, MA 01730</w:t>
      </w:r>
    </w:p>
    <w:p>
      <w:pPr>
        <w:pStyle w:val="TextBody"/>
        <w:bidi w:val="0"/>
        <w:jc w:val="left"/>
        <w:rPr>
          <w:rFonts w:ascii="Times New Roman" w:hAnsi="Times New Roman"/>
          <w:sz w:val="24"/>
        </w:rPr>
      </w:pPr>
      <w:r>
        <w:rPr>
          <w:rFonts w:ascii="Times New Roman" w:hAnsi="Times New Roman"/>
          <w:sz w:val="24"/>
        </w:rPr>
        <w:t>wbaccari@stoketherapeutics.com</w:t>
      </w:r>
    </w:p>
    <w:p>
      <w:pPr>
        <w:pStyle w:val="TextBody"/>
        <w:bidi w:val="0"/>
        <w:jc w:val="left"/>
        <w:rPr/>
      </w:pPr>
      <w:r>
        <w:rPr/>
        <w:t> </w:t>
      </w:r>
    </w:p>
    <w:p>
      <w:pPr>
        <w:pStyle w:val="TextBody"/>
        <w:bidi w:val="0"/>
        <w:spacing w:before="0" w:after="240"/>
        <w:jc w:val="left"/>
        <w:rPr>
          <w:rFonts w:ascii="Times New Roman" w:hAnsi="Times New Roman"/>
          <w:i/>
          <w:color w:val="000000"/>
          <w:sz w:val="24"/>
        </w:rPr>
      </w:pPr>
      <w:r>
        <w:rPr>
          <w:rFonts w:ascii="Times New Roman" w:hAnsi="Times New Roman"/>
          <w:i/>
          <w:color w:val="000000"/>
          <w:sz w:val="24"/>
        </w:rPr>
        <w:t>with a copy to:</w:t>
      </w:r>
    </w:p>
    <w:p>
      <w:pPr>
        <w:pStyle w:val="TextBody"/>
        <w:bidi w:val="0"/>
        <w:jc w:val="left"/>
        <w:rPr>
          <w:rFonts w:ascii="Times New Roman" w:hAnsi="Times New Roman"/>
          <w:color w:val="000000"/>
          <w:sz w:val="24"/>
        </w:rPr>
      </w:pPr>
      <w:r>
        <w:rPr>
          <w:rFonts w:ascii="Times New Roman" w:hAnsi="Times New Roman"/>
          <w:color w:val="000000"/>
          <w:sz w:val="24"/>
        </w:rPr>
        <w:t>Mintz, Levin, Cohn, Ferris, Glovsky &amp; Popeo, P.C.</w:t>
      </w:r>
    </w:p>
    <w:p>
      <w:pPr>
        <w:pStyle w:val="TextBody"/>
        <w:bidi w:val="0"/>
        <w:jc w:val="left"/>
        <w:rPr>
          <w:rFonts w:ascii="Times New Roman" w:hAnsi="Times New Roman"/>
          <w:color w:val="000000"/>
          <w:sz w:val="24"/>
        </w:rPr>
      </w:pPr>
      <w:r>
        <w:rPr>
          <w:rFonts w:ascii="Times New Roman" w:hAnsi="Times New Roman"/>
          <w:color w:val="000000"/>
          <w:sz w:val="24"/>
        </w:rPr>
        <w:t>701 Pennsylvania Avenue NW #900</w:t>
      </w:r>
    </w:p>
    <w:p>
      <w:pPr>
        <w:pStyle w:val="TextBody"/>
        <w:bidi w:val="0"/>
        <w:jc w:val="left"/>
        <w:rPr>
          <w:rFonts w:ascii="Times New Roman" w:hAnsi="Times New Roman"/>
          <w:color w:val="000000"/>
          <w:sz w:val="24"/>
        </w:rPr>
      </w:pPr>
      <w:r>
        <w:rPr>
          <w:rFonts w:ascii="Times New Roman" w:hAnsi="Times New Roman"/>
          <w:color w:val="000000"/>
          <w:sz w:val="24"/>
        </w:rPr>
        <w:t>Washington, DC 20004</w:t>
      </w:r>
    </w:p>
    <w:p>
      <w:pPr>
        <w:pStyle w:val="TextBody"/>
        <w:bidi w:val="0"/>
        <w:jc w:val="left"/>
        <w:rPr>
          <w:rFonts w:ascii="Times New Roman" w:hAnsi="Times New Roman"/>
          <w:sz w:val="24"/>
        </w:rPr>
      </w:pPr>
      <w:r>
        <w:rPr>
          <w:rFonts w:ascii="Times New Roman" w:hAnsi="Times New Roman"/>
          <w:sz w:val="24"/>
        </w:rPr>
        <w:t>dbarmak@mintz.com</w:t>
      </w:r>
    </w:p>
    <w:p>
      <w:pPr>
        <w:pStyle w:val="TextBody"/>
        <w:bidi w:val="0"/>
        <w:jc w:val="left"/>
        <w:rPr>
          <w:rFonts w:ascii="Times New Roman" w:hAnsi="Times New Roman"/>
          <w:color w:val="000000"/>
          <w:sz w:val="24"/>
        </w:rPr>
      </w:pPr>
      <w:r>
        <w:rPr>
          <w:rFonts w:ascii="Times New Roman" w:hAnsi="Times New Roman"/>
          <w:color w:val="000000"/>
          <w:sz w:val="24"/>
        </w:rPr>
        <w:t>Fax: (202) 434 - 7400</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Attn: David Barmak, Esq.</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Modifications and Amendments</w:t>
      </w:r>
      <w:r>
        <w:rPr>
          <w:rFonts w:ascii="Times New Roman" w:hAnsi="Times New Roman"/>
          <w:color w:val="000000"/>
          <w:sz w:val="24"/>
        </w:rPr>
        <w:t>. The terms and provisions of this Agreement may be modified or amended only by written agreement executed by the parties 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Waivers and Consents</w:t>
      </w:r>
      <w:r>
        <w:rPr>
          <w:rFonts w:ascii="Times New Roman" w:hAnsi="Times New Roman"/>
          <w:color w:val="000000"/>
          <w:sz w:val="24"/>
        </w:rPr>
        <w:t xml:space="preserve">.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continuing waiver or consent.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Assignment</w:t>
      </w:r>
      <w:r>
        <w:rPr>
          <w:rFonts w:ascii="Times New Roman" w:hAnsi="Times New Roman"/>
          <w:color w:val="000000"/>
          <w:sz w:val="24"/>
        </w:rPr>
        <w:t>. Stoke may assign its rights and obligations hereunder to any person or entity that succeeds to all or substantially all of Stoke’s business or that aspect of Stoke’s business in which Executive is principally involved. Executive may not assign Executive’s rights and obligations under this Agreement without the prior written consent of Stoke.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Governing Law; Jury Waiver</w:t>
      </w:r>
      <w:r>
        <w:rPr>
          <w:rFonts w:ascii="Times New Roman" w:hAnsi="Times New Roman"/>
          <w:color w:val="000000"/>
          <w:sz w:val="24"/>
        </w:rPr>
        <w:t>. This Agreement and the rights and obligations of the parties hereunder shall be construed in accordance with and governed by the law of the Commonwealth of Massachusetts without giving effect to the conflict of law principles thereof. Any legal action or proceeding with respect to this Agreement shall be brought in the courts of the Commonwealth of Massachusetts or the United States of America for the District of Massachusetts. By execution and delivery of this Agreement, each of the parties hereto accepts for itself and in respect of its property, generally and unconditionally, the exclusive jurisdiction of the aforesaid courts. ANY ACTION, DEMAND, CLAIM OR COUNTERCLAIM ARISING UNDER OR RELATING TO THIS AGREEMENT SHALL BE RESOLVED BY A JUDGE ALONE AND EACH OF STOKE AND EXECUTIVE WAIVES ANY RIGHT TO A JURY TRIAL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Headings and Captions</w:t>
      </w:r>
      <w:r>
        <w:rPr>
          <w:rFonts w:ascii="Times New Roman" w:hAnsi="Times New Roman"/>
          <w:color w:val="000000"/>
          <w:sz w:val="24"/>
        </w:rPr>
        <w:t>. The headings and captions of the various subdivisions of this Agreement are for convenience of reference only and shall in no way modify or affect the meaning or construction of any of the terms or provisions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Entire Agreement</w:t>
      </w:r>
      <w:r>
        <w:rPr>
          <w:rFonts w:ascii="Times New Roman" w:hAnsi="Times New Roman"/>
          <w:color w:val="000000"/>
          <w:sz w:val="24"/>
        </w:rPr>
        <w:t>. This Agreement, together with the other agreements expressly referenced herein, embodies the entire agreement and understanding between the parties hereto with respect to the subject matter hereof and supersedes all prior oral or written agreements and understandings relating to the subject matter hereof. No statement, representation, warranty, covenant or agreement of any kind not expressly set forth in this Agreement shall affect, or be used to interpret, change or restrict, the express terms and provisions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Counterparts</w:t>
      </w:r>
      <w:r>
        <w:rPr>
          <w:rFonts w:ascii="Times New Roman" w:hAnsi="Times New Roman"/>
          <w:color w:val="000000"/>
          <w:sz w:val="24"/>
        </w:rPr>
        <w:t>. This Agreement may be executed in two or more counterparts, and by different parties hereto on separate counterparts, each of which shall be deemed an original, but all of which together shall constitute one and the same instrument. For all purposes signed counterparts delivered by fax or other digital means (e.g., .pdf) shall be treated as an original.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Satisfactory Background Check</w:t>
      </w:r>
      <w:r>
        <w:rPr>
          <w:rFonts w:ascii="Times New Roman" w:hAnsi="Times New Roman"/>
          <w:color w:val="000000"/>
          <w:sz w:val="24"/>
        </w:rPr>
        <w:t xml:space="preserve">. Executive understands and acknowledges that this Agreement and Stoke’s offer of employment hereunder is contingent upon Executive’s satisfactory completion of a background check, in accordance with applicable law. </w:t>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[Signature Page to Follow]</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parties hereto have executed this Agreement as of the date first written above.</w:t>
      </w:r>
    </w:p>
    <w:tbl>
      <w:tblPr>
        <w:tblW w:w="6917" w:type="dxa"/>
        <w:jc w:val="left"/>
        <w:tblInd w:w="0" w:type="dxa"/>
        <w:tblLayout w:type="fixed"/>
        <w:tblCellMar>
          <w:top w:w="28" w:type="dxa"/>
          <w:left w:w="28" w:type="dxa"/>
          <w:bottom w:w="28" w:type="dxa"/>
          <w:right w:w="28" w:type="dxa"/>
        </w:tblCellMar>
      </w:tblPr>
      <w:tblGrid>
        <w:gridCol w:w="3016"/>
        <w:gridCol w:w="3901"/>
      </w:tblGrid>
      <w:tr>
        <w:trPr/>
        <w:tc>
          <w:tcPr>
            <w:tcW w:w="3016"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Jason Hoitt</w:t>
            </w:r>
          </w:p>
          <w:p>
            <w:pPr>
              <w:pStyle w:val="TableContents"/>
              <w:bidi w:val="0"/>
              <w:jc w:val="left"/>
              <w:rPr/>
            </w:pPr>
            <w:r>
              <w:rPr/>
              <w:t> </w:t>
            </w:r>
          </w:p>
          <w:p>
            <w:pPr>
              <w:pStyle w:val="TableContents"/>
              <w:bidi w:val="0"/>
              <w:jc w:val="left"/>
              <w:rPr>
                <w:rFonts w:ascii="Times New Roman" w:hAnsi="Times New Roman"/>
                <w:sz w:val="24"/>
              </w:rPr>
            </w:pPr>
            <w:r>
              <w:rPr>
                <w:rFonts w:ascii="Times New Roman" w:hAnsi="Times New Roman"/>
                <w:color w:val="000000"/>
                <w:sz w:val="24"/>
                <w:u w:val="single"/>
              </w:rPr>
              <w:t>Jason Hoitt</w:t>
            </w:r>
            <w:r>
              <w:rPr>
                <w:rFonts w:ascii="Times New Roman" w:hAnsi="Times New Roman"/>
                <w:color w:val="000000"/>
                <w:sz w:val="24"/>
              </w:rPr>
              <w:t>_______________</w:t>
            </w:r>
          </w:p>
          <w:p>
            <w:pPr>
              <w:pStyle w:val="TableContents"/>
              <w:bidi w:val="0"/>
              <w:jc w:val="left"/>
              <w:rPr>
                <w:rFonts w:ascii="Times New Roman" w:hAnsi="Times New Roman"/>
                <w:color w:val="000000"/>
                <w:sz w:val="24"/>
              </w:rPr>
            </w:pPr>
            <w:r>
              <w:rPr>
                <w:rFonts w:ascii="Times New Roman" w:hAnsi="Times New Roman"/>
                <w:color w:val="000000"/>
                <w:sz w:val="24"/>
              </w:rPr>
              <w:t>Printed name</w:t>
            </w:r>
          </w:p>
          <w:p>
            <w:pPr>
              <w:pStyle w:val="TableContents"/>
              <w:bidi w:val="0"/>
              <w:jc w:val="left"/>
              <w:rPr/>
            </w:pPr>
            <w:r>
              <w:rPr/>
              <w:t> </w:t>
            </w:r>
          </w:p>
          <w:p>
            <w:pPr>
              <w:pStyle w:val="TableContents"/>
              <w:bidi w:val="0"/>
              <w:jc w:val="left"/>
              <w:rPr>
                <w:rFonts w:ascii="Times New Roman" w:hAnsi="Times New Roman"/>
                <w:sz w:val="24"/>
              </w:rPr>
            </w:pPr>
            <w:r>
              <w:rPr>
                <w:rFonts w:ascii="Times New Roman" w:hAnsi="Times New Roman"/>
                <w:color w:val="000000"/>
                <w:sz w:val="24"/>
                <w:u w:val="single"/>
              </w:rPr>
              <w:t>/s/ Jason Hoitt</w:t>
            </w:r>
            <w:r>
              <w:rPr>
                <w:rFonts w:ascii="Times New Roman" w:hAnsi="Times New Roman"/>
                <w:color w:val="000000"/>
                <w:sz w:val="24"/>
              </w:rPr>
              <w:t>_____________</w:t>
            </w:r>
          </w:p>
          <w:p>
            <w:pPr>
              <w:pStyle w:val="TableContents"/>
              <w:bidi w:val="0"/>
              <w:jc w:val="left"/>
              <w:rPr>
                <w:rFonts w:ascii="Times New Roman" w:hAnsi="Times New Roman"/>
                <w:color w:val="000000"/>
                <w:sz w:val="24"/>
              </w:rPr>
            </w:pPr>
            <w:r>
              <w:rPr>
                <w:rFonts w:ascii="Times New Roman" w:hAnsi="Times New Roman"/>
                <w:color w:val="000000"/>
                <w:sz w:val="24"/>
              </w:rPr>
              <w:t>Signature</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Address:</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Date: March 14, 2024</w:t>
            </w:r>
          </w:p>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 xml:space="preserve">STOKE THERAPEUTICS, INC. </w:t>
            </w:r>
          </w:p>
          <w:p>
            <w:pPr>
              <w:pStyle w:val="TableContents"/>
              <w:bidi w:val="0"/>
              <w:jc w:val="left"/>
              <w:rPr/>
            </w:pPr>
            <w:r>
              <w:rPr/>
              <w:t> </w:t>
            </w:r>
          </w:p>
          <w:p>
            <w:pPr>
              <w:pStyle w:val="TableContents"/>
              <w:bidi w:val="0"/>
              <w:jc w:val="left"/>
              <w:rPr>
                <w:rFonts w:ascii="Times New Roman" w:hAnsi="Times New Roman"/>
                <w:sz w:val="24"/>
              </w:rPr>
            </w:pPr>
            <w:r>
              <w:rPr>
                <w:rFonts w:ascii="Times New Roman" w:hAnsi="Times New Roman"/>
                <w:color w:val="000000"/>
                <w:sz w:val="24"/>
                <w:u w:val="single"/>
              </w:rPr>
              <w:t>/s/ Joan Wood</w:t>
            </w:r>
            <w:r>
              <w:rPr>
                <w:rFonts w:ascii="Times New Roman" w:hAnsi="Times New Roman"/>
                <w:color w:val="000000"/>
                <w:sz w:val="24"/>
              </w:rPr>
              <w:t>____________________</w:t>
            </w:r>
          </w:p>
          <w:p>
            <w:pPr>
              <w:pStyle w:val="TableContents"/>
              <w:bidi w:val="0"/>
              <w:jc w:val="left"/>
              <w:rPr>
                <w:rFonts w:ascii="Times New Roman" w:hAnsi="Times New Roman"/>
                <w:color w:val="000000"/>
                <w:sz w:val="24"/>
              </w:rPr>
            </w:pPr>
            <w:r>
              <w:rPr>
                <w:rFonts w:ascii="Times New Roman" w:hAnsi="Times New Roman"/>
                <w:color w:val="000000"/>
                <w:sz w:val="24"/>
              </w:rPr>
              <w:t>By: Joan Wood</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Title: Chief Human Resources Officer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center"/>
        <w:rPr>
          <w:rFonts w:ascii="Times New Roman" w:hAnsi="Times New Roman"/>
          <w:b/>
          <w:color w:val="000000"/>
          <w:sz w:val="22"/>
        </w:rPr>
      </w:pPr>
      <w:r>
        <w:rPr>
          <w:rFonts w:ascii="Times New Roman" w:hAnsi="Times New Roman"/>
          <w:b/>
          <w:color w:val="000000"/>
          <w:sz w:val="22"/>
        </w:rPr>
        <w:t>FIRST AMENDMENT TO EXECUTIVE EMPLOYMENT AGREEMENT</w:t>
      </w:r>
    </w:p>
    <w:p>
      <w:pPr>
        <w:pStyle w:val="TextBody"/>
        <w:bidi w:val="0"/>
        <w:spacing w:before="0" w:after="160"/>
        <w:jc w:val="both"/>
        <w:rPr>
          <w:rFonts w:ascii="Times New Roman" w:hAnsi="Times New Roman"/>
          <w:sz w:val="20"/>
        </w:rPr>
      </w:pPr>
      <w:r>
        <w:rPr>
          <w:rFonts w:ascii="Times New Roman" w:hAnsi="Times New Roman"/>
          <w:color w:val="000000"/>
          <w:sz w:val="22"/>
        </w:rPr>
        <w:t>This First Amendment to Executive Employment Agreement (this “</w:t>
      </w:r>
      <w:r>
        <w:rPr>
          <w:rFonts w:ascii="Times New Roman" w:hAnsi="Times New Roman"/>
          <w:b/>
          <w:i/>
          <w:color w:val="000000"/>
          <w:sz w:val="22"/>
        </w:rPr>
        <w:t>Amendment</w:t>
      </w:r>
      <w:r>
        <w:rPr>
          <w:rFonts w:ascii="Times New Roman" w:hAnsi="Times New Roman"/>
          <w:color w:val="000000"/>
          <w:sz w:val="20"/>
        </w:rPr>
        <w:t>”</w:t>
      </w:r>
      <w:r>
        <w:rPr>
          <w:rFonts w:ascii="Times New Roman" w:hAnsi="Times New Roman"/>
          <w:color w:val="000000"/>
          <w:sz w:val="22"/>
        </w:rPr>
        <w:t>), is made and entered into this 21st day of July 2026 (the “</w:t>
      </w:r>
      <w:r>
        <w:rPr>
          <w:rFonts w:ascii="Times New Roman" w:hAnsi="Times New Roman"/>
          <w:b/>
          <w:i/>
          <w:color w:val="000000"/>
          <w:sz w:val="22"/>
        </w:rPr>
        <w:t>Effective Date</w:t>
      </w:r>
      <w:r>
        <w:rPr>
          <w:rFonts w:ascii="Times New Roman" w:hAnsi="Times New Roman"/>
          <w:color w:val="000000"/>
          <w:sz w:val="20"/>
        </w:rPr>
        <w:t>”</w:t>
      </w:r>
      <w:r>
        <w:rPr>
          <w:rFonts w:ascii="Times New Roman" w:hAnsi="Times New Roman"/>
          <w:color w:val="000000"/>
          <w:sz w:val="22"/>
        </w:rPr>
        <w:t>), by and between Jason Hoitt (“</w:t>
      </w:r>
      <w:r>
        <w:rPr>
          <w:rFonts w:ascii="Times New Roman" w:hAnsi="Times New Roman"/>
          <w:b/>
          <w:i/>
          <w:color w:val="000000"/>
          <w:sz w:val="22"/>
        </w:rPr>
        <w:t>Executive</w:t>
      </w:r>
      <w:r>
        <w:rPr>
          <w:rFonts w:ascii="Times New Roman" w:hAnsi="Times New Roman"/>
          <w:color w:val="000000"/>
          <w:sz w:val="20"/>
        </w:rPr>
        <w:t>”</w:t>
      </w:r>
      <w:r>
        <w:rPr>
          <w:rFonts w:ascii="Times New Roman" w:hAnsi="Times New Roman"/>
          <w:color w:val="000000"/>
          <w:sz w:val="22"/>
        </w:rPr>
        <w:t>) and Stoke Therapeutics, Inc. (“</w:t>
      </w:r>
      <w:r>
        <w:rPr>
          <w:rFonts w:ascii="Times New Roman" w:hAnsi="Times New Roman"/>
          <w:b/>
          <w:i/>
          <w:color w:val="000000"/>
          <w:sz w:val="22"/>
        </w:rPr>
        <w:t>Stoke</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Times New Roman" w:hAnsi="Times New Roman"/>
          <w:color w:val="000000"/>
          <w:sz w:val="22"/>
        </w:rPr>
        <w:t>WHEREAS, Stoke and Executive are parties to that certain Executive Employment Agreement dated March 14, 2024 (the “</w:t>
      </w:r>
      <w:r>
        <w:rPr>
          <w:rFonts w:ascii="Times New Roman" w:hAnsi="Times New Roman"/>
          <w:b/>
          <w:i/>
          <w:color w:val="000000"/>
          <w:sz w:val="22"/>
        </w:rPr>
        <w:t>Original Agreement</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 xml:space="preserve">WHEREAS, Stoke and Executive desire that certain modifications be made to the Original Agreement; and </w:t>
      </w:r>
    </w:p>
    <w:p>
      <w:pPr>
        <w:pStyle w:val="TextBody"/>
        <w:bidi w:val="0"/>
        <w:spacing w:before="0" w:after="160"/>
        <w:jc w:val="both"/>
        <w:rPr>
          <w:rFonts w:ascii="Times New Roman" w:hAnsi="Times New Roman"/>
          <w:sz w:val="20"/>
        </w:rPr>
      </w:pPr>
      <w:r>
        <w:rPr>
          <w:rFonts w:ascii="Times New Roman" w:hAnsi="Times New Roman"/>
          <w:color w:val="000000"/>
          <w:sz w:val="22"/>
        </w:rPr>
        <w:t>WHEREAS, Section 7(b) of the Original Agreement permits the parties to amend such agreement in writing, signed by each party.</w:t>
      </w:r>
      <w:r>
        <w:rPr>
          <w:rFonts w:ascii="Times New Roman" w:hAnsi="Times New Roman"/>
          <w:color w:val="000000"/>
          <w:sz w:val="20"/>
        </w:rPr>
        <w:t xml:space="preserve"> </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NOW, THEREFORE, in consideration of the parties’ mutual desire to amend the Original Agreement, the parties agree as follows effective as of the Effective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Amendment shall amend the terms of the Original Agreement as set forth herein. From and after the Effective Date, all references to the term “Agreement” in this Amendment or the Original Agreement shall include the terms contained in this Amendment. Capitalized terms used but not otherwise defined herein shall have the meanings ascribed to them in the Original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Section 4(b)(i) of the Original Agreement shall be amended and restated as follows:</w:t>
      </w:r>
    </w:p>
    <w:p>
      <w:pPr>
        <w:pStyle w:val="TextBody"/>
        <w:bidi w:val="0"/>
        <w:spacing w:before="0" w:after="240"/>
        <w:jc w:val="both"/>
        <w:rPr>
          <w:color w:val="000000"/>
        </w:rPr>
      </w:pPr>
      <w:r>
        <w:rPr>
          <w:color w:val="000000"/>
        </w:rPr>
        <w:t>“</w:t>
      </w:r>
      <w:r>
        <w:rPr>
          <w:rFonts w:ascii="Times New Roman" w:hAnsi="Times New Roman"/>
          <w:color w:val="000000"/>
          <w:sz w:val="22"/>
        </w:rPr>
        <w:t>Stoke shall continue to pay the Executive’s Base Salary for a twelve (12) month period following the termination date of Executive’s employment (the “Separation Date”), with such payments to be made in accordance with Stoke’s normal payroll practices and schedules, less all customary and required taxes and employment-related deductions.”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first sentence of Section 4(b)(ii) of the Original Agreement shall be amended and restated as follows:</w:t>
      </w:r>
    </w:p>
    <w:p>
      <w:pPr>
        <w:pStyle w:val="TextBody"/>
        <w:bidi w:val="0"/>
        <w:spacing w:before="0" w:after="240"/>
        <w:jc w:val="both"/>
        <w:rPr>
          <w:color w:val="000000"/>
        </w:rPr>
      </w:pPr>
      <w:r>
        <w:rPr>
          <w:color w:val="000000"/>
        </w:rPr>
        <w:t>“</w:t>
      </w:r>
      <w:r>
        <w:rPr>
          <w:rFonts w:ascii="Times New Roman" w:hAnsi="Times New Roman"/>
          <w:color w:val="000000"/>
          <w:sz w:val="22"/>
        </w:rPr>
        <w:t>In the event that Executive is eligible for coverage under a Stoke health insurance plan and Executive has elected to have coverage thereunder and was covered thereunder prior to termination, and in the event that Executive chooses to exercise Executive’s right under the Consolidated Omnibus Budget Reconciliation Act of 1985 (“COBRA”) to continue Executive’s participation in such plan, Stoke shall pay its normal share of the costs for such coverage for a period of up to twelve (12) months from the Separation Date, to the same extent that such insurance is provided to persons then currently employed by Stoke.”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Except as expressly amended hereby, the Original Agreement shall continue to remain in full force and effect in accordance with its terms. This Amendment may be executed in one or more counterparts, each of which shall be deemed an original document and both of which together shall constitute the same instrument. </w:t>
      </w:r>
    </w:p>
    <w:p>
      <w:pPr>
        <w:pStyle w:val="TextBody"/>
        <w:bidi w:val="0"/>
        <w:spacing w:before="0" w:after="240"/>
        <w:jc w:val="center"/>
        <w:rPr>
          <w:rFonts w:ascii="Times New Roman" w:hAnsi="Times New Roman"/>
          <w:i/>
          <w:color w:val="000000"/>
          <w:sz w:val="22"/>
        </w:rPr>
      </w:pPr>
      <w:r>
        <w:rPr>
          <w:rFonts w:ascii="Times New Roman" w:hAnsi="Times New Roman"/>
          <w:i/>
          <w:color w:val="000000"/>
          <w:sz w:val="22"/>
        </w:rPr>
        <w:t>[Signature Page Follows]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 WITNESS WHEREOF, each of the undersigned parties have executed, or have caused their duly authorized representative to execute, this Amendment as of the date first written above.</w:t>
      </w:r>
    </w:p>
    <w:p>
      <w:pPr>
        <w:pStyle w:val="TextBody"/>
        <w:bidi w:val="0"/>
        <w:spacing w:before="0" w:after="240"/>
        <w:jc w:val="left"/>
        <w:rPr/>
      </w:pPr>
      <w:r>
        <w:rPr/>
        <w:t>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JASON HOITT STOKE THERAPEUTICS, INC.</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u w:val="single"/>
        </w:rPr>
        <w:t xml:space="preserve">/s/ Jason Hoitt /s/ Sara Den Besten </w:t>
        <w:br/>
      </w:r>
      <w:r>
        <w:rPr>
          <w:rFonts w:ascii="Times New Roman" w:hAnsi="Times New Roman"/>
          <w:color w:val="000000"/>
          <w:sz w:val="22"/>
        </w:rPr>
        <w:t>Signature By: Sara Den Besten</w:t>
        <w:br/>
        <w:t>Title: Chief People Officer</w:t>
        <w:br/>
        <w:br/>
      </w:r>
      <w:r>
        <w:rPr>
          <w:rFonts w:ascii="Times New Roman" w:hAnsi="Times New Roman"/>
          <w:color w:val="000000"/>
          <w:sz w:val="20"/>
        </w:rPr>
        <w:t> </w:t>
      </w:r>
    </w:p>
    <w:p>
      <w:pPr>
        <w:pStyle w:val="TextBody"/>
        <w:bidi w:val="0"/>
        <w:jc w:val="center"/>
        <w:rPr>
          <w:rFonts w:ascii="Times New Roman" w:hAnsi="Times New Roman"/>
          <w:i/>
          <w:color w:val="000000"/>
          <w:sz w:val="24"/>
        </w:rPr>
      </w:pPr>
      <w:r>
        <w:rPr>
          <w:rFonts w:ascii="Times New Roman" w:hAnsi="Times New Roman"/>
          <w:i/>
          <w:color w:val="000000"/>
          <w:sz w:val="24"/>
        </w:rPr>
        <w:t>[Signature Page to First Amendment]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stok-ex31_1.htm"/>
      <w:bookmarkStart w:id="28" w:name="ksstokex31_1"/>
      <w:bookmarkEnd w:id="27"/>
      <w:bookmarkEnd w:id="28"/>
      <w:r>
        <w:rPr>
          <w:rFonts w:ascii="Times New Roman" w:hAnsi="Times New Roman"/>
          <w:b/>
          <w:color w:val="000000"/>
          <w:sz w:val="20"/>
        </w:rPr>
        <w:t>Exhibit 31.1</w:t>
      </w:r>
      <w:r>
        <w:br w:type="page"/>
      </w:r>
    </w:p>
    <w:p>
      <w:pPr>
        <w:pStyle w:val="TextBody"/>
        <w:bidi w:val="0"/>
        <w:jc w:val="center"/>
        <w:rPr>
          <w:rFonts w:ascii="Times New Roman" w:hAnsi="Times New Roman"/>
          <w:sz w:val="20"/>
        </w:rPr>
      </w:pPr>
      <w:r>
        <w:rPr>
          <w:rFonts w:ascii="Times New Roman" w:hAnsi="Times New Roman"/>
          <w:b/>
          <w:color w:val="000000"/>
          <w:sz w:val="20"/>
        </w:rPr>
        <w:t>CERTIFICATION PURSUANT TO RULE 13a-14(a) OR 15d-14(a)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Ian F. Smith,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Stoke Therapeutics, Inc.;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4498" w:type="dxa"/>
        <w:jc w:val="left"/>
        <w:tblInd w:w="0" w:type="dxa"/>
        <w:tblLayout w:type="fixed"/>
        <w:tblCellMar>
          <w:top w:w="28" w:type="dxa"/>
          <w:left w:w="28" w:type="dxa"/>
          <w:bottom w:w="28" w:type="dxa"/>
          <w:right w:w="28" w:type="dxa"/>
        </w:tblCellMar>
      </w:tblPr>
      <w:tblGrid>
        <w:gridCol w:w="1846"/>
        <w:gridCol w:w="146"/>
        <w:gridCol w:w="250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F. Smith</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F. Smith</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stok-ex31_2.htm"/>
      <w:bookmarkStart w:id="30" w:name="ksstokex31_2"/>
      <w:bookmarkEnd w:id="29"/>
      <w:bookmarkEnd w:id="30"/>
      <w:r>
        <w:rPr>
          <w:rFonts w:ascii="Times New Roman" w:hAnsi="Times New Roman"/>
          <w:b/>
          <w:color w:val="000000"/>
          <w:sz w:val="20"/>
        </w:rPr>
        <w:t>Exhibit 31.2</w:t>
      </w:r>
      <w:r>
        <w:br w:type="page"/>
      </w:r>
    </w:p>
    <w:p>
      <w:pPr>
        <w:pStyle w:val="TextBody"/>
        <w:bidi w:val="0"/>
        <w:jc w:val="center"/>
        <w:rPr>
          <w:rFonts w:ascii="Times New Roman" w:hAnsi="Times New Roman"/>
          <w:sz w:val="20"/>
        </w:rPr>
      </w:pPr>
      <w:r>
        <w:rPr>
          <w:rFonts w:ascii="Times New Roman" w:hAnsi="Times New Roman"/>
          <w:b/>
          <w:color w:val="000000"/>
          <w:sz w:val="20"/>
        </w:rPr>
        <w:t>CERTIFICATION PURSUANT TO RULE 13a-14(a) OR 15d-14(a)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Thomas E. Leggett,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Stoke Therapeutics, Inc.;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7303" w:type="dxa"/>
        <w:jc w:val="left"/>
        <w:tblInd w:w="0" w:type="dxa"/>
        <w:tblLayout w:type="fixed"/>
        <w:tblCellMar>
          <w:top w:w="28" w:type="dxa"/>
          <w:left w:w="28" w:type="dxa"/>
          <w:bottom w:w="28" w:type="dxa"/>
          <w:right w:w="28" w:type="dxa"/>
        </w:tblCellMar>
      </w:tblPr>
      <w:tblGrid>
        <w:gridCol w:w="1846"/>
        <w:gridCol w:w="146"/>
        <w:gridCol w:w="531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E. Leggett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E. Leggett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stok-ex32_1.htm"/>
      <w:bookmarkStart w:id="32" w:name="ksstokex32_1"/>
      <w:bookmarkEnd w:id="31"/>
      <w:bookmarkEnd w:id="3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Ian F. Smith, Interim Chief Executive Officer of Stoke Therapeutics, Inc. (the “Company”), do hereby certify, pursuant to 18 U.S.C. Section 1350, as adopted pursuant to Section 906 of the Sarbanes-Oxley Act of 2002, that to the best of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Quarterly Report on Form 10-Q of the Company for the fiscal quarter ended June 30, 2026 (the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498" w:type="dxa"/>
        <w:jc w:val="left"/>
        <w:tblInd w:w="0" w:type="dxa"/>
        <w:tblLayout w:type="fixed"/>
        <w:tblCellMar>
          <w:top w:w="28" w:type="dxa"/>
          <w:left w:w="28" w:type="dxa"/>
          <w:bottom w:w="28" w:type="dxa"/>
          <w:right w:w="28" w:type="dxa"/>
        </w:tblCellMar>
      </w:tblPr>
      <w:tblGrid>
        <w:gridCol w:w="1846"/>
        <w:gridCol w:w="146"/>
        <w:gridCol w:w="250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F. Smith</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F. Smith</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3" w:name="stok-ex32_2.htm"/>
      <w:bookmarkStart w:id="34" w:name="ksstokex32_2"/>
      <w:bookmarkEnd w:id="33"/>
      <w:bookmarkEnd w:id="3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Thomas E. Leggett, Chief Financial Officer of Stoke Therapeutics, Inc. (the “Company”), do hereby certify, pursuant to 18 U.S.C. Section 1350, as adopted pursuant to Section 906 of the Sarbanes-Oxley Act of 2002, that to the best of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Quarterly Report on Form 10-Q of the Company for the fiscal quarter ended June 30, 2026 (the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813" w:type="dxa"/>
        <w:jc w:val="left"/>
        <w:tblInd w:w="0" w:type="dxa"/>
        <w:tblLayout w:type="fixed"/>
        <w:tblCellMar>
          <w:top w:w="28" w:type="dxa"/>
          <w:left w:w="28" w:type="dxa"/>
          <w:bottom w:w="28" w:type="dxa"/>
          <w:right w:w="28" w:type="dxa"/>
        </w:tblCellMar>
      </w:tblPr>
      <w:tblGrid>
        <w:gridCol w:w="1846"/>
        <w:gridCol w:w="146"/>
        <w:gridCol w:w="282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E. Leggett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E. Leggett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 and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70554</Words>
  <Characters>392808</Characters>
  <CharactersWithSpaces>463684</CharactersWithSpaces>
  <Paragraphs>5997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