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Stoke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Lynx1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4,038,404.00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4,038,404.00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4,038,404.00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Weston Nichols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4,038,404.00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4,038,404.00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4,038,404.00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Stoke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 Wiggins Ave, Bedford, Massachusetts 01730.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Lynx1 Capital Management LP (the "Investment Manager"), a Delaware limited partnership, and the investment manager to Lynx1 Master Fund LP (the "Lynx1 Fund") and a managed account, with respect to the common stock par value $0.0001 per share ("Common Stock"), of Stoke Therapeutics, Inc., a Delaware corporation (the "Company"), directly held by the Lynx1 Fund and the managed account; and (ii) Mr. Weston Nichols ("Mr. Nichols"), the sole member of Lynx1 Capital Management GP LLC, the general partner of the Investment Manager, with respect to the Common Stock directly held by the Lynx1 Fund and the managed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Lynx1 Capital Management LP D81 Calle C Suite 301, PMB 1202 Dorado, PR, 00646-2051 Weston Nichols c/o Lynx1 Capital Management LP D81 Calle C Suite 301, PMB 1202 Dorado, PR, 00646-2051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Investment Manager - Delaware Mr. Nichols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62,240,347 shares of Common Stock outstanding as of March 31, 2026, as reported in Exhibit 99.1 of the Company's Current Report on Form 8-K, filed with the Securities and Exchange Commission on May 7, 2026.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Lynx1 Fund has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Lynx1 Capital Management LP</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Weston Nichols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Lynx1 Capital Management GP LLC, General Partner, By: Weston Nichols, 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Weston Nichols</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Weston Nichols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Weston Nichols,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1355</Words>
  <Characters>6873</Characters>
  <CharactersWithSpaces>8198</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