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92026_120845.xml.htm"/>
      <w:bookmarkStart w:id="1" w:name="ksform408192026_1208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Ticho Barry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STOKE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WIGGINS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Stoke Therapeutics, Inc.</w:t>
              </w:r>
            </w:hyperlink>
            <w:r>
              <w:rPr/>
              <w:t xml:space="preserve"> [ </w:t>
            </w:r>
            <w:r>
              <w:rPr>
                <w:rFonts w:ascii="Times;serif" w:hAnsi="Times;serif"/>
                <w:color w:val="0000FF"/>
                <w:sz w:val="24"/>
                <w:shd w:fill="FFFFFF" w:val="clear"/>
              </w:rPr>
              <w:t>STOK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30,422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32.0072</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25,897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32.4681</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25,655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an Issuer mandated sale to satisfy tax withholding liabilities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$31.40 to $32.36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$32.44 to $32.54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stock unit represents a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Achievement of this performance stock unit award was certified on August 14, 2025. Pursuant to the terms of the award agreement between the reporting person and the Issuer, half the award vested on August 14, 2025 and the remainder vests on August 14, 2026, subject to the reporting person's continued service to the Issuer on the relevant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Allan,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0088" TargetMode="External"/><Relationship Id="rId5" Type="http://schemas.openxmlformats.org/officeDocument/2006/relationships/hyperlink" Target="http://www.sec.gov/cgi-bin/browse-edgar?action=getcompany&amp;CIK=0001623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812</Words>
  <Characters>4341</Characters>
  <CharactersWithSpaces>5053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