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735d8k.htm"/>
      <w:bookmarkStart w:id="1" w:name="ksd1357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Stoke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001-38938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47-1144582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45 Wiggins Ave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(781) 430-8200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STOK</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May 20, 2022, Stoke Therapeutics, Inc., a Delaware corporation (the “Company”), entered into a Controlled Equity OfferingSM Sales Agreement (the “Sales Agreement”) with Cantor Fitzgerald &amp; Co. (“Cantor”), pursuant to which the Company may offer and sell shares (“Placement Shares”) of common stock of the Company, par value $0.0001 per share, at any time and from time to time through or to Cantor, as sales agent or principal, at market prices by any method that is deemed to be an “at-the-market offering” as defined in Rule 415 under the Securities Act of 1933, as amended (the “Securities Act” ).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the Company filed a prospectus supplement (the “Prospectus Supplement”) pursuant to Rule 424(b) under the Securities Act with the SEC relating to the offer and sale of up to $200,000,000 of Placement Shares under the Sales Agreement. The Prospectus Supplement forms a part of the Company’s automatic shelf registration statement on Form S-3ASR (File No. 333-294402), which was filed with the SEC on March 18, 2026. </w:t>
      </w:r>
    </w:p>
    <w:p>
      <w:pPr>
        <w:pStyle w:val="TextBody"/>
        <w:bidi w:val="0"/>
        <w:spacing w:before="240" w:after="0"/>
        <w:jc w:val="left"/>
        <w:rPr>
          <w:rFonts w:ascii="Times New Roman" w:hAnsi="Times New Roman"/>
          <w:sz w:val="20"/>
        </w:rPr>
      </w:pPr>
      <w:r>
        <w:rPr>
          <w:rFonts w:ascii="Times New Roman" w:hAnsi="Times New Roman"/>
          <w:sz w:val="20"/>
        </w:rPr>
        <w:t>The legal opinion of Fenwick &amp; West LLP relating to the Placement Shares being offered pursuant to the Prospectus Supplement is filed as Exhibit 5.1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the solicitation of an offer to buy the Placement Shares as discussed herein, nor shall there be any sale of the Placement Shares in any state or jurisdiction in which such offer, solicitation or sale would be unlawful prior to registration or qualification under the securities laws of any such state or jurisdiction.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Title or 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5735dex51.htm">
              <w:r>
                <w:rPr>
                  <w:rStyle w:val="InternetLink"/>
                </w:rPr>
                <w:t xml:space="preserve">Opinion of Fenwick &amp; West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5735dex51.htm">
              <w:r>
                <w:rPr>
                  <w:rStyle w:val="InternetLink"/>
                </w:rPr>
                <w:t xml:space="preserve">Consent of Fenwick &amp; West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28"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348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b/>
              </w:rPr>
            </w:pPr>
            <w:r>
              <w:rPr>
                <w:b/>
              </w:rPr>
              <w:t>STOKE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E. Leggett</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Thomas E. Leggett</w:t>
            </w:r>
          </w:p>
          <w:p>
            <w:pPr>
              <w:pStyle w:val="TableContents"/>
              <w:bidi w:val="0"/>
              <w:spacing w:before="0" w:after="20"/>
              <w:jc w:val="left"/>
              <w:rPr>
                <w:rFonts w:ascii="Times New Roman" w:hAnsi="Times New Roman"/>
                <w:b/>
                <w:sz w:val="20"/>
              </w:rPr>
            </w:pPr>
            <w:r>
              <w:rPr>
                <w:rFonts w:ascii="Times New Roman" w:hAnsi="Times New Roman"/>
                <w:b/>
                <w:sz w:val="20"/>
              </w:rPr>
              <w:t>Chief Financial Officer</w:t>
            </w:r>
          </w:p>
        </w:tc>
      </w:tr>
    </w:tbl>
    <w:p>
      <w:pPr>
        <w:pStyle w:val="TextBody"/>
        <w:bidi w:val="0"/>
        <w:spacing w:before="0" w:after="0"/>
        <w:jc w:val="right"/>
        <w:rPr>
          <w:rFonts w:ascii="Times New Roman" w:hAnsi="Times New Roman"/>
          <w:sz w:val="20"/>
        </w:rPr>
      </w:pPr>
      <w:bookmarkStart w:id="2" w:name="d135735dex51.htm"/>
      <w:bookmarkStart w:id="3" w:name="ksd135735dex51"/>
      <w:bookmarkEnd w:id="2"/>
      <w:bookmarkEnd w:id="3"/>
      <w:r>
        <w:rPr>
          <w:rFonts w:ascii="Times New Roman" w:hAnsi="Times New Roman"/>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30"/>
        <w:gridCol w:w="120"/>
        <w:gridCol w:w="5255"/>
      </w:tblGrid>
      <w:tr>
        <w:trPr/>
        <w:tc>
          <w:tcPr>
            <w:tcW w:w="4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55" w:type="dxa"/>
            <w:tcBorders/>
            <w:vAlign w:val="center"/>
          </w:tcPr>
          <w:p>
            <w:pPr>
              <w:pStyle w:val="TableContents"/>
              <w:bidi w:val="0"/>
              <w:spacing w:before="0" w:after="283"/>
              <w:jc w:val="left"/>
              <w:rPr>
                <w:sz w:val="4"/>
                <w:szCs w:val="4"/>
              </w:rPr>
            </w:pPr>
            <w:r>
              <w:rPr>
                <w:sz w:val="4"/>
                <w:szCs w:val="4"/>
              </w:rPr>
            </w:r>
          </w:p>
        </w:tc>
      </w:tr>
      <w:tr>
        <w:trPr/>
        <w:tc>
          <w:tcPr>
            <w:tcW w:w="4830" w:type="dxa"/>
            <w:tcBorders/>
          </w:tcPr>
          <w:p>
            <w:pPr>
              <w:pStyle w:val="TableContents"/>
              <w:bidi w:val="0"/>
              <w:spacing w:before="0" w:after="283"/>
              <w:jc w:val="left"/>
              <w:rPr/>
            </w:pPr>
            <w:r>
              <w:rPr/>
              <w:drawing>
                <wp:inline distT="0" distB="0" distL="0" distR="0">
                  <wp:extent cx="19907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255" w:type="dxa"/>
            <w:tcBorders/>
          </w:tcPr>
          <w:p>
            <w:pPr>
              <w:pStyle w:val="TableContents"/>
              <w:bidi w:val="0"/>
              <w:spacing w:before="0" w:after="283"/>
              <w:jc w:val="right"/>
              <w:rPr/>
            </w:pPr>
            <w:r>
              <w:rPr/>
              <w:drawing>
                <wp:inline distT="0" distB="0" distL="0" distR="0">
                  <wp:extent cx="28765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76550" cy="48577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August 3, 2026</w:t>
      </w:r>
    </w:p>
    <w:p>
      <w:pPr>
        <w:pStyle w:val="TextBody"/>
        <w:bidi w:val="0"/>
        <w:spacing w:before="240" w:after="0"/>
        <w:jc w:val="left"/>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45 Wiggins Ave </w:t>
      </w:r>
    </w:p>
    <w:p>
      <w:pPr>
        <w:pStyle w:val="TextBody"/>
        <w:bidi w:val="0"/>
        <w:spacing w:before="0" w:after="0"/>
        <w:jc w:val="left"/>
        <w:rPr>
          <w:rFonts w:ascii="Times New Roman" w:hAnsi="Times New Roman"/>
          <w:sz w:val="20"/>
        </w:rPr>
      </w:pPr>
      <w:r>
        <w:rPr>
          <w:rFonts w:ascii="Times New Roman" w:hAnsi="Times New Roman"/>
          <w:sz w:val="20"/>
        </w:rPr>
        <w:t xml:space="preserve">Bedford, Massachusetts 01730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deliver this opinion with respect to certain matters in connection with the offering by Stoke Therapeutics, Inc., a Delaware corporation (the “</w:t>
      </w:r>
      <w:r>
        <w:rPr>
          <w:rFonts w:ascii="Times New Roman" w:hAnsi="Times New Roman"/>
          <w:b/>
          <w:i/>
          <w:sz w:val="20"/>
        </w:rPr>
        <w:t>Company</w:t>
      </w:r>
      <w:r>
        <w:rPr>
          <w:rFonts w:ascii="Times New Roman" w:hAnsi="Times New Roman"/>
          <w:sz w:val="20"/>
        </w:rPr>
        <w:t>”), of the Company’s common stock, $0.0001 par value per share (the “</w:t>
      </w:r>
      <w:r>
        <w:rPr>
          <w:rFonts w:ascii="Times New Roman" w:hAnsi="Times New Roman"/>
          <w:b/>
          <w:i/>
          <w:sz w:val="20"/>
        </w:rPr>
        <w:t>Common Stock</w:t>
      </w:r>
      <w:r>
        <w:rPr>
          <w:rFonts w:ascii="Times New Roman" w:hAnsi="Times New Roman"/>
          <w:sz w:val="20"/>
        </w:rPr>
        <w:t>”), with an aggregate maximum offering price of up to $200.0 million (the “</w:t>
      </w:r>
      <w:r>
        <w:rPr>
          <w:rFonts w:ascii="Times New Roman" w:hAnsi="Times New Roman"/>
          <w:b/>
          <w:i/>
          <w:sz w:val="20"/>
        </w:rPr>
        <w:t>Placement Shares</w:t>
      </w:r>
      <w:r>
        <w:rPr>
          <w:rFonts w:ascii="Times New Roman" w:hAnsi="Times New Roman"/>
          <w:sz w:val="20"/>
        </w:rPr>
        <w:t>”), to be issued from time to time pursuant to that certain Controlled Equity Offering Sales Agreement, dated as of May 20, 2022 (the “</w:t>
      </w:r>
      <w:r>
        <w:rPr>
          <w:rFonts w:ascii="Times New Roman" w:hAnsi="Times New Roman"/>
          <w:b/>
          <w:i/>
          <w:sz w:val="20"/>
        </w:rPr>
        <w:t>Offering Agreement</w:t>
      </w:r>
      <w:r>
        <w:rPr>
          <w:rFonts w:ascii="Times New Roman" w:hAnsi="Times New Roman"/>
          <w:sz w:val="20"/>
        </w:rPr>
        <w:t>”), between the Company and Cantor Fitzgerald &amp; Co. The Placement Shares will be registered pursuant to the automatically effective Registration Statement on Form S-3ASR (File No. 333-294402) filed by the Company with the Securities and Exchange Commission (the “</w:t>
      </w:r>
      <w:r>
        <w:rPr>
          <w:rFonts w:ascii="Times New Roman" w:hAnsi="Times New Roman"/>
          <w:b/>
          <w:i/>
          <w:sz w:val="20"/>
        </w:rPr>
        <w:t>Commission</w:t>
      </w:r>
      <w:r>
        <w:rPr>
          <w:rFonts w:ascii="Times New Roman" w:hAnsi="Times New Roman"/>
          <w:sz w:val="20"/>
        </w:rPr>
        <w:t>”) on March 18, 2026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base prospectus dated March 18, 2026 included therein (the “</w:t>
      </w:r>
      <w:r>
        <w:rPr>
          <w:rFonts w:ascii="Times New Roman" w:hAnsi="Times New Roman"/>
          <w:b/>
          <w:i/>
          <w:sz w:val="20"/>
        </w:rPr>
        <w:t>Base Prospectus</w:t>
      </w:r>
      <w:r>
        <w:rPr>
          <w:rFonts w:ascii="Times New Roman" w:hAnsi="Times New Roman"/>
          <w:sz w:val="20"/>
        </w:rPr>
        <w:t>”), and the related prospectus supplement filed with the Commission on August 3, 2026 pursuant to Rule 424(b) under the Securities Act (the “</w:t>
      </w:r>
      <w:r>
        <w:rPr>
          <w:rFonts w:ascii="Times New Roman" w:hAnsi="Times New Roman"/>
          <w:b/>
          <w:i/>
          <w:sz w:val="20"/>
        </w:rPr>
        <w:t>Prospectus Supplement</w:t>
      </w:r>
      <w:r>
        <w:rPr>
          <w:rFonts w:ascii="Times New Roman" w:hAnsi="Times New Roman"/>
          <w:sz w:val="20"/>
        </w:rPr>
        <w:t>” and together with the Base Prospectus, the “</w:t>
      </w:r>
      <w:r>
        <w:rPr>
          <w:rFonts w:ascii="Times New Roman" w:hAnsi="Times New Roman"/>
          <w:b/>
          <w:i/>
          <w:sz w:val="20"/>
        </w:rPr>
        <w:t>Prospectus</w:t>
      </w:r>
      <w:r>
        <w:rPr>
          <w:rFonts w:ascii="Times New Roman" w:hAnsi="Times New Roman"/>
          <w:sz w:val="20"/>
        </w:rPr>
        <w:t>”). The offering of the Placement Shares is referred to herein as the “</w:t>
      </w:r>
      <w:r>
        <w:rPr>
          <w:rFonts w:ascii="Times New Roman" w:hAnsi="Times New Roman"/>
          <w:b/>
          <w:i/>
          <w:sz w:val="20"/>
        </w:rPr>
        <w:t>Offering</w:t>
      </w:r>
      <w:r>
        <w:rPr>
          <w:rFonts w:ascii="Times New Roman" w:hAnsi="Times New Roman"/>
          <w:sz w:val="20"/>
        </w:rPr>
        <w:t xml:space="preserve">.” The Placement Shares are to be sold from time to time by the Company as described in the Registration Statement, the Prospectus and the Offering Agreement. The Company has informed us that the Company intends to issue the Placement Shares, from time to time on a delayed or continuous basis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opinions in this letter are limited to the existing General Corporation Law of the State of Delaware now in effect.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 connection with our opinions expressed below, we have assumed that, (i) at or prior to the time of the delivery of any of the Placement Shares, there will not have occurred any change in the law or the facts affecting the validity of the Placement Shares, (ii) at the time of the offer, issuance and sale of any Placement Shares, no stop order suspending the Registration Statement’s effectiveness will have been issued and remain in effect, (iii) no future amendments will be made to the Company’s current certificate of incorporation (as amended from time to time, the “</w:t>
      </w:r>
      <w:r>
        <w:rPr>
          <w:rFonts w:ascii="Times New Roman" w:hAnsi="Times New Roman"/>
          <w:b/>
          <w:i/>
          <w:sz w:val="20"/>
        </w:rPr>
        <w:t>Certificate of Incorporation</w:t>
      </w:r>
      <w:r>
        <w:rPr>
          <w:rFonts w:ascii="Times New Roman" w:hAnsi="Times New Roman"/>
          <w:sz w:val="20"/>
        </w:rPr>
        <w:t>”), or the Company’s Restated Bylaws (the “</w:t>
      </w:r>
      <w:r>
        <w:rPr>
          <w:rFonts w:ascii="Times New Roman" w:hAnsi="Times New Roman"/>
          <w:b/>
          <w:i/>
          <w:sz w:val="20"/>
        </w:rPr>
        <w:t>Bylaws</w:t>
      </w:r>
      <w:r>
        <w:rPr>
          <w:rFonts w:ascii="Times New Roman" w:hAnsi="Times New Roman"/>
          <w:sz w:val="20"/>
        </w:rPr>
        <w:t>” and, together with the Certificate of Incorporation, the “</w:t>
      </w:r>
      <w:r>
        <w:rPr>
          <w:rFonts w:ascii="Times New Roman" w:hAnsi="Times New Roman"/>
          <w:b/>
          <w:i/>
          <w:sz w:val="20"/>
        </w:rPr>
        <w:t>Charter Documents</w:t>
      </w:r>
      <w:r>
        <w:rPr>
          <w:rFonts w:ascii="Times New Roman" w:hAnsi="Times New Roman"/>
          <w:sz w:val="20"/>
        </w:rPr>
        <w:t xml:space="preserve">”) that would be in conflict with or inconsistent with the Company’s right and ability to issue the Placement Shares, (iv) at the time of the issuance and sale of the Placement Shares, the Company will be validly existing as a corporation and in good standing under the laws of the State of Delaware; and (v) at the time of each offer, issuance and sale of any Placement Shares, the Company will have a sufficient number of authorized and unissued and unreserved shares of the applicable class or series of its capital stock included in (or purchasable upon exercise or conversion of) the Placement Shares so issued and sold (after taking into account all other outstanding securities of the Company which may require the Company to issue shares of such applicable class or series) to be able to issue all such shares.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 </w:t>
      </w:r>
    </w:p>
    <w:p>
      <w:pPr>
        <w:pStyle w:val="TextBody"/>
        <w:bidi w:val="0"/>
        <w:spacing w:before="240" w:after="0"/>
        <w:jc w:val="left"/>
        <w:rPr>
          <w:rFonts w:ascii="Times New Roman" w:hAnsi="Times New Roman"/>
          <w:sz w:val="20"/>
        </w:rPr>
      </w:pPr>
      <w:r>
        <w:rPr>
          <w:rFonts w:ascii="Times New Roman" w:hAnsi="Times New Roman"/>
          <w:sz w:val="20"/>
        </w:rPr>
        <w:t>Based upon the foregoing, and subject to the qualifications and exceptions contained herein, we are of the opinion that the Placement Shares, to be issued and sold by the Company, have been duly authorized for issuance and, when issued, sold and delivered for consideration (of not less than par value per share of the Common Stock) and in the manner contemplated by the Offering Agreement and the Prospectus and in accordance with the resolutions duly adopted and to be duly adopted by the Company’s Board of Directors, or a duly authorized committee thereof (the “</w:t>
      </w:r>
      <w:r>
        <w:rPr>
          <w:rFonts w:ascii="Times New Roman" w:hAnsi="Times New Roman"/>
          <w:b/>
          <w:i/>
          <w:sz w:val="20"/>
        </w:rPr>
        <w:t>Board</w:t>
      </w:r>
      <w:r>
        <w:rPr>
          <w:rFonts w:ascii="Times New Roman" w:hAnsi="Times New Roman"/>
          <w:sz w:val="20"/>
        </w:rPr>
        <w:t xml:space="preserve">”) and to be duly adopted by the placement committee of the Board with respect to the offer, sale and issuance of the Placement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Current Report on Form 8-K to be filed by the Company with the Commission in connection with the Offering and further consent to all references to us, if any, in the Registration Statement and the Prospectus constituting parts thereof and any amendments thereto. In giving this consent, we do not thereby admit that we come within the category of persons whose consent is required under Section 7 of the Securities Act or the rules and regulations of the Commission thereunder.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[Concluding Paragraph Follows on Next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intended solely for use in connection with the issuance and sale of the Placement Shares subject to the Offering Agreement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Fenwick &amp; West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FENWICK &amp; WEST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1987</Words>
  <Characters>10260</Characters>
  <CharactersWithSpaces>12243</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